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B0" w:rsidRPr="001D70DA" w:rsidRDefault="008A14B0" w:rsidP="008A14B0">
      <w:pPr>
        <w:rPr>
          <w:rFonts w:ascii="Times New Roman" w:hAnsi="Times New Roman" w:cs="Times New Roman"/>
          <w:b/>
          <w:sz w:val="20"/>
        </w:rPr>
      </w:pPr>
      <w:r w:rsidRPr="001D70DA">
        <w:rPr>
          <w:rFonts w:ascii="Times New Roman" w:hAnsi="Times New Roman" w:cs="Times New Roman"/>
          <w:b/>
          <w:sz w:val="20"/>
        </w:rPr>
        <w:t>Supplementary material</w:t>
      </w:r>
    </w:p>
    <w:p w:rsidR="008A14B0" w:rsidRPr="001D70DA" w:rsidRDefault="008A14B0" w:rsidP="008A14B0">
      <w:pPr>
        <w:pStyle w:val="Caption"/>
        <w:keepNext/>
        <w:rPr>
          <w:rFonts w:ascii="Times New Roman" w:hAnsi="Times New Roman" w:cs="Times New Roman"/>
          <w:b w:val="0"/>
          <w:i/>
          <w:color w:val="auto"/>
          <w:sz w:val="16"/>
        </w:rPr>
      </w:pPr>
      <w:r w:rsidRPr="001D70DA">
        <w:rPr>
          <w:rFonts w:ascii="Times New Roman" w:hAnsi="Times New Roman" w:cs="Times New Roman"/>
          <w:b w:val="0"/>
          <w:color w:val="auto"/>
          <w:sz w:val="16"/>
        </w:rPr>
        <w:t xml:space="preserve">Table 1: </w:t>
      </w:r>
      <w:r w:rsidRPr="001D70DA">
        <w:rPr>
          <w:rFonts w:ascii="Times New Roman" w:hAnsi="Times New Roman" w:cs="Times New Roman"/>
          <w:b w:val="0"/>
          <w:i/>
          <w:color w:val="auto"/>
          <w:sz w:val="16"/>
        </w:rPr>
        <w:t xml:space="preserve">Descriptives of the sample per child and adolescent psychiatry outpatient clinic. Mean (SD) age, education level (%), employment status (%), relationship status (%) and mean (SD) symptom scores for mothers and fathers per psychiatric symptom scale. </w:t>
      </w:r>
    </w:p>
    <w:tbl>
      <w:tblPr>
        <w:tblpPr w:leftFromText="141" w:rightFromText="141" w:vertAnchor="text" w:horzAnchor="margin" w:tblpY="4"/>
        <w:tblW w:w="4783" w:type="pct"/>
        <w:tblLook w:val="04A0" w:firstRow="1" w:lastRow="0" w:firstColumn="1" w:lastColumn="0" w:noHBand="0" w:noVBand="1"/>
      </w:tblPr>
      <w:tblGrid>
        <w:gridCol w:w="3612"/>
        <w:gridCol w:w="1423"/>
        <w:gridCol w:w="1348"/>
        <w:gridCol w:w="1348"/>
        <w:gridCol w:w="1429"/>
      </w:tblGrid>
      <w:tr w:rsidR="008A14B0" w:rsidRPr="001D70DA" w:rsidTr="008A14B0">
        <w:trPr>
          <w:trHeight w:val="241"/>
        </w:trPr>
        <w:tc>
          <w:tcPr>
            <w:tcW w:w="1971" w:type="pct"/>
            <w:tcBorders>
              <w:top w:val="single" w:sz="18" w:space="0" w:color="auto"/>
              <w:bottom w:val="single" w:sz="6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77" w:type="pct"/>
            <w:tcBorders>
              <w:top w:val="single" w:sz="18" w:space="0" w:color="auto"/>
              <w:bottom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Bascule (N=183)</w:t>
            </w:r>
          </w:p>
        </w:tc>
        <w:tc>
          <w:tcPr>
            <w:tcW w:w="736" w:type="pct"/>
            <w:tcBorders>
              <w:top w:val="single" w:sz="18" w:space="0" w:color="auto"/>
              <w:bottom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GGZ </w:t>
            </w:r>
            <w:proofErr w:type="spellStart"/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inGeest</w:t>
            </w:r>
            <w:proofErr w:type="spellEnd"/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(N=410)</w:t>
            </w:r>
          </w:p>
        </w:tc>
        <w:tc>
          <w:tcPr>
            <w:tcW w:w="736" w:type="pct"/>
            <w:tcBorders>
              <w:top w:val="single" w:sz="18" w:space="0" w:color="auto"/>
              <w:bottom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UvA</w:t>
            </w:r>
            <w:proofErr w:type="spellEnd"/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Minds (N=919)</w:t>
            </w:r>
          </w:p>
        </w:tc>
        <w:tc>
          <w:tcPr>
            <w:tcW w:w="781" w:type="pct"/>
            <w:tcBorders>
              <w:top w:val="single" w:sz="18" w:space="0" w:color="auto"/>
              <w:bottom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Rotterdam (N=354)</w:t>
            </w:r>
          </w:p>
        </w:tc>
      </w:tr>
      <w:tr w:rsidR="008A14B0" w:rsidRPr="001D70DA" w:rsidTr="008A14B0">
        <w:trPr>
          <w:trHeight w:val="1071"/>
        </w:trPr>
        <w:tc>
          <w:tcPr>
            <w:tcW w:w="1971" w:type="pct"/>
            <w:tcBorders>
              <w:top w:val="single" w:sz="6" w:space="0" w:color="auto"/>
            </w:tcBorders>
          </w:tcPr>
          <w:p w:rsidR="008A14B0" w:rsidRPr="001D70DA" w:rsidRDefault="008A14B0" w:rsidP="008A14B0">
            <w:pPr>
              <w:pStyle w:val="NoSpacing"/>
              <w:spacing w:before="18"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Age (Mean (SD))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Children</w:t>
            </w:r>
          </w:p>
          <w:p w:rsidR="008A14B0" w:rsidRPr="001D70DA" w:rsidRDefault="008A14B0" w:rsidP="008A14B0">
            <w:pPr>
              <w:pStyle w:val="NoSpacing"/>
              <w:spacing w:before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Mothers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Fathers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10.83 (3.82)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42.42 (6.48)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45.92 (6.67)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11.70 (3.77)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42.92 (7.04)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47.10 (6.68)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11.55 (3.03)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45.04 (5.46)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47.34 (5.98)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10.33 (3.24)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40.35 (5.68)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42.76 (6.20)</w:t>
            </w:r>
          </w:p>
        </w:tc>
      </w:tr>
      <w:tr w:rsidR="008A14B0" w:rsidRPr="001D70DA" w:rsidTr="008A14B0">
        <w:trPr>
          <w:trHeight w:val="336"/>
        </w:trPr>
        <w:tc>
          <w:tcPr>
            <w:tcW w:w="1971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Education level (n (%))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Mothers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Low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Intermediate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High</w:t>
            </w:r>
          </w:p>
        </w:tc>
        <w:tc>
          <w:tcPr>
            <w:tcW w:w="777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38 (22.6%)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54 (32.1%)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76 (45.2%)</w:t>
            </w:r>
          </w:p>
        </w:tc>
        <w:tc>
          <w:tcPr>
            <w:tcW w:w="736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56 (15%)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107 (28.7%)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210 (56.3%)</w:t>
            </w:r>
          </w:p>
        </w:tc>
        <w:tc>
          <w:tcPr>
            <w:tcW w:w="736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71 (8%)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191 (21.5%)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628 (70.6%)</w:t>
            </w:r>
          </w:p>
        </w:tc>
        <w:tc>
          <w:tcPr>
            <w:tcW w:w="781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101 (31.6%)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130 (40.6%)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89 (27.8%)</w:t>
            </w:r>
          </w:p>
        </w:tc>
      </w:tr>
      <w:tr w:rsidR="008A14B0" w:rsidRPr="001D70DA" w:rsidTr="008A14B0">
        <w:trPr>
          <w:trHeight w:val="336"/>
        </w:trPr>
        <w:tc>
          <w:tcPr>
            <w:tcW w:w="1971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Fathers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Low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Intermediate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High</w:t>
            </w:r>
          </w:p>
        </w:tc>
        <w:tc>
          <w:tcPr>
            <w:tcW w:w="777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24 (21.8%)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31 (28.2%)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55 (50%)</w:t>
            </w:r>
          </w:p>
        </w:tc>
        <w:tc>
          <w:tcPr>
            <w:tcW w:w="736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35 (15.2%)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68 (29.4%)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128 (55.4%)</w:t>
            </w:r>
          </w:p>
        </w:tc>
        <w:tc>
          <w:tcPr>
            <w:tcW w:w="736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83 (12%)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155 (22.4%)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455 (65.7%)</w:t>
            </w:r>
          </w:p>
        </w:tc>
        <w:tc>
          <w:tcPr>
            <w:tcW w:w="781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104 (32.7%)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110 (34.6%)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104 (32.7%)</w:t>
            </w:r>
          </w:p>
        </w:tc>
      </w:tr>
      <w:tr w:rsidR="008A14B0" w:rsidRPr="001D70DA" w:rsidTr="008A14B0">
        <w:trPr>
          <w:trHeight w:val="336"/>
        </w:trPr>
        <w:tc>
          <w:tcPr>
            <w:tcW w:w="1971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Employment status (n (%))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Mothers employed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Fathers employed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77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117 (69.6%)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96 (85%)</w:t>
            </w:r>
          </w:p>
        </w:tc>
        <w:tc>
          <w:tcPr>
            <w:tcW w:w="736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280 (72.7%)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209 (87.4%)</w:t>
            </w:r>
          </w:p>
        </w:tc>
        <w:tc>
          <w:tcPr>
            <w:tcW w:w="736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749 (81.9%)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659 (91.5%)</w:t>
            </w:r>
          </w:p>
        </w:tc>
        <w:tc>
          <w:tcPr>
            <w:tcW w:w="781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275 (81.6%)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305 (92.4%)</w:t>
            </w:r>
          </w:p>
        </w:tc>
      </w:tr>
      <w:tr w:rsidR="008A14B0" w:rsidRPr="001D70DA" w:rsidTr="008A14B0">
        <w:trPr>
          <w:trHeight w:val="336"/>
        </w:trPr>
        <w:tc>
          <w:tcPr>
            <w:tcW w:w="1971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Relationship status (n (%))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Biological parents together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77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123 (69.1%)</w:t>
            </w:r>
          </w:p>
        </w:tc>
        <w:tc>
          <w:tcPr>
            <w:tcW w:w="736" w:type="pct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227 (58.4%)</w:t>
            </w:r>
          </w:p>
        </w:tc>
        <w:tc>
          <w:tcPr>
            <w:tcW w:w="736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620 (67.5%)</w:t>
            </w:r>
          </w:p>
        </w:tc>
        <w:tc>
          <w:tcPr>
            <w:tcW w:w="781" w:type="pct"/>
            <w:shd w:val="clear" w:color="auto" w:fill="auto"/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264 (77.9%)</w:t>
            </w:r>
          </w:p>
        </w:tc>
      </w:tr>
      <w:tr w:rsidR="008A14B0" w:rsidRPr="001D70DA" w:rsidTr="008A14B0">
        <w:trPr>
          <w:trHeight w:val="336"/>
        </w:trPr>
        <w:tc>
          <w:tcPr>
            <w:tcW w:w="1971" w:type="pct"/>
            <w:tcBorders>
              <w:bottom w:val="single" w:sz="18" w:space="0" w:color="auto"/>
            </w:tcBorders>
          </w:tcPr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b/>
                <w:sz w:val="18"/>
                <w:szCs w:val="20"/>
              </w:rPr>
              <w:t>Symptom scores (Mean (SD))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Mothers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Depression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Anxiety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Avoidant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Attention deficit/hyperactivity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Antisocial</w:t>
            </w:r>
          </w:p>
          <w:p w:rsidR="008A14B0" w:rsidRPr="001D70DA" w:rsidRDefault="008A14B0" w:rsidP="008A14B0">
            <w:pPr>
              <w:pStyle w:val="NoSpacing"/>
              <w:spacing w:after="55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Fathers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Depression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Anxiety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Avoidant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Attention deficit/hyperactivity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ind w:left="66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i/>
                <w:sz w:val="18"/>
                <w:szCs w:val="20"/>
              </w:rPr>
              <w:t>Antisocial</w:t>
            </w:r>
          </w:p>
        </w:tc>
        <w:tc>
          <w:tcPr>
            <w:tcW w:w="777" w:type="pct"/>
            <w:tcBorders>
              <w:bottom w:val="single" w:sz="18" w:space="0" w:color="auto"/>
            </w:tcBorders>
          </w:tcPr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5.28 (4.72)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4.66 (3.07)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2.48 (2.40)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5.04 (4.03)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2.39 (2.36)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3.44 (4.36)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3.28 (2.64)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2.40 (2.66)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4.86 (4.73)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3.30 (3.99)</w:t>
            </w:r>
          </w:p>
        </w:tc>
        <w:tc>
          <w:tcPr>
            <w:tcW w:w="736" w:type="pct"/>
            <w:tcBorders>
              <w:bottom w:val="single" w:sz="18" w:space="0" w:color="auto"/>
            </w:tcBorders>
          </w:tcPr>
          <w:p w:rsidR="008A14B0" w:rsidRPr="001D70DA" w:rsidRDefault="008A14B0" w:rsidP="008A14B0">
            <w:pPr>
              <w:pStyle w:val="NoSpacing"/>
              <w:spacing w:after="18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5.27 (4.94)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4.37 (3.07)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2.50 (2.63)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5.12 (4.29)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2.50 (2.55)</w:t>
            </w: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3.01 (3.13)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2.98 (2.18)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1.95 (2.28)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4.28 (4.19)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3.06 (3.07)</w:t>
            </w:r>
          </w:p>
        </w:tc>
        <w:tc>
          <w:tcPr>
            <w:tcW w:w="736" w:type="pct"/>
            <w:tcBorders>
              <w:bottom w:val="single" w:sz="18" w:space="0" w:color="auto"/>
            </w:tcBorders>
            <w:shd w:val="clear" w:color="auto" w:fill="auto"/>
          </w:tcPr>
          <w:p w:rsidR="008A14B0" w:rsidRPr="001D70DA" w:rsidRDefault="008A14B0" w:rsidP="008A14B0">
            <w:pPr>
              <w:pStyle w:val="NoSpacing"/>
              <w:spacing w:after="18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4.78 (4.02)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4.18 (2.63)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2.24 (2.24)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5.56 (4.46)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2.52 (2.62)</w:t>
            </w: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3.32 (3.36)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3.14 (2.41)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2.33 (2.40)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5.30 (4.14)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3.23 (2.88)</w:t>
            </w:r>
          </w:p>
        </w:tc>
        <w:tc>
          <w:tcPr>
            <w:tcW w:w="781" w:type="pct"/>
            <w:tcBorders>
              <w:bottom w:val="single" w:sz="18" w:space="0" w:color="auto"/>
            </w:tcBorders>
            <w:shd w:val="clear" w:color="auto" w:fill="auto"/>
          </w:tcPr>
          <w:p w:rsidR="008A14B0" w:rsidRPr="001D70DA" w:rsidRDefault="008A14B0" w:rsidP="008A14B0">
            <w:pPr>
              <w:pStyle w:val="NoSpacing"/>
              <w:spacing w:after="18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4.66 (4.23)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4.17 (2.62)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2.87 (2.48)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4.99 (4.08)</w:t>
            </w:r>
          </w:p>
          <w:p w:rsidR="008A14B0" w:rsidRPr="001D70DA" w:rsidRDefault="008A14B0" w:rsidP="008A14B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2.08 (1.99)</w:t>
            </w:r>
          </w:p>
          <w:p w:rsidR="008A14B0" w:rsidRPr="001D70DA" w:rsidRDefault="008A14B0" w:rsidP="008A14B0">
            <w:pPr>
              <w:pStyle w:val="NoSpacing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3.46 (3.48)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3.42 (2.51)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2.35 (2.41)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4.73 (3.76)</w:t>
            </w:r>
          </w:p>
          <w:p w:rsidR="008A14B0" w:rsidRPr="001D70DA" w:rsidRDefault="008A14B0" w:rsidP="008A14B0">
            <w:pPr>
              <w:pStyle w:val="NoSpacing"/>
              <w:spacing w:after="18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D70DA">
              <w:rPr>
                <w:rFonts w:ascii="Times New Roman" w:hAnsi="Times New Roman" w:cs="Times New Roman"/>
                <w:sz w:val="18"/>
                <w:szCs w:val="20"/>
              </w:rPr>
              <w:t>2.47 (2.51)</w:t>
            </w:r>
          </w:p>
        </w:tc>
      </w:tr>
    </w:tbl>
    <w:p w:rsidR="008A14B0" w:rsidRPr="001D70DA" w:rsidRDefault="008A14B0" w:rsidP="008A14B0">
      <w:pPr>
        <w:pStyle w:val="Caption"/>
        <w:keepNext/>
        <w:rPr>
          <w:rFonts w:ascii="Times New Roman" w:hAnsi="Times New Roman" w:cs="Times New Roman"/>
          <w:b w:val="0"/>
          <w:i/>
          <w:color w:val="auto"/>
          <w:sz w:val="16"/>
        </w:rPr>
      </w:pPr>
    </w:p>
    <w:p w:rsidR="008A14B0" w:rsidRPr="001D70DA" w:rsidRDefault="008A14B0" w:rsidP="008A14B0">
      <w:pPr>
        <w:rPr>
          <w:rFonts w:ascii="Times New Roman" w:hAnsi="Times New Roman" w:cs="Times New Roman"/>
          <w:b/>
          <w:sz w:val="20"/>
        </w:rPr>
      </w:pPr>
    </w:p>
    <w:p w:rsidR="008A14B0" w:rsidRDefault="008A14B0">
      <w:pPr>
        <w:rPr>
          <w:rFonts w:ascii="Times New Roman" w:eastAsia="Calibri" w:hAnsi="Times New Roman" w:cs="Times New Roman"/>
          <w:sz w:val="16"/>
          <w:szCs w:val="18"/>
        </w:rPr>
      </w:pPr>
      <w:r>
        <w:rPr>
          <w:rFonts w:ascii="Times New Roman" w:eastAsia="Calibri" w:hAnsi="Times New Roman" w:cs="Times New Roman"/>
          <w:sz w:val="16"/>
          <w:szCs w:val="18"/>
        </w:rPr>
        <w:br w:type="page"/>
      </w:r>
    </w:p>
    <w:p w:rsidR="008A14B0" w:rsidRPr="001D70DA" w:rsidRDefault="008A14B0" w:rsidP="008A14B0">
      <w:pPr>
        <w:keepNext/>
        <w:spacing w:line="240" w:lineRule="auto"/>
        <w:rPr>
          <w:rFonts w:ascii="Times New Roman" w:eastAsia="Calibri" w:hAnsi="Times New Roman" w:cs="Times New Roman"/>
          <w:sz w:val="16"/>
          <w:szCs w:val="18"/>
        </w:rPr>
      </w:pPr>
      <w:bookmarkStart w:id="0" w:name="_GoBack"/>
      <w:bookmarkEnd w:id="0"/>
      <w:r w:rsidRPr="001D70DA">
        <w:rPr>
          <w:rFonts w:ascii="Times New Roman" w:eastAsia="Calibri" w:hAnsi="Times New Roman" w:cs="Times New Roman"/>
          <w:sz w:val="16"/>
          <w:szCs w:val="18"/>
        </w:rPr>
        <w:lastRenderedPageBreak/>
        <w:t>Table 2:</w:t>
      </w:r>
      <w:r w:rsidRPr="001D70DA">
        <w:rPr>
          <w:rFonts w:ascii="Times New Roman" w:eastAsia="Calibri" w:hAnsi="Times New Roman" w:cs="Times New Roman"/>
          <w:i/>
          <w:iCs/>
          <w:sz w:val="16"/>
          <w:szCs w:val="18"/>
        </w:rPr>
        <w:t xml:space="preserve"> The percentage of parents with a score in the (sub)clinical range per psychiatric symptom scale (italic) by the child diagnosis (bold) / all other child diagnoses . </w:t>
      </w:r>
    </w:p>
    <w:tbl>
      <w:tblPr>
        <w:tblW w:w="511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1254"/>
        <w:gridCol w:w="1254"/>
        <w:gridCol w:w="1253"/>
        <w:gridCol w:w="1253"/>
        <w:gridCol w:w="1253"/>
        <w:gridCol w:w="1317"/>
        <w:gridCol w:w="1015"/>
        <w:gridCol w:w="21"/>
      </w:tblGrid>
      <w:tr w:rsidR="008A14B0" w:rsidRPr="001D70DA" w:rsidTr="000C12B1">
        <w:tc>
          <w:tcPr>
            <w:tcW w:w="550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ADHD</w:t>
            </w:r>
          </w:p>
        </w:tc>
        <w:tc>
          <w:tcPr>
            <w:tcW w:w="647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ASD</w:t>
            </w:r>
          </w:p>
        </w:tc>
        <w:tc>
          <w:tcPr>
            <w:tcW w:w="647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Behavioral</w:t>
            </w:r>
          </w:p>
        </w:tc>
        <w:tc>
          <w:tcPr>
            <w:tcW w:w="647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Depression</w:t>
            </w:r>
          </w:p>
        </w:tc>
        <w:tc>
          <w:tcPr>
            <w:tcW w:w="647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Anxiety</w:t>
            </w:r>
          </w:p>
        </w:tc>
        <w:tc>
          <w:tcPr>
            <w:tcW w:w="680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  <w:t>Trauma</w:t>
            </w:r>
          </w:p>
        </w:tc>
        <w:tc>
          <w:tcPr>
            <w:tcW w:w="524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NOS</w:t>
            </w:r>
          </w:p>
        </w:tc>
        <w:tc>
          <w:tcPr>
            <w:tcW w:w="11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A14B0" w:rsidRPr="001D70DA" w:rsidRDefault="008A14B0" w:rsidP="000C12B1">
            <w:pPr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Yes / No</w:t>
            </w:r>
          </w:p>
        </w:tc>
        <w:tc>
          <w:tcPr>
            <w:tcW w:w="524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Yes / No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  <w:t>Depressive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14.3% / 13.4%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13.6% / 13.9%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16% / 13.7%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20.8% / 13.3%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13.3% / 14%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22.2% / 13.4%</w:t>
            </w:r>
          </w:p>
        </w:tc>
        <w:tc>
          <w:tcPr>
            <w:tcW w:w="524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10.2% / 14%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  <w:t>Anxiety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6.5% / 6.9%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6.8% / 6.6%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8% / 6.6%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12.3% / 6.3%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6.8% / 6.6%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11.1% / 6.5%</w:t>
            </w:r>
          </w:p>
        </w:tc>
        <w:tc>
          <w:tcPr>
            <w:tcW w:w="524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5.1% / 6.8%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  <w:t>Avoidant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8.9% / 9.1%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11.1% / 8.5%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7.4% / 9.1%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11.3% / 8.8%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9.3% / 8.9%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9.8% / 9%</w:t>
            </w:r>
          </w:p>
        </w:tc>
        <w:tc>
          <w:tcPr>
            <w:tcW w:w="524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6.6% / 9.1%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  <w:t>ADHD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15.2% / 9.8%*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12.7% / 12.1%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9.3% / 12.4%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17.5% / 11.8%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10.7% / 12.7%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12.2% / 12.4%</w:t>
            </w:r>
          </w:p>
        </w:tc>
        <w:tc>
          <w:tcPr>
            <w:tcW w:w="524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7.7% / 12.5%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  <w:tr w:rsidR="008A14B0" w:rsidRPr="001D70DA" w:rsidTr="000C12B1">
        <w:tc>
          <w:tcPr>
            <w:tcW w:w="550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i/>
                <w:iCs/>
                <w:sz w:val="14"/>
                <w:szCs w:val="16"/>
                <w:lang w:val="en-GB"/>
              </w:rPr>
              <w:t>Antisocial</w:t>
            </w:r>
          </w:p>
        </w:tc>
        <w:tc>
          <w:tcPr>
            <w:tcW w:w="647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9% / 5.7%</w:t>
            </w:r>
          </w:p>
        </w:tc>
        <w:tc>
          <w:tcPr>
            <w:tcW w:w="647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6.1% / 7.4%</w:t>
            </w:r>
          </w:p>
        </w:tc>
        <w:tc>
          <w:tcPr>
            <w:tcW w:w="647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10.5% / 7%</w:t>
            </w:r>
          </w:p>
        </w:tc>
        <w:tc>
          <w:tcPr>
            <w:tcW w:w="647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9.4% / 7%</w:t>
            </w:r>
          </w:p>
        </w:tc>
        <w:tc>
          <w:tcPr>
            <w:tcW w:w="647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4.7% / 8%</w:t>
            </w:r>
          </w:p>
        </w:tc>
        <w:tc>
          <w:tcPr>
            <w:tcW w:w="680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  <w:t>10.5% / 7%</w:t>
            </w:r>
          </w:p>
        </w:tc>
        <w:tc>
          <w:tcPr>
            <w:tcW w:w="524" w:type="pct"/>
            <w:tcBorders>
              <w:bottom w:val="single" w:sz="18" w:space="0" w:color="auto"/>
            </w:tcBorders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  <w:r w:rsidRPr="001D70DA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6.1% / 7.2%</w:t>
            </w:r>
          </w:p>
        </w:tc>
        <w:tc>
          <w:tcPr>
            <w:tcW w:w="11" w:type="pct"/>
          </w:tcPr>
          <w:p w:rsidR="008A14B0" w:rsidRPr="001D70DA" w:rsidRDefault="008A14B0" w:rsidP="000C1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en-GB"/>
              </w:rPr>
            </w:pPr>
          </w:p>
        </w:tc>
      </w:tr>
    </w:tbl>
    <w:p w:rsidR="008A14B0" w:rsidRPr="001D70DA" w:rsidRDefault="008A14B0" w:rsidP="008A14B0">
      <w:pPr>
        <w:keepNext/>
        <w:spacing w:line="240" w:lineRule="auto"/>
        <w:rPr>
          <w:rFonts w:ascii="Times New Roman" w:eastAsia="Calibri" w:hAnsi="Times New Roman" w:cs="Times New Roman"/>
          <w:sz w:val="16"/>
          <w:szCs w:val="18"/>
        </w:rPr>
      </w:pPr>
      <w:r w:rsidRPr="001D70DA">
        <w:rPr>
          <w:rFonts w:ascii="Times New Roman" w:eastAsia="Calibri" w:hAnsi="Times New Roman" w:cs="Times New Roman"/>
          <w:sz w:val="16"/>
          <w:szCs w:val="18"/>
        </w:rPr>
        <w:t>*</w:t>
      </w:r>
      <w:r w:rsidRPr="001D70DA">
        <w:rPr>
          <w:rFonts w:ascii="Times New Roman" w:eastAsia="Calibri" w:hAnsi="Times New Roman" w:cs="Times New Roman"/>
          <w:i/>
          <w:iCs/>
          <w:sz w:val="16"/>
          <w:szCs w:val="18"/>
        </w:rPr>
        <w:t xml:space="preserve">p </w:t>
      </w:r>
      <w:r w:rsidRPr="001D70DA">
        <w:rPr>
          <w:rFonts w:ascii="Times New Roman" w:eastAsia="Calibri" w:hAnsi="Times New Roman" w:cs="Times New Roman"/>
          <w:sz w:val="16"/>
          <w:szCs w:val="18"/>
        </w:rPr>
        <w:t>&lt; 0.004. ADHD: Attention deficit/hyperactivity disorders. ASD: Autism spectrum disorders. NOS: Disorders of infancy, childhood, or adolescence Not Otherwise Specified.</w:t>
      </w:r>
    </w:p>
    <w:p w:rsidR="0060254A" w:rsidRDefault="0060254A"/>
    <w:sectPr w:rsidR="006025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B0"/>
    <w:rsid w:val="0060254A"/>
    <w:rsid w:val="008A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14B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8A1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14B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8A1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Company>Vrije Universiteit Amsterdam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Wesseldijk, Laura</dc:creator>
  <cp:lastModifiedBy>Wesseldijk, Laura</cp:lastModifiedBy>
  <cp:revision>1</cp:revision>
  <dcterms:created xsi:type="dcterms:W3CDTF">2017-12-11T13:23:00Z</dcterms:created>
  <dcterms:modified xsi:type="dcterms:W3CDTF">2017-12-11T13:25:00Z</dcterms:modified>
</cp:coreProperties>
</file>