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47465" w14:textId="0B86FDA8" w:rsidR="00B703BD" w:rsidRDefault="001E6EFE">
      <w:pPr>
        <w:rPr>
          <w:rFonts w:ascii="Times New Roman" w:hAnsi="Times New Roman" w:cs="Times New Roman"/>
        </w:rPr>
      </w:pPr>
      <w:r w:rsidRPr="00393EF8">
        <w:rPr>
          <w:rFonts w:ascii="Times New Roman" w:hAnsi="Times New Roman" w:cs="Times New Roman"/>
          <w:b/>
          <w:bCs/>
        </w:rPr>
        <w:t>Supplementary File 3</w:t>
      </w:r>
      <w:r w:rsidR="00147F20" w:rsidRPr="00393EF8">
        <w:rPr>
          <w:rFonts w:ascii="Times New Roman" w:hAnsi="Times New Roman" w:cs="Times New Roman"/>
          <w:b/>
          <w:bCs/>
        </w:rPr>
        <w:t>.</w:t>
      </w:r>
      <w:r w:rsidR="00147F20">
        <w:rPr>
          <w:rFonts w:ascii="Times New Roman" w:hAnsi="Times New Roman" w:cs="Times New Roman"/>
        </w:rPr>
        <w:t xml:space="preserve"> Themes and exemplar quotes from panel experts in Round 1 and 2.</w:t>
      </w:r>
    </w:p>
    <w:p w14:paraId="53809584" w14:textId="06F4DAEC" w:rsidR="00147F20" w:rsidRDefault="00147F20">
      <w:pPr>
        <w:rPr>
          <w:rFonts w:ascii="Times New Roman" w:hAnsi="Times New Roman" w:cs="Times New Roman"/>
        </w:rPr>
      </w:pPr>
    </w:p>
    <w:tbl>
      <w:tblPr>
        <w:tblStyle w:val="TableGrid"/>
        <w:tblpPr w:leftFromText="180" w:rightFromText="180" w:vertAnchor="text" w:horzAnchor="margin" w:tblpY="214"/>
        <w:tblW w:w="10060" w:type="dxa"/>
        <w:tblCellMar>
          <w:top w:w="28" w:type="dxa"/>
          <w:bottom w:w="28" w:type="dxa"/>
        </w:tblCellMar>
        <w:tblLook w:val="04A0" w:firstRow="1" w:lastRow="0" w:firstColumn="1" w:lastColumn="0" w:noHBand="0" w:noVBand="1"/>
      </w:tblPr>
      <w:tblGrid>
        <w:gridCol w:w="2110"/>
        <w:gridCol w:w="7950"/>
      </w:tblGrid>
      <w:tr w:rsidR="00147F20" w:rsidRPr="0017691A" w14:paraId="687182EE" w14:textId="77777777" w:rsidTr="001D24C3">
        <w:tc>
          <w:tcPr>
            <w:tcW w:w="10060" w:type="dxa"/>
            <w:gridSpan w:val="2"/>
            <w:shd w:val="clear" w:color="auto" w:fill="D0CECE" w:themeFill="background2" w:themeFillShade="E6"/>
          </w:tcPr>
          <w:p w14:paraId="00D78E0F" w14:textId="77777777" w:rsidR="00147F20" w:rsidRPr="0017691A" w:rsidRDefault="00147F20" w:rsidP="001D24C3">
            <w:pPr>
              <w:jc w:val="center"/>
              <w:rPr>
                <w:rFonts w:ascii="Times New Roman" w:hAnsi="Times New Roman" w:cs="Times New Roman"/>
                <w:b/>
                <w:bCs/>
              </w:rPr>
            </w:pPr>
            <w:r>
              <w:rPr>
                <w:rFonts w:ascii="Times New Roman" w:hAnsi="Times New Roman" w:cs="Times New Roman"/>
                <w:b/>
                <w:bCs/>
              </w:rPr>
              <w:t>Exemplar quotes</w:t>
            </w:r>
            <w:r w:rsidRPr="0017691A">
              <w:rPr>
                <w:rFonts w:ascii="Times New Roman" w:hAnsi="Times New Roman" w:cs="Times New Roman"/>
                <w:b/>
                <w:bCs/>
              </w:rPr>
              <w:t xml:space="preserve"> from </w:t>
            </w:r>
            <w:r>
              <w:rPr>
                <w:rFonts w:ascii="Times New Roman" w:hAnsi="Times New Roman" w:cs="Times New Roman"/>
                <w:b/>
                <w:bCs/>
              </w:rPr>
              <w:t xml:space="preserve">panel </w:t>
            </w:r>
            <w:r w:rsidRPr="0017691A">
              <w:rPr>
                <w:rFonts w:ascii="Times New Roman" w:hAnsi="Times New Roman" w:cs="Times New Roman"/>
                <w:b/>
                <w:bCs/>
              </w:rPr>
              <w:t>expert</w:t>
            </w:r>
            <w:r>
              <w:rPr>
                <w:rFonts w:ascii="Times New Roman" w:hAnsi="Times New Roman" w:cs="Times New Roman"/>
                <w:b/>
                <w:bCs/>
              </w:rPr>
              <w:t>s</w:t>
            </w:r>
          </w:p>
        </w:tc>
      </w:tr>
      <w:tr w:rsidR="00147F20" w:rsidRPr="0017691A" w14:paraId="05C5AACC" w14:textId="77777777" w:rsidTr="001D24C3">
        <w:trPr>
          <w:trHeight w:val="243"/>
        </w:trPr>
        <w:tc>
          <w:tcPr>
            <w:tcW w:w="2110" w:type="dxa"/>
            <w:vMerge w:val="restart"/>
            <w:tcBorders>
              <w:top w:val="nil"/>
            </w:tcBorders>
            <w:shd w:val="clear" w:color="auto" w:fill="F2F2F2" w:themeFill="background1" w:themeFillShade="F2"/>
            <w:vAlign w:val="center"/>
          </w:tcPr>
          <w:p w14:paraId="65B8C81D" w14:textId="77777777" w:rsidR="00147F20" w:rsidRPr="0017691A" w:rsidRDefault="00147F20" w:rsidP="001D24C3">
            <w:pPr>
              <w:rPr>
                <w:rFonts w:ascii="Times New Roman" w:hAnsi="Times New Roman" w:cs="Times New Roman"/>
                <w:b/>
                <w:bCs/>
              </w:rPr>
            </w:pPr>
            <w:r w:rsidRPr="0017691A">
              <w:rPr>
                <w:rFonts w:ascii="Times New Roman" w:hAnsi="Times New Roman" w:cs="Times New Roman"/>
                <w:b/>
                <w:bCs/>
              </w:rPr>
              <w:t xml:space="preserve">Theme 1: </w:t>
            </w:r>
          </w:p>
          <w:p w14:paraId="7CE1FC2A" w14:textId="77777777" w:rsidR="00147F20" w:rsidRPr="0017691A" w:rsidRDefault="00147F20" w:rsidP="001D24C3">
            <w:pPr>
              <w:rPr>
                <w:rFonts w:ascii="Times New Roman" w:hAnsi="Times New Roman" w:cs="Times New Roman"/>
                <w:b/>
                <w:bCs/>
              </w:rPr>
            </w:pPr>
            <w:r w:rsidRPr="0017691A">
              <w:rPr>
                <w:rFonts w:ascii="Times New Roman" w:hAnsi="Times New Roman" w:cs="Times New Roman"/>
                <w:b/>
                <w:bCs/>
              </w:rPr>
              <w:t xml:space="preserve">CAMHS &amp; AMHS </w:t>
            </w:r>
            <w:r>
              <w:rPr>
                <w:rFonts w:ascii="Times New Roman" w:hAnsi="Times New Roman" w:cs="Times New Roman"/>
                <w:b/>
                <w:bCs/>
              </w:rPr>
              <w:t>c</w:t>
            </w:r>
            <w:r w:rsidRPr="0017691A">
              <w:rPr>
                <w:rFonts w:ascii="Times New Roman" w:hAnsi="Times New Roman" w:cs="Times New Roman"/>
                <w:b/>
                <w:bCs/>
              </w:rPr>
              <w:t>ollaboration</w:t>
            </w:r>
          </w:p>
        </w:tc>
        <w:tc>
          <w:tcPr>
            <w:tcW w:w="7950" w:type="dxa"/>
            <w:tcBorders>
              <w:top w:val="nil"/>
            </w:tcBorders>
            <w:shd w:val="clear" w:color="auto" w:fill="F2F2F2" w:themeFill="background1" w:themeFillShade="F2"/>
          </w:tcPr>
          <w:p w14:paraId="0493CC3A" w14:textId="77777777" w:rsidR="00147F20" w:rsidRPr="0017691A" w:rsidRDefault="00147F20" w:rsidP="001D24C3">
            <w:pPr>
              <w:tabs>
                <w:tab w:val="left" w:pos="1480"/>
              </w:tabs>
              <w:rPr>
                <w:rFonts w:ascii="Times New Roman" w:hAnsi="Times New Roman" w:cs="Times New Roman"/>
              </w:rPr>
            </w:pPr>
            <w:r w:rsidRPr="0017691A">
              <w:rPr>
                <w:rFonts w:ascii="Times New Roman" w:hAnsi="Times New Roman" w:cs="Times New Roman"/>
              </w:rPr>
              <w:t xml:space="preserve">“If AMHS run parallel to CAMHS during transition, sharing documents is less critical, as they are obtaining information/exposure to the youth directly.” </w:t>
            </w:r>
          </w:p>
          <w:p w14:paraId="350E6F04" w14:textId="77777777" w:rsidR="00147F20" w:rsidRPr="0017691A" w:rsidRDefault="00147F20" w:rsidP="001D24C3">
            <w:pPr>
              <w:tabs>
                <w:tab w:val="left" w:pos="1480"/>
              </w:tabs>
              <w:rPr>
                <w:rFonts w:ascii="Times New Roman" w:hAnsi="Times New Roman" w:cs="Times New Roman"/>
              </w:rPr>
            </w:pPr>
            <w:r w:rsidRPr="0017691A">
              <w:rPr>
                <w:rFonts w:ascii="Times New Roman" w:hAnsi="Times New Roman" w:cs="Times New Roman"/>
                <w:i/>
                <w:iCs/>
              </w:rPr>
              <w:t>Caregiver (Round 1, Component 5.3)</w:t>
            </w:r>
          </w:p>
        </w:tc>
      </w:tr>
      <w:tr w:rsidR="00147F20" w:rsidRPr="0017691A" w14:paraId="5FDE9E81" w14:textId="77777777" w:rsidTr="001D24C3">
        <w:trPr>
          <w:trHeight w:val="243"/>
        </w:trPr>
        <w:tc>
          <w:tcPr>
            <w:tcW w:w="2110" w:type="dxa"/>
            <w:vMerge/>
            <w:shd w:val="clear" w:color="auto" w:fill="F2F2F2" w:themeFill="background1" w:themeFillShade="F2"/>
            <w:vAlign w:val="center"/>
          </w:tcPr>
          <w:p w14:paraId="0B360C62" w14:textId="77777777" w:rsidR="00147F20" w:rsidRPr="0017691A" w:rsidRDefault="00147F20" w:rsidP="001D24C3">
            <w:pPr>
              <w:rPr>
                <w:rFonts w:ascii="Times New Roman" w:hAnsi="Times New Roman" w:cs="Times New Roman"/>
              </w:rPr>
            </w:pPr>
          </w:p>
        </w:tc>
        <w:tc>
          <w:tcPr>
            <w:tcW w:w="7950" w:type="dxa"/>
            <w:tcBorders>
              <w:top w:val="nil"/>
            </w:tcBorders>
            <w:shd w:val="clear" w:color="auto" w:fill="F2F2F2" w:themeFill="background1" w:themeFillShade="F2"/>
          </w:tcPr>
          <w:p w14:paraId="3385CEE3" w14:textId="77777777" w:rsidR="00147F20" w:rsidRPr="0017691A" w:rsidRDefault="00147F20" w:rsidP="001D24C3">
            <w:pPr>
              <w:rPr>
                <w:rFonts w:ascii="Times New Roman" w:hAnsi="Times New Roman" w:cs="Times New Roman"/>
              </w:rPr>
            </w:pPr>
            <w:r w:rsidRPr="0017691A">
              <w:rPr>
                <w:rFonts w:ascii="Times New Roman" w:hAnsi="Times New Roman" w:cs="Times New Roman"/>
              </w:rPr>
              <w:t xml:space="preserve">“There needs to be real collaboration between the two for this to work.  I feel some groundwork will need to be done around changing cultural thinking about seamless services for youth, especially in the adult side of services.” </w:t>
            </w:r>
          </w:p>
          <w:p w14:paraId="2F5EB8A7" w14:textId="77777777" w:rsidR="00147F20" w:rsidRPr="0017691A" w:rsidRDefault="00147F20" w:rsidP="001D24C3">
            <w:pPr>
              <w:rPr>
                <w:rFonts w:ascii="Times New Roman" w:hAnsi="Times New Roman" w:cs="Times New Roman"/>
              </w:rPr>
            </w:pPr>
            <w:r w:rsidRPr="0017691A">
              <w:rPr>
                <w:rFonts w:ascii="Times New Roman" w:hAnsi="Times New Roman" w:cs="Times New Roman"/>
                <w:i/>
                <w:iCs/>
              </w:rPr>
              <w:t>Clinician (Round 1, Component 1.3)</w:t>
            </w:r>
          </w:p>
        </w:tc>
      </w:tr>
      <w:tr w:rsidR="00147F20" w:rsidRPr="0017691A" w14:paraId="6861AFED" w14:textId="77777777" w:rsidTr="001D24C3">
        <w:trPr>
          <w:trHeight w:val="243"/>
        </w:trPr>
        <w:tc>
          <w:tcPr>
            <w:tcW w:w="2110" w:type="dxa"/>
            <w:vMerge/>
            <w:shd w:val="clear" w:color="auto" w:fill="F2F2F2" w:themeFill="background1" w:themeFillShade="F2"/>
            <w:vAlign w:val="center"/>
          </w:tcPr>
          <w:p w14:paraId="7A73B1C5" w14:textId="77777777" w:rsidR="00147F20" w:rsidRPr="0017691A" w:rsidRDefault="00147F20" w:rsidP="001D24C3">
            <w:pPr>
              <w:rPr>
                <w:rFonts w:ascii="Times New Roman" w:hAnsi="Times New Roman" w:cs="Times New Roman"/>
              </w:rPr>
            </w:pPr>
          </w:p>
        </w:tc>
        <w:tc>
          <w:tcPr>
            <w:tcW w:w="7950" w:type="dxa"/>
            <w:tcBorders>
              <w:top w:val="nil"/>
            </w:tcBorders>
            <w:shd w:val="clear" w:color="auto" w:fill="F2F2F2" w:themeFill="background1" w:themeFillShade="F2"/>
          </w:tcPr>
          <w:p w14:paraId="4377DCE2" w14:textId="77777777" w:rsidR="00147F20" w:rsidRPr="0017691A" w:rsidRDefault="00147F20" w:rsidP="001D24C3">
            <w:pPr>
              <w:rPr>
                <w:rFonts w:ascii="Times New Roman" w:hAnsi="Times New Roman" w:cs="Times New Roman"/>
              </w:rPr>
            </w:pPr>
            <w:r w:rsidRPr="0017691A">
              <w:rPr>
                <w:rFonts w:ascii="Times New Roman" w:hAnsi="Times New Roman" w:cs="Times New Roman"/>
              </w:rPr>
              <w:t xml:space="preserve">“… I see the need for ministry level expectations to be shared that provide a clear and fully informed expectation of transition service improvement that does not allow for organizational influence to be greater than the required outcome for improved transition.” </w:t>
            </w:r>
            <w:r w:rsidRPr="0017691A">
              <w:rPr>
                <w:rFonts w:ascii="Times New Roman" w:hAnsi="Times New Roman" w:cs="Times New Roman"/>
                <w:i/>
                <w:iCs/>
              </w:rPr>
              <w:t>Administrator (Round 2, Component 1.2)</w:t>
            </w:r>
          </w:p>
        </w:tc>
      </w:tr>
      <w:tr w:rsidR="00147F20" w:rsidRPr="0017691A" w14:paraId="5427B87D" w14:textId="77777777" w:rsidTr="001D24C3">
        <w:trPr>
          <w:trHeight w:val="566"/>
        </w:trPr>
        <w:tc>
          <w:tcPr>
            <w:tcW w:w="2110" w:type="dxa"/>
            <w:vMerge w:val="restart"/>
            <w:vAlign w:val="center"/>
          </w:tcPr>
          <w:p w14:paraId="06A71189" w14:textId="77777777" w:rsidR="00147F20" w:rsidRPr="0017691A" w:rsidRDefault="00147F20" w:rsidP="001D24C3">
            <w:pPr>
              <w:rPr>
                <w:rFonts w:ascii="Times New Roman" w:hAnsi="Times New Roman" w:cs="Times New Roman"/>
              </w:rPr>
            </w:pPr>
            <w:r w:rsidRPr="0017691A">
              <w:rPr>
                <w:rFonts w:ascii="Times New Roman" w:hAnsi="Times New Roman" w:cs="Times New Roman"/>
                <w:b/>
                <w:bCs/>
              </w:rPr>
              <w:t>Theme 2: Recommendations on how to operationalize the core components</w:t>
            </w:r>
          </w:p>
        </w:tc>
        <w:tc>
          <w:tcPr>
            <w:tcW w:w="7950" w:type="dxa"/>
          </w:tcPr>
          <w:p w14:paraId="5258609A" w14:textId="77777777" w:rsidR="00147F20" w:rsidRPr="0017691A" w:rsidRDefault="00147F20" w:rsidP="001D24C3">
            <w:pPr>
              <w:rPr>
                <w:rFonts w:ascii="Times New Roman" w:hAnsi="Times New Roman" w:cs="Times New Roman"/>
              </w:rPr>
            </w:pPr>
            <w:r w:rsidRPr="0017691A">
              <w:rPr>
                <w:rFonts w:ascii="Times New Roman" w:hAnsi="Times New Roman" w:cs="Times New Roman"/>
              </w:rPr>
              <w:t xml:space="preserve">“As well, I think it should be a policy made by transitional aged youth, as opposed to input by youth.” </w:t>
            </w:r>
          </w:p>
          <w:p w14:paraId="237ED7C0" w14:textId="77777777" w:rsidR="00147F20" w:rsidRPr="0017691A" w:rsidRDefault="00147F20" w:rsidP="001D24C3">
            <w:pPr>
              <w:rPr>
                <w:rFonts w:ascii="Times New Roman" w:hAnsi="Times New Roman" w:cs="Times New Roman"/>
              </w:rPr>
            </w:pPr>
            <w:r w:rsidRPr="0017691A">
              <w:rPr>
                <w:rFonts w:ascii="Times New Roman" w:hAnsi="Times New Roman" w:cs="Times New Roman"/>
                <w:i/>
                <w:iCs/>
              </w:rPr>
              <w:t>Youth (Round 1, Component 1.2)</w:t>
            </w:r>
            <w:r w:rsidRPr="0017691A">
              <w:rPr>
                <w:rFonts w:ascii="Times New Roman" w:hAnsi="Times New Roman" w:cs="Times New Roman"/>
              </w:rPr>
              <w:t xml:space="preserve"> </w:t>
            </w:r>
          </w:p>
        </w:tc>
      </w:tr>
      <w:tr w:rsidR="00147F20" w:rsidRPr="0017691A" w14:paraId="5D9ED6A4" w14:textId="77777777" w:rsidTr="001D24C3">
        <w:trPr>
          <w:trHeight w:val="566"/>
        </w:trPr>
        <w:tc>
          <w:tcPr>
            <w:tcW w:w="2110" w:type="dxa"/>
            <w:vMerge/>
            <w:vAlign w:val="center"/>
          </w:tcPr>
          <w:p w14:paraId="12DD8827" w14:textId="77777777" w:rsidR="00147F20" w:rsidRPr="0017691A" w:rsidRDefault="00147F20" w:rsidP="001D24C3">
            <w:pPr>
              <w:rPr>
                <w:rFonts w:ascii="Times New Roman" w:hAnsi="Times New Roman" w:cs="Times New Roman"/>
                <w:b/>
                <w:bCs/>
              </w:rPr>
            </w:pPr>
          </w:p>
        </w:tc>
        <w:tc>
          <w:tcPr>
            <w:tcW w:w="7950" w:type="dxa"/>
          </w:tcPr>
          <w:p w14:paraId="57BCF37E" w14:textId="77777777" w:rsidR="00147F20" w:rsidRPr="0017691A" w:rsidRDefault="00147F20" w:rsidP="001D24C3">
            <w:pPr>
              <w:rPr>
                <w:rFonts w:ascii="Times New Roman" w:hAnsi="Times New Roman" w:cs="Times New Roman"/>
                <w:color w:val="000000"/>
              </w:rPr>
            </w:pPr>
            <w:r w:rsidRPr="0017691A">
              <w:rPr>
                <w:rFonts w:ascii="Times New Roman" w:hAnsi="Times New Roman" w:cs="Times New Roman"/>
                <w:color w:val="000000"/>
              </w:rPr>
              <w:t xml:space="preserve">“In addition to criteria, there may need to be some room for understanding special </w:t>
            </w:r>
            <w:proofErr w:type="gramStart"/>
            <w:r w:rsidRPr="0017691A">
              <w:rPr>
                <w:rFonts w:ascii="Times New Roman" w:hAnsi="Times New Roman" w:cs="Times New Roman"/>
                <w:color w:val="000000"/>
              </w:rPr>
              <w:t>circumstances</w:t>
            </w:r>
            <w:proofErr w:type="gramEnd"/>
            <w:r w:rsidRPr="0017691A">
              <w:rPr>
                <w:rFonts w:ascii="Times New Roman" w:hAnsi="Times New Roman" w:cs="Times New Roman"/>
                <w:color w:val="000000"/>
              </w:rPr>
              <w:t xml:space="preserve"> so the system is not too rigid.” </w:t>
            </w:r>
          </w:p>
          <w:p w14:paraId="06D612E0" w14:textId="77777777" w:rsidR="00147F20" w:rsidRPr="0017691A" w:rsidRDefault="00147F20" w:rsidP="001D24C3">
            <w:pPr>
              <w:rPr>
                <w:rFonts w:ascii="Times New Roman" w:hAnsi="Times New Roman" w:cs="Times New Roman"/>
              </w:rPr>
            </w:pPr>
            <w:r w:rsidRPr="0017691A">
              <w:rPr>
                <w:rFonts w:ascii="Times New Roman" w:hAnsi="Times New Roman" w:cs="Times New Roman"/>
                <w:i/>
                <w:iCs/>
                <w:color w:val="000000"/>
              </w:rPr>
              <w:t>Caregiver (Round 1, Component 2.1)</w:t>
            </w:r>
            <w:r w:rsidRPr="0017691A">
              <w:rPr>
                <w:rFonts w:ascii="Times New Roman" w:hAnsi="Times New Roman" w:cs="Times New Roman"/>
                <w:color w:val="000000"/>
              </w:rPr>
              <w:t xml:space="preserve"> </w:t>
            </w:r>
          </w:p>
        </w:tc>
      </w:tr>
      <w:tr w:rsidR="00147F20" w:rsidRPr="0017691A" w14:paraId="5DCC630C" w14:textId="77777777" w:rsidTr="001D24C3">
        <w:trPr>
          <w:trHeight w:val="276"/>
        </w:trPr>
        <w:tc>
          <w:tcPr>
            <w:tcW w:w="2110" w:type="dxa"/>
            <w:vMerge/>
            <w:vAlign w:val="center"/>
          </w:tcPr>
          <w:p w14:paraId="319D456B" w14:textId="77777777" w:rsidR="00147F20" w:rsidRPr="0017691A" w:rsidRDefault="00147F20" w:rsidP="001D24C3">
            <w:pPr>
              <w:rPr>
                <w:rFonts w:ascii="Times New Roman" w:hAnsi="Times New Roman" w:cs="Times New Roman"/>
              </w:rPr>
            </w:pPr>
          </w:p>
        </w:tc>
        <w:tc>
          <w:tcPr>
            <w:tcW w:w="7950" w:type="dxa"/>
          </w:tcPr>
          <w:p w14:paraId="797CECAA" w14:textId="77777777" w:rsidR="00147F20" w:rsidRPr="0017691A" w:rsidRDefault="00147F20" w:rsidP="001D24C3">
            <w:pPr>
              <w:rPr>
                <w:rFonts w:ascii="Times New Roman" w:hAnsi="Times New Roman" w:cs="Times New Roman"/>
              </w:rPr>
            </w:pPr>
            <w:r w:rsidRPr="0017691A">
              <w:rPr>
                <w:rFonts w:ascii="Times New Roman" w:hAnsi="Times New Roman" w:cs="Times New Roman"/>
              </w:rPr>
              <w:t xml:space="preserve">“I don't think additional paperwork is useful. Instead, I suggest a clearly laid-out protocol, that the clinician follows (and charts in the usual progress notes)” </w:t>
            </w:r>
          </w:p>
          <w:p w14:paraId="48902AF2" w14:textId="77777777" w:rsidR="00147F20" w:rsidRPr="0017691A" w:rsidRDefault="00147F20" w:rsidP="001D24C3">
            <w:pPr>
              <w:rPr>
                <w:rFonts w:ascii="Times New Roman" w:hAnsi="Times New Roman" w:cs="Times New Roman"/>
                <w:i/>
                <w:iCs/>
              </w:rPr>
            </w:pPr>
            <w:r w:rsidRPr="0017691A">
              <w:rPr>
                <w:rFonts w:ascii="Times New Roman" w:hAnsi="Times New Roman" w:cs="Times New Roman"/>
                <w:i/>
                <w:iCs/>
              </w:rPr>
              <w:t>Clinician (Round 2, Component 4.5)</w:t>
            </w:r>
          </w:p>
        </w:tc>
      </w:tr>
      <w:tr w:rsidR="00147F20" w:rsidRPr="0017691A" w14:paraId="02FA2681" w14:textId="77777777" w:rsidTr="001D24C3">
        <w:tc>
          <w:tcPr>
            <w:tcW w:w="2110" w:type="dxa"/>
            <w:vMerge/>
            <w:vAlign w:val="center"/>
          </w:tcPr>
          <w:p w14:paraId="0500BB19" w14:textId="77777777" w:rsidR="00147F20" w:rsidRPr="0017691A" w:rsidRDefault="00147F20" w:rsidP="001D24C3">
            <w:pPr>
              <w:rPr>
                <w:rFonts w:ascii="Times New Roman" w:hAnsi="Times New Roman" w:cs="Times New Roman"/>
                <w:color w:val="000000"/>
              </w:rPr>
            </w:pPr>
          </w:p>
        </w:tc>
        <w:tc>
          <w:tcPr>
            <w:tcW w:w="7950" w:type="dxa"/>
          </w:tcPr>
          <w:p w14:paraId="08166B9A" w14:textId="77777777" w:rsidR="00147F20" w:rsidRPr="0017691A" w:rsidRDefault="00147F20" w:rsidP="001D24C3">
            <w:pPr>
              <w:rPr>
                <w:rFonts w:ascii="Times New Roman" w:hAnsi="Times New Roman" w:cs="Times New Roman"/>
              </w:rPr>
            </w:pPr>
            <w:r w:rsidRPr="0017691A">
              <w:rPr>
                <w:rFonts w:ascii="Times New Roman" w:hAnsi="Times New Roman" w:cs="Times New Roman"/>
              </w:rPr>
              <w:t xml:space="preserve">“Requires high quality systems to support this so it becomes part of care not an addition to care. Otherwise affects capacity to provide services.” </w:t>
            </w:r>
          </w:p>
          <w:p w14:paraId="5F2AAB4A" w14:textId="77777777" w:rsidR="00147F20" w:rsidRPr="0017691A" w:rsidRDefault="00147F20" w:rsidP="001D24C3">
            <w:pPr>
              <w:rPr>
                <w:rFonts w:ascii="Times New Roman" w:hAnsi="Times New Roman" w:cs="Times New Roman"/>
                <w:color w:val="000000"/>
              </w:rPr>
            </w:pPr>
            <w:r w:rsidRPr="0017691A">
              <w:rPr>
                <w:rFonts w:ascii="Times New Roman" w:hAnsi="Times New Roman" w:cs="Times New Roman"/>
                <w:i/>
                <w:iCs/>
              </w:rPr>
              <w:t>Administrator (Round 1, Component 4.8)</w:t>
            </w:r>
          </w:p>
        </w:tc>
      </w:tr>
      <w:tr w:rsidR="00147F20" w:rsidRPr="0017691A" w14:paraId="2306CF45" w14:textId="77777777" w:rsidTr="001D24C3">
        <w:trPr>
          <w:trHeight w:val="566"/>
        </w:trPr>
        <w:tc>
          <w:tcPr>
            <w:tcW w:w="2110" w:type="dxa"/>
            <w:vMerge w:val="restart"/>
            <w:shd w:val="clear" w:color="auto" w:fill="F2F2F2" w:themeFill="background1" w:themeFillShade="F2"/>
            <w:vAlign w:val="center"/>
          </w:tcPr>
          <w:p w14:paraId="51A3D690" w14:textId="77777777" w:rsidR="00147F20" w:rsidRPr="0017691A" w:rsidRDefault="00147F20" w:rsidP="001D24C3">
            <w:pPr>
              <w:rPr>
                <w:rFonts w:ascii="Times New Roman" w:hAnsi="Times New Roman" w:cs="Times New Roman"/>
                <w:b/>
                <w:bCs/>
              </w:rPr>
            </w:pPr>
            <w:r w:rsidRPr="0017691A">
              <w:rPr>
                <w:rFonts w:ascii="Times New Roman" w:hAnsi="Times New Roman" w:cs="Times New Roman"/>
                <w:b/>
                <w:bCs/>
              </w:rPr>
              <w:t xml:space="preserve">Theme 3: </w:t>
            </w:r>
          </w:p>
          <w:p w14:paraId="156B38E5" w14:textId="77777777" w:rsidR="00147F20" w:rsidRPr="0017691A" w:rsidRDefault="00147F20" w:rsidP="001D24C3">
            <w:pPr>
              <w:rPr>
                <w:rFonts w:ascii="Times New Roman" w:hAnsi="Times New Roman" w:cs="Times New Roman"/>
              </w:rPr>
            </w:pPr>
            <w:r w:rsidRPr="0017691A">
              <w:rPr>
                <w:rFonts w:ascii="Times New Roman" w:hAnsi="Times New Roman" w:cs="Times New Roman"/>
                <w:b/>
                <w:bCs/>
              </w:rPr>
              <w:t>Barriers to implementation</w:t>
            </w:r>
          </w:p>
        </w:tc>
        <w:tc>
          <w:tcPr>
            <w:tcW w:w="7950" w:type="dxa"/>
            <w:shd w:val="clear" w:color="auto" w:fill="F2F2F2" w:themeFill="background1" w:themeFillShade="F2"/>
          </w:tcPr>
          <w:p w14:paraId="4D7266DB" w14:textId="77777777" w:rsidR="00147F20" w:rsidRPr="0017691A" w:rsidRDefault="00147F20" w:rsidP="001D24C3">
            <w:pPr>
              <w:rPr>
                <w:rFonts w:ascii="Times New Roman" w:hAnsi="Times New Roman" w:cs="Times New Roman"/>
              </w:rPr>
            </w:pPr>
            <w:r w:rsidRPr="0017691A">
              <w:rPr>
                <w:rFonts w:ascii="Times New Roman" w:hAnsi="Times New Roman" w:cs="Times New Roman"/>
              </w:rPr>
              <w:t xml:space="preserve">“This seems like a good </w:t>
            </w:r>
            <w:proofErr w:type="gramStart"/>
            <w:r w:rsidRPr="0017691A">
              <w:rPr>
                <w:rFonts w:ascii="Times New Roman" w:hAnsi="Times New Roman" w:cs="Times New Roman"/>
              </w:rPr>
              <w:t>idea,</w:t>
            </w:r>
            <w:proofErr w:type="gramEnd"/>
            <w:r w:rsidRPr="0017691A">
              <w:rPr>
                <w:rFonts w:ascii="Times New Roman" w:hAnsi="Times New Roman" w:cs="Times New Roman"/>
              </w:rPr>
              <w:t xml:space="preserve"> however, it seems highly unfeasible as this would probably take a lot of time on behalf of both the AMHS provider and the CAMHS clinician. It may take away from their time being able to provide services to those who need it” </w:t>
            </w:r>
          </w:p>
          <w:p w14:paraId="38E0CC35" w14:textId="77777777" w:rsidR="00147F20" w:rsidRPr="0017691A" w:rsidRDefault="00147F20" w:rsidP="001D24C3">
            <w:pPr>
              <w:rPr>
                <w:rFonts w:ascii="Times New Roman" w:hAnsi="Times New Roman" w:cs="Times New Roman"/>
              </w:rPr>
            </w:pPr>
            <w:r w:rsidRPr="0017691A">
              <w:rPr>
                <w:rFonts w:ascii="Times New Roman" w:hAnsi="Times New Roman" w:cs="Times New Roman"/>
                <w:i/>
                <w:iCs/>
              </w:rPr>
              <w:t>Youth (Round 1, Component 4.7)</w:t>
            </w:r>
          </w:p>
        </w:tc>
      </w:tr>
      <w:tr w:rsidR="00147F20" w:rsidRPr="0017691A" w14:paraId="732619F3" w14:textId="77777777" w:rsidTr="001D24C3">
        <w:trPr>
          <w:trHeight w:val="566"/>
        </w:trPr>
        <w:tc>
          <w:tcPr>
            <w:tcW w:w="2110" w:type="dxa"/>
            <w:vMerge/>
            <w:shd w:val="clear" w:color="auto" w:fill="F2F2F2" w:themeFill="background1" w:themeFillShade="F2"/>
            <w:vAlign w:val="center"/>
          </w:tcPr>
          <w:p w14:paraId="574A3E84" w14:textId="77777777" w:rsidR="00147F20" w:rsidRPr="0017691A" w:rsidRDefault="00147F20" w:rsidP="001D24C3">
            <w:pPr>
              <w:rPr>
                <w:rFonts w:ascii="Times New Roman" w:hAnsi="Times New Roman" w:cs="Times New Roman"/>
                <w:b/>
                <w:bCs/>
              </w:rPr>
            </w:pPr>
          </w:p>
        </w:tc>
        <w:tc>
          <w:tcPr>
            <w:tcW w:w="7950" w:type="dxa"/>
            <w:shd w:val="clear" w:color="auto" w:fill="F2F2F2" w:themeFill="background1" w:themeFillShade="F2"/>
          </w:tcPr>
          <w:p w14:paraId="564D2D7C" w14:textId="77777777" w:rsidR="00147F20" w:rsidRPr="0017691A" w:rsidRDefault="00147F20" w:rsidP="001D24C3">
            <w:pPr>
              <w:rPr>
                <w:rFonts w:ascii="Times New Roman" w:hAnsi="Times New Roman" w:cs="Times New Roman"/>
              </w:rPr>
            </w:pPr>
            <w:r w:rsidRPr="0017691A">
              <w:rPr>
                <w:rFonts w:ascii="Times New Roman" w:hAnsi="Times New Roman" w:cs="Times New Roman"/>
              </w:rPr>
              <w:t xml:space="preserve">“optimal timing is great, but reality is waitlists and age/birthday dictate the schedule more than the optimal schedule ever would/could” </w:t>
            </w:r>
          </w:p>
          <w:p w14:paraId="69D6DE96" w14:textId="77777777" w:rsidR="00147F20" w:rsidRPr="0017691A" w:rsidRDefault="00147F20" w:rsidP="001D24C3">
            <w:pPr>
              <w:rPr>
                <w:rFonts w:ascii="Times New Roman" w:hAnsi="Times New Roman" w:cs="Times New Roman"/>
              </w:rPr>
            </w:pPr>
            <w:r w:rsidRPr="0017691A">
              <w:rPr>
                <w:rFonts w:ascii="Times New Roman" w:hAnsi="Times New Roman" w:cs="Times New Roman"/>
                <w:i/>
                <w:iCs/>
              </w:rPr>
              <w:t>Caregiver (Round 1, Component 5.1)</w:t>
            </w:r>
          </w:p>
        </w:tc>
      </w:tr>
      <w:tr w:rsidR="00147F20" w:rsidRPr="0017691A" w14:paraId="0158BCD5" w14:textId="77777777" w:rsidTr="001D24C3">
        <w:trPr>
          <w:trHeight w:val="413"/>
        </w:trPr>
        <w:tc>
          <w:tcPr>
            <w:tcW w:w="2110" w:type="dxa"/>
            <w:vMerge/>
            <w:shd w:val="clear" w:color="auto" w:fill="F2F2F2" w:themeFill="background1" w:themeFillShade="F2"/>
          </w:tcPr>
          <w:p w14:paraId="17BE69FA" w14:textId="77777777" w:rsidR="00147F20" w:rsidRPr="0017691A" w:rsidRDefault="00147F20" w:rsidP="001D24C3">
            <w:pPr>
              <w:rPr>
                <w:rFonts w:ascii="Times New Roman" w:hAnsi="Times New Roman" w:cs="Times New Roman"/>
              </w:rPr>
            </w:pPr>
          </w:p>
        </w:tc>
        <w:tc>
          <w:tcPr>
            <w:tcW w:w="7950" w:type="dxa"/>
            <w:shd w:val="clear" w:color="auto" w:fill="F2F2F2" w:themeFill="background1" w:themeFillShade="F2"/>
          </w:tcPr>
          <w:p w14:paraId="7EF46878" w14:textId="77777777" w:rsidR="00147F20" w:rsidRPr="0017691A" w:rsidRDefault="00147F20" w:rsidP="001D24C3">
            <w:pPr>
              <w:rPr>
                <w:rFonts w:ascii="Times New Roman" w:hAnsi="Times New Roman" w:cs="Times New Roman"/>
              </w:rPr>
            </w:pPr>
            <w:r w:rsidRPr="0017691A">
              <w:rPr>
                <w:rFonts w:ascii="Times New Roman" w:hAnsi="Times New Roman" w:cs="Times New Roman"/>
              </w:rPr>
              <w:t xml:space="preserve">“Until the referral has been made and accepted and the youth has been assessed (which cannot be done before a certain age) there IS no adult clinician to collaborate with” </w:t>
            </w:r>
            <w:r w:rsidRPr="0017691A">
              <w:rPr>
                <w:rFonts w:ascii="Times New Roman" w:hAnsi="Times New Roman" w:cs="Times New Roman"/>
                <w:i/>
                <w:iCs/>
              </w:rPr>
              <w:t>Clinician, Round 2, Component 4.7</w:t>
            </w:r>
            <w:r w:rsidRPr="0017691A">
              <w:rPr>
                <w:rFonts w:ascii="Times New Roman" w:hAnsi="Times New Roman" w:cs="Times New Roman"/>
              </w:rPr>
              <w:t xml:space="preserve"> </w:t>
            </w:r>
          </w:p>
        </w:tc>
      </w:tr>
      <w:tr w:rsidR="00147F20" w:rsidRPr="0017691A" w14:paraId="0FF56BB3" w14:textId="77777777" w:rsidTr="001D24C3">
        <w:trPr>
          <w:trHeight w:val="413"/>
        </w:trPr>
        <w:tc>
          <w:tcPr>
            <w:tcW w:w="2110" w:type="dxa"/>
            <w:vMerge/>
            <w:shd w:val="clear" w:color="auto" w:fill="F2F2F2" w:themeFill="background1" w:themeFillShade="F2"/>
          </w:tcPr>
          <w:p w14:paraId="4450E6F5" w14:textId="77777777" w:rsidR="00147F20" w:rsidRPr="0017691A" w:rsidRDefault="00147F20" w:rsidP="001D24C3">
            <w:pPr>
              <w:rPr>
                <w:rFonts w:ascii="Times New Roman" w:hAnsi="Times New Roman" w:cs="Times New Roman"/>
              </w:rPr>
            </w:pPr>
          </w:p>
        </w:tc>
        <w:tc>
          <w:tcPr>
            <w:tcW w:w="7950" w:type="dxa"/>
            <w:shd w:val="clear" w:color="auto" w:fill="F2F2F2" w:themeFill="background1" w:themeFillShade="F2"/>
          </w:tcPr>
          <w:p w14:paraId="6EB92BF4" w14:textId="77777777" w:rsidR="00147F20" w:rsidRPr="0017691A" w:rsidRDefault="00147F20" w:rsidP="001D24C3">
            <w:pPr>
              <w:rPr>
                <w:rFonts w:ascii="Times New Roman" w:hAnsi="Times New Roman" w:cs="Times New Roman"/>
              </w:rPr>
            </w:pPr>
            <w:r w:rsidRPr="0017691A">
              <w:rPr>
                <w:rFonts w:ascii="Times New Roman" w:hAnsi="Times New Roman" w:cs="Times New Roman"/>
              </w:rPr>
              <w:t xml:space="preserve">“It would take a significant amount of resources - time, training, information to ensure that staff are trained.  My experience in the CYMH sector is that there are very few resources and staff are already stretched to the maximum” </w:t>
            </w:r>
          </w:p>
          <w:p w14:paraId="50D82AF9" w14:textId="77777777" w:rsidR="00147F20" w:rsidRPr="0017691A" w:rsidRDefault="00147F20" w:rsidP="001D24C3">
            <w:pPr>
              <w:rPr>
                <w:rFonts w:ascii="Times New Roman" w:hAnsi="Times New Roman" w:cs="Times New Roman"/>
              </w:rPr>
            </w:pPr>
            <w:r w:rsidRPr="0017691A">
              <w:rPr>
                <w:rFonts w:ascii="Times New Roman" w:hAnsi="Times New Roman" w:cs="Times New Roman"/>
                <w:i/>
                <w:iCs/>
              </w:rPr>
              <w:t>Administrator (Round 1, Component 1.5)</w:t>
            </w:r>
          </w:p>
        </w:tc>
      </w:tr>
    </w:tbl>
    <w:p w14:paraId="7A7F4DC6" w14:textId="77777777" w:rsidR="00147F20" w:rsidRPr="00147F20" w:rsidRDefault="00147F20">
      <w:pPr>
        <w:rPr>
          <w:rFonts w:ascii="Times New Roman" w:hAnsi="Times New Roman" w:cs="Times New Roman"/>
        </w:rPr>
      </w:pPr>
    </w:p>
    <w:sectPr w:rsidR="00147F20" w:rsidRPr="00147F20" w:rsidSect="00C753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20"/>
    <w:rsid w:val="00147F20"/>
    <w:rsid w:val="001E6EFE"/>
    <w:rsid w:val="00393EF8"/>
    <w:rsid w:val="00413648"/>
    <w:rsid w:val="005230F7"/>
    <w:rsid w:val="00C753B6"/>
    <w:rsid w:val="00F41B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D38E5B4"/>
  <w15:chartTrackingRefBased/>
  <w15:docId w15:val="{3D17221B-7FE1-8F4E-9E53-B0D12259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7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7F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F2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Cleverley</dc:creator>
  <cp:keywords/>
  <dc:description/>
  <cp:lastModifiedBy>Kristin Cleverley</cp:lastModifiedBy>
  <cp:revision>2</cp:revision>
  <dcterms:created xsi:type="dcterms:W3CDTF">2021-01-14T19:44:00Z</dcterms:created>
  <dcterms:modified xsi:type="dcterms:W3CDTF">2021-01-14T19:44:00Z</dcterms:modified>
</cp:coreProperties>
</file>