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D3934" w14:textId="273077D3" w:rsidR="005B6CBE" w:rsidRDefault="005B6CBE" w:rsidP="005B6CBE">
      <w:pPr>
        <w:spacing w:after="0" w:line="480" w:lineRule="auto"/>
        <w:jc w:val="center"/>
        <w:rPr>
          <w:rFonts w:ascii="Times New Roman" w:eastAsiaTheme="majorEastAsia" w:hAnsi="Times New Roman" w:cs="Times New Roman"/>
          <w:b/>
          <w:sz w:val="20"/>
          <w:szCs w:val="20"/>
        </w:rPr>
      </w:pPr>
      <w:bookmarkStart w:id="0" w:name="_Hlk72225119"/>
      <w:r w:rsidRPr="005B6CBE">
        <w:rPr>
          <w:rFonts w:ascii="Times New Roman" w:eastAsiaTheme="majorEastAsia" w:hAnsi="Times New Roman" w:cs="Times New Roman"/>
          <w:b/>
          <w:sz w:val="20"/>
          <w:szCs w:val="20"/>
        </w:rPr>
        <w:t>A meta-analytic review of the impact of ADHD medications on anxiety and depression in children and adolescents.</w:t>
      </w:r>
    </w:p>
    <w:p w14:paraId="0971A110" w14:textId="03B60314" w:rsidR="005B6CBE" w:rsidRPr="005B6CBE" w:rsidRDefault="005B6CBE" w:rsidP="005B6CBE">
      <w:pPr>
        <w:spacing w:after="0" w:line="480" w:lineRule="auto"/>
        <w:jc w:val="center"/>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European Child and Adolescent Psychiatry</w:t>
      </w:r>
    </w:p>
    <w:p w14:paraId="5BEDAAAF" w14:textId="77777777" w:rsidR="005B6CBE" w:rsidRPr="005B6CBE" w:rsidRDefault="005B6CBE" w:rsidP="004C47A7">
      <w:pPr>
        <w:spacing w:after="0" w:line="480" w:lineRule="auto"/>
        <w:jc w:val="center"/>
        <w:rPr>
          <w:rFonts w:ascii="Times New Roman" w:hAnsi="Times New Roman" w:cs="Times New Roman"/>
          <w:b/>
          <w:bCs/>
          <w:sz w:val="20"/>
          <w:szCs w:val="20"/>
        </w:rPr>
      </w:pPr>
    </w:p>
    <w:p w14:paraId="57544553" w14:textId="77777777" w:rsidR="005B6CBE" w:rsidRPr="00A73F4C" w:rsidRDefault="005B6CBE" w:rsidP="005B6CBE">
      <w:pPr>
        <w:spacing w:after="0" w:line="480" w:lineRule="auto"/>
        <w:jc w:val="center"/>
        <w:rPr>
          <w:rFonts w:ascii="Times New Roman" w:hAnsi="Times New Roman" w:cs="Times New Roman"/>
          <w:sz w:val="20"/>
          <w:szCs w:val="20"/>
          <w:vertAlign w:val="superscript"/>
        </w:rPr>
      </w:pPr>
      <w:r w:rsidRPr="00A73F4C">
        <w:rPr>
          <w:rFonts w:ascii="Times New Roman" w:hAnsi="Times New Roman" w:cs="Times New Roman"/>
          <w:b/>
          <w:sz w:val="20"/>
          <w:szCs w:val="20"/>
        </w:rPr>
        <w:t>Annie Bryant</w:t>
      </w:r>
      <w:r w:rsidRPr="00A73F4C">
        <w:rPr>
          <w:rFonts w:ascii="Times New Roman" w:hAnsi="Times New Roman" w:cs="Times New Roman"/>
          <w:sz w:val="20"/>
          <w:szCs w:val="20"/>
          <w:vertAlign w:val="superscript"/>
        </w:rPr>
        <w:t>1</w:t>
      </w:r>
      <w:r w:rsidRPr="00A73F4C">
        <w:rPr>
          <w:rFonts w:ascii="Times New Roman" w:hAnsi="Times New Roman" w:cs="Times New Roman"/>
          <w:sz w:val="20"/>
          <w:szCs w:val="20"/>
        </w:rPr>
        <w:t>, Hope Schlesinger</w:t>
      </w:r>
      <w:r w:rsidRPr="00A73F4C">
        <w:rPr>
          <w:rFonts w:ascii="Times New Roman" w:hAnsi="Times New Roman" w:cs="Times New Roman"/>
          <w:sz w:val="20"/>
          <w:szCs w:val="20"/>
          <w:vertAlign w:val="superscript"/>
        </w:rPr>
        <w:t>1</w:t>
      </w:r>
      <w:r w:rsidRPr="00A73F4C">
        <w:rPr>
          <w:rFonts w:ascii="Times New Roman" w:hAnsi="Times New Roman" w:cs="Times New Roman"/>
          <w:sz w:val="20"/>
          <w:szCs w:val="20"/>
        </w:rPr>
        <w:t>, Athina Sideri</w:t>
      </w:r>
      <w:r w:rsidRPr="00A73F4C">
        <w:rPr>
          <w:rFonts w:ascii="Times New Roman" w:hAnsi="Times New Roman" w:cs="Times New Roman"/>
          <w:sz w:val="20"/>
          <w:szCs w:val="20"/>
          <w:vertAlign w:val="superscript"/>
        </w:rPr>
        <w:t>2</w:t>
      </w:r>
      <w:r w:rsidRPr="00A73F4C">
        <w:rPr>
          <w:rFonts w:ascii="Times New Roman" w:hAnsi="Times New Roman" w:cs="Times New Roman"/>
          <w:sz w:val="20"/>
          <w:szCs w:val="20"/>
        </w:rPr>
        <w:t>, Joni Holmes</w:t>
      </w:r>
      <w:r w:rsidRPr="00A73F4C">
        <w:rPr>
          <w:rFonts w:ascii="Times New Roman" w:hAnsi="Times New Roman" w:cs="Times New Roman"/>
          <w:sz w:val="20"/>
          <w:szCs w:val="20"/>
          <w:vertAlign w:val="superscript"/>
        </w:rPr>
        <w:t>3</w:t>
      </w:r>
      <w:r w:rsidRPr="00A73F4C">
        <w:rPr>
          <w:rFonts w:ascii="Times New Roman" w:hAnsi="Times New Roman" w:cs="Times New Roman"/>
          <w:sz w:val="20"/>
          <w:szCs w:val="20"/>
        </w:rPr>
        <w:t>, Jan Buitelaar</w:t>
      </w:r>
      <w:r w:rsidRPr="00A73F4C">
        <w:rPr>
          <w:rFonts w:ascii="Times New Roman" w:hAnsi="Times New Roman" w:cs="Times New Roman"/>
          <w:sz w:val="20"/>
          <w:szCs w:val="20"/>
          <w:vertAlign w:val="superscript"/>
        </w:rPr>
        <w:t>4</w:t>
      </w:r>
      <w:r w:rsidRPr="00A73F4C">
        <w:rPr>
          <w:rFonts w:ascii="Times New Roman" w:hAnsi="Times New Roman" w:cs="Times New Roman"/>
          <w:sz w:val="20"/>
          <w:szCs w:val="20"/>
        </w:rPr>
        <w:t xml:space="preserve"> &amp; Richard Meiser-Stedman</w:t>
      </w:r>
      <w:r w:rsidRPr="00A73F4C">
        <w:rPr>
          <w:rFonts w:ascii="Times New Roman" w:hAnsi="Times New Roman" w:cs="Times New Roman"/>
          <w:sz w:val="20"/>
          <w:szCs w:val="20"/>
          <w:vertAlign w:val="superscript"/>
        </w:rPr>
        <w:t>1</w:t>
      </w:r>
    </w:p>
    <w:p w14:paraId="56F464A8" w14:textId="77777777" w:rsidR="005B6CBE" w:rsidRPr="00A73F4C" w:rsidRDefault="005B6CBE" w:rsidP="005B6CBE">
      <w:pPr>
        <w:spacing w:after="0" w:line="480" w:lineRule="auto"/>
        <w:jc w:val="center"/>
        <w:rPr>
          <w:rFonts w:ascii="Times New Roman" w:hAnsi="Times New Roman" w:cs="Times New Roman"/>
          <w:i/>
          <w:sz w:val="20"/>
          <w:szCs w:val="20"/>
        </w:rPr>
      </w:pPr>
      <w:r w:rsidRPr="00A73F4C">
        <w:rPr>
          <w:rFonts w:ascii="Times New Roman" w:hAnsi="Times New Roman" w:cs="Times New Roman"/>
          <w:i/>
          <w:sz w:val="20"/>
          <w:szCs w:val="20"/>
          <w:vertAlign w:val="superscript"/>
        </w:rPr>
        <w:t>1</w:t>
      </w:r>
      <w:r w:rsidRPr="00A73F4C">
        <w:rPr>
          <w:rFonts w:ascii="Times New Roman" w:hAnsi="Times New Roman" w:cs="Times New Roman"/>
          <w:i/>
          <w:sz w:val="20"/>
          <w:szCs w:val="20"/>
        </w:rPr>
        <w:t>Department of Clinical Psychology and Psychological Therapies, University of East Anglia, Norwich, UK</w:t>
      </w:r>
    </w:p>
    <w:p w14:paraId="78C66342" w14:textId="77777777" w:rsidR="005B6CBE" w:rsidRPr="00A73F4C" w:rsidRDefault="005B6CBE" w:rsidP="005B6CBE">
      <w:pPr>
        <w:spacing w:after="0" w:line="480" w:lineRule="auto"/>
        <w:jc w:val="center"/>
        <w:rPr>
          <w:rFonts w:ascii="Times New Roman" w:hAnsi="Times New Roman" w:cs="Times New Roman"/>
          <w:i/>
          <w:sz w:val="20"/>
          <w:szCs w:val="20"/>
        </w:rPr>
      </w:pPr>
      <w:r w:rsidRPr="00A73F4C">
        <w:rPr>
          <w:rFonts w:ascii="Times New Roman" w:hAnsi="Times New Roman" w:cs="Times New Roman"/>
          <w:i/>
          <w:sz w:val="20"/>
          <w:szCs w:val="20"/>
          <w:vertAlign w:val="superscript"/>
        </w:rPr>
        <w:t>2</w:t>
      </w:r>
      <w:r w:rsidRPr="00A73F4C">
        <w:rPr>
          <w:rFonts w:ascii="Times New Roman" w:hAnsi="Times New Roman" w:cs="Times New Roman"/>
          <w:i/>
          <w:sz w:val="20"/>
          <w:szCs w:val="20"/>
        </w:rPr>
        <w:t>Norfolk and Suffolk NHS Foundation Trust, Hellesdon Hospital, Drayton High Road, Norwich, UK</w:t>
      </w:r>
    </w:p>
    <w:p w14:paraId="6DDAE032" w14:textId="77777777" w:rsidR="005B6CBE" w:rsidRPr="00A73F4C" w:rsidRDefault="005B6CBE" w:rsidP="005B6CBE">
      <w:pPr>
        <w:spacing w:after="0" w:line="480" w:lineRule="auto"/>
        <w:jc w:val="center"/>
        <w:rPr>
          <w:rFonts w:ascii="Times New Roman" w:hAnsi="Times New Roman" w:cs="Times New Roman"/>
          <w:i/>
          <w:sz w:val="20"/>
          <w:szCs w:val="20"/>
        </w:rPr>
      </w:pPr>
      <w:r w:rsidRPr="00A73F4C">
        <w:rPr>
          <w:rFonts w:ascii="Times New Roman" w:hAnsi="Times New Roman" w:cs="Times New Roman"/>
          <w:i/>
          <w:sz w:val="20"/>
          <w:szCs w:val="20"/>
          <w:vertAlign w:val="superscript"/>
        </w:rPr>
        <w:t>3</w:t>
      </w:r>
      <w:r w:rsidRPr="00A73F4C">
        <w:rPr>
          <w:rFonts w:ascii="Times New Roman" w:hAnsi="Times New Roman" w:cs="Times New Roman"/>
          <w:i/>
          <w:sz w:val="20"/>
          <w:szCs w:val="20"/>
        </w:rPr>
        <w:t>MRC Cognition and Brain Sciences Unit, University of Cambridge, Cambridge, UK</w:t>
      </w:r>
    </w:p>
    <w:p w14:paraId="00D7DCDF" w14:textId="4754C7D3" w:rsidR="005B6CBE" w:rsidRDefault="005B6CBE" w:rsidP="005B6CBE">
      <w:pPr>
        <w:spacing w:after="0" w:line="480" w:lineRule="auto"/>
        <w:jc w:val="center"/>
        <w:rPr>
          <w:rFonts w:ascii="Times New Roman" w:hAnsi="Times New Roman" w:cs="Times New Roman"/>
          <w:i/>
          <w:sz w:val="20"/>
          <w:szCs w:val="20"/>
        </w:rPr>
      </w:pPr>
      <w:r w:rsidRPr="00A73F4C">
        <w:rPr>
          <w:rFonts w:ascii="Times New Roman" w:hAnsi="Times New Roman" w:cs="Times New Roman"/>
          <w:i/>
          <w:sz w:val="20"/>
          <w:szCs w:val="20"/>
          <w:vertAlign w:val="superscript"/>
        </w:rPr>
        <w:t>4</w:t>
      </w:r>
      <w:r w:rsidRPr="00A73F4C">
        <w:rPr>
          <w:rFonts w:ascii="Times New Roman" w:hAnsi="Times New Roman" w:cs="Times New Roman"/>
          <w:i/>
          <w:sz w:val="20"/>
          <w:szCs w:val="20"/>
        </w:rPr>
        <w:t>Radboud University, Houtlaan 4, 6525 XZ, Nijmegen, Netherlands</w:t>
      </w:r>
    </w:p>
    <w:p w14:paraId="1A82CE49" w14:textId="77777777" w:rsidR="005B6CBE" w:rsidRPr="00A73F4C" w:rsidRDefault="005B6CBE" w:rsidP="005B6CBE">
      <w:pPr>
        <w:spacing w:after="0" w:line="480" w:lineRule="auto"/>
        <w:jc w:val="center"/>
        <w:rPr>
          <w:rFonts w:ascii="Times New Roman" w:hAnsi="Times New Roman" w:cs="Times New Roman"/>
          <w:i/>
          <w:sz w:val="20"/>
          <w:szCs w:val="20"/>
        </w:rPr>
      </w:pPr>
    </w:p>
    <w:p w14:paraId="750E796A" w14:textId="77777777" w:rsidR="005B6CBE" w:rsidRPr="003223FF" w:rsidRDefault="005B6CBE" w:rsidP="005B6CBE">
      <w:pPr>
        <w:spacing w:after="0"/>
        <w:jc w:val="center"/>
        <w:rPr>
          <w:rFonts w:ascii="Times New Roman" w:hAnsi="Times New Roman" w:cs="Times New Roman"/>
          <w:sz w:val="20"/>
          <w:szCs w:val="20"/>
        </w:rPr>
      </w:pPr>
      <w:r>
        <w:rPr>
          <w:rFonts w:ascii="Times New Roman" w:hAnsi="Times New Roman" w:cs="Times New Roman"/>
          <w:sz w:val="20"/>
          <w:szCs w:val="20"/>
          <w:u w:val="single"/>
        </w:rPr>
        <w:t>Corresponding author:</w:t>
      </w:r>
      <w:r>
        <w:rPr>
          <w:rFonts w:ascii="Times New Roman" w:hAnsi="Times New Roman" w:cs="Times New Roman"/>
          <w:sz w:val="20"/>
          <w:szCs w:val="20"/>
        </w:rPr>
        <w:t xml:space="preserve"> Annie Bryant; annie.bryant@uea.ac.uk</w:t>
      </w:r>
    </w:p>
    <w:p w14:paraId="41A43981" w14:textId="77777777" w:rsidR="005B6CBE" w:rsidRPr="005B6CBE" w:rsidRDefault="005B6CBE" w:rsidP="004C47A7">
      <w:pPr>
        <w:spacing w:after="0" w:line="480" w:lineRule="auto"/>
        <w:jc w:val="center"/>
        <w:rPr>
          <w:rFonts w:ascii="Times New Roman" w:hAnsi="Times New Roman" w:cs="Times New Roman"/>
          <w:b/>
          <w:bCs/>
          <w:sz w:val="20"/>
          <w:szCs w:val="20"/>
        </w:rPr>
      </w:pPr>
    </w:p>
    <w:p w14:paraId="0BB24211" w14:textId="77777777" w:rsidR="005B6CBE" w:rsidRPr="005B6CBE" w:rsidRDefault="005B6CBE" w:rsidP="004C47A7">
      <w:pPr>
        <w:spacing w:after="0" w:line="480" w:lineRule="auto"/>
        <w:jc w:val="center"/>
        <w:rPr>
          <w:rFonts w:ascii="Times New Roman" w:hAnsi="Times New Roman" w:cs="Times New Roman"/>
          <w:b/>
          <w:bCs/>
          <w:sz w:val="20"/>
          <w:szCs w:val="20"/>
        </w:rPr>
      </w:pPr>
    </w:p>
    <w:p w14:paraId="039273E6" w14:textId="543EE3B4" w:rsidR="004C47A7" w:rsidRPr="005B6CBE" w:rsidRDefault="004C47A7" w:rsidP="004C47A7">
      <w:pPr>
        <w:spacing w:after="0" w:line="480" w:lineRule="auto"/>
        <w:jc w:val="center"/>
        <w:rPr>
          <w:rFonts w:ascii="Times New Roman" w:hAnsi="Times New Roman" w:cs="Times New Roman"/>
          <w:b/>
          <w:bCs/>
          <w:sz w:val="20"/>
          <w:szCs w:val="20"/>
        </w:rPr>
      </w:pPr>
      <w:r w:rsidRPr="005B6CBE">
        <w:rPr>
          <w:rFonts w:ascii="Times New Roman" w:hAnsi="Times New Roman" w:cs="Times New Roman"/>
          <w:b/>
          <w:bCs/>
          <w:sz w:val="20"/>
          <w:szCs w:val="20"/>
        </w:rPr>
        <w:t>Supplementary Material</w:t>
      </w:r>
    </w:p>
    <w:p w14:paraId="1DF0C451" w14:textId="77777777" w:rsidR="005B6CBE" w:rsidRPr="005B6CBE" w:rsidRDefault="005B6CBE" w:rsidP="004C47A7">
      <w:pPr>
        <w:spacing w:after="0" w:line="480" w:lineRule="auto"/>
        <w:jc w:val="center"/>
        <w:rPr>
          <w:rFonts w:ascii="Times New Roman" w:hAnsi="Times New Roman" w:cs="Times New Roman"/>
          <w:b/>
          <w:bCs/>
          <w:sz w:val="20"/>
          <w:szCs w:val="20"/>
        </w:rPr>
      </w:pPr>
    </w:p>
    <w:bookmarkEnd w:id="0"/>
    <w:p w14:paraId="2474EF2F" w14:textId="77777777" w:rsidR="004C47A7" w:rsidRPr="005B6CBE" w:rsidRDefault="004C47A7" w:rsidP="004C47A7">
      <w:pPr>
        <w:spacing w:after="0" w:line="480" w:lineRule="auto"/>
        <w:rPr>
          <w:rFonts w:ascii="Times New Roman" w:hAnsi="Times New Roman" w:cs="Times New Roman"/>
          <w:b/>
          <w:bCs/>
          <w:sz w:val="20"/>
          <w:szCs w:val="20"/>
        </w:rPr>
      </w:pPr>
      <w:r w:rsidRPr="005B6CBE">
        <w:rPr>
          <w:rFonts w:ascii="Times New Roman" w:hAnsi="Times New Roman" w:cs="Times New Roman"/>
          <w:b/>
          <w:bCs/>
          <w:sz w:val="20"/>
          <w:szCs w:val="20"/>
        </w:rPr>
        <w:t>Outcome Measures in the Included Trials</w:t>
      </w:r>
    </w:p>
    <w:p w14:paraId="3508B37E" w14:textId="77777777" w:rsidR="004C47A7" w:rsidRPr="005B6CBE" w:rsidRDefault="004C47A7" w:rsidP="004C47A7">
      <w:pPr>
        <w:spacing w:line="480" w:lineRule="auto"/>
        <w:ind w:firstLine="720"/>
        <w:rPr>
          <w:rFonts w:ascii="Times New Roman" w:hAnsi="Times New Roman" w:cs="Times New Roman"/>
          <w:sz w:val="20"/>
          <w:szCs w:val="20"/>
        </w:rPr>
      </w:pPr>
      <w:r w:rsidRPr="005B6CBE">
        <w:rPr>
          <w:rFonts w:ascii="Times New Roman" w:hAnsi="Times New Roman" w:cs="Times New Roman"/>
          <w:sz w:val="20"/>
          <w:szCs w:val="20"/>
        </w:rPr>
        <w:t xml:space="preserve">Validated questionnaire measures of anxiety included in the meta-analyses were: parent-rated Revised Behaviour Problem Checklist (RBPC;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{"citationItems":[{"id":"ITEM-1","itemData":{"author":[{"dropping-particle":"","family":"Quay","given":"H. C.","non-dropping-particle":"","parse-names":false,"suffix":""},{"dropping-particle":"","family":"Peterson","given":"D. R.","non-dropping-particle":"","parse-names":false,"suffix":""}],"edition":"1st","id":"ITEM-1","issued":{"date-parts":[["1983"]]},"publisher":"University of Miami","publisher-place":"Miami","title":"Interim manual for the Revised Behaviour Problem Checklist","type":"book"},"uris":["http://www.mendeley.com/documents/?uuid=f3646317-cea0-37be-8991-06d5cc3417a5"]}],"mendeley":{"formattedCitation":"(Quay &amp; Peterson, 1983)","manualFormatting":"Quay &amp; Peterson, 1983)","plainTextFormattedCitation":"(Quay &amp; Peterson, 1983)","previouslyFormattedCitation":"(Quay &amp; Peterson, 1983)"},"properties":{"noteIndex":0},"schema":"https://github.com/citation-style-language/schema/raw/master/csl-citation.json"}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Quay &amp; Peterson, 1983)</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Anxiety/Withdrawal subscale (trial: Aman et al., 1993), parent-rated Conners Parent Rating Scale (CPRS</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{"citationItems":[{"id":"ITEM-1","itemData":{"author":[{"dropping-particle":"","family":"Conners","given":"C. K.","non-dropping-particle":"","parse-names":false,"suffix":""}],"container-title":"Psychopharmacology Bulletin","id":"ITEM-1","issued":{"date-parts":[["1973"]]},"page":"24-29","publisher":"Wiley","title":"Rating scales for use in drug studies with children.","type":"article-journal"},"uris":["http://www.mendeley.com/documents/?uuid=221b7685-72a4-3641-bea1-2d1cc730c2ea"]}],"mendeley":{"formattedCitation":"(C. K. Conners, 1973)","manualFormatting":"; Conners, 1973)","plainTextFormattedCitation":"(C. K. Conners, 1973)","previouslyFormattedCitation":"(C. K. Conners, 1973)"},"properties":{"noteIndex":0},"schema":"https://github.com/citation-style-language/schema/raw/master/csl-citation.json"}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 Conners, 1973)</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Anxiety subscale (trial: Brown &amp; Sexson, 1988), parent-rated Screen for Child Anxiety Related Emotional Disorders (SCARED;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{"citationItems":[{"id":"ITEM-1","itemData":{"author":[{"dropping-particle":"","family":"Birmaher","given":"B","non-dropping-particle":"","parse-names":false,"suffix":""}],"container-title":"Journal of the American Academy of Child and Adolescent Psychiatry","id":"ITEM-1","issued":{"date-parts":[["1997"]]},"page":"545-553","title":"The Screen for Child Anxiety-Related Emotional Disorders (SCARED): scale construction and psychometric characteristics","type":"article-journal","volume":"36"},"uris":["http://www.mendeley.com/documents/?uuid=d725be48-7d82-32e5-9ba9-afdc5df9d133"]}],"mendeley":{"formattedCitation":"(Birmaher, 1997)","manualFormatting":"Birmaher, 1997)","plainTextFormattedCitation":"(Birmaher, 1997)","previouslyFormattedCitation":"(Birmaher, 1997)"},"properties":{"noteIndex":0},"schema":"https://github.com/citation-style-language/schema/raw/master/csl-citation.json"}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Birmaher, 1997)</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{"citationItems":[{"id":"ITEM-1","itemData":{"DOI":"10.1016/j.euroneuro.2009.07.008","abstract":"Objective: The primary aim of this study was to assess the efficacy of atomoxetine in improving ADHD and ODD symptoms in paediatric patients with ADHD and comorbid oppositional defiant disorder (ODD), non-responders to previous psychological intervention with parent support. Methods: This was a multicentre, randomised, placebo-controlled trial conducted in patients aged 6-15 years, with ADHD and ODD diagnosed according to the DSM-IV criteria by a structured ⁎ Corresponding author","author":[{"dropping-particle":"","family":"Dell'agnello","given":"Grazia","non-dropping-particle":"","parse-names":false,"suffix":""},{"dropping-particle":"","family":"Maschietto","given":"Dino","non-dropping-particle":"","parse-names":false,"suffix":""},{"dropping-particle":"","family":"Bravaccio","given":"Carmela","non-dropping-particle":"","parse-names":false,"suffix":""},{"dropping-particle":"","family":"Calamoneri","given":"Filippo","non-dropping-particle":"","parse-names":false,"suffix":""},{"dropping-particle":"","family":"Masi","given":"Gabriele","non-dropping-particle":"","parse-names":false,"suffix":""},{"dropping-particle":"","family":"Curatolo","given":"Paolo","non-dropping-particle":"","parse-names":false,"suffix":""},{"dropping-particle":"","family":"Besana","given":"Dante","non-dropping-particle":"","parse-names":false,"suffix":""},{"dropping-particle":"","family":"Mancini","given":"Francesca","non-dropping-particle":"","parse-names":false,"suffix":""},{"dropping-particle":"","family":"Rossi","given":"Andrea","non-dropping-particle":"","parse-names":false,"suffix":""},{"dropping-particle":"","family":"Poole","given":"Lynne","non-dropping-particle":"","parse-names":false,"suffix":""},{"dropping-particle":"","family":"Escobar","given":"Rodrigo","non-dropping-particle":"","parse-names":false,"suffix":""},{"dropping-particle":"","family":"Zuddas","given":"Alessandro","non-dropping-particle":"","parse-names":false,"suffix":""},{"dropping-particle":"","family":"Lilly","given":"Eli","non-dropping-particle":"","parse-names":false,"suffix":""},{"dropping-particle":"","family":"Uk","given":"Co","non-dropping-particle":"","parse-names":false,"suffix":""}],"container-title":"European Neuropsychopharmacology","id":"ITEM-1","issued":{"date-parts":[["2009"]]},"page":"822-834","title":"Atomoxetine hydrochloride in the treatment of children and adolescents with attention-deficit/hyperactivity disorder and comorbid oppositional defiant disorder: A placebo-controlled Italian study","type":"article-journal","volume":"19"},"uris":["http://www.mendeley.com/documents/?uuid=6293f0c0-d8ae-38ce-a3f4-f64718e52f69"]}],"mendeley":{"formattedCitation":"(Dell’agnello et al., 2009)","manualFormatting":"Dell’Agnello et al., 2009)","plainTextFormattedCitation":"(Dell’agnello et al., 2009)","previouslyFormattedCitation":"(Dell’agnello et al., 2009)"},"properties":{"noteIndex":0},"schema":"https://github.com/citation-style-language/schema/raw/master/csl-citation.json"}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Dell’Agnello et al., 2009)</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self-report Multi-Dimensional Anxiety Scale (MASC;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{"citationItems":[{"id":"ITEM-1","itemData":{"DOI":"10.1097/00004583-199704000-00019","author":[{"dropping-particle":"","family":"March","given":"J. S.","non-dropping-particle":"","parse-names":false,"suffix":""},{"dropping-particle":"","family":"Parker","given":"James D A","non-dropping-particle":"","parse-names":false,"suffix":""},{"dropping-particle":"","family":"Sullivan","given":"K.","non-dropping-particle":"","parse-names":false,"suffix":""},{"dropping-particle":"","family":"Stallings","given":"P.","non-dropping-particle":"","parse-names":false,"suffix":""},{"dropping-particle":"","family":"Conners","given":"C. K.","non-dropping-particle":"","parse-names":false,"suffix":""}],"container-title":"Article in Journal of the American Academy of Child &amp; Adolescent Psychiatry","id":"ITEM-1","issue":"4","issued":{"date-parts":[["1997"]]},"page":"554-565","title":"The Multidimensional Anxiety Scale for Children (MASC): Factor Structure, Reliability, and Validity","type":"article-journal","volume":"36"},"uris":["http://www.mendeley.com/documents/?uuid=d6d3cce6-7987-364b-a07f-6f75381ac8ea"]}],"mendeley":{"formattedCitation":"(March et al., 1997)","manualFormatting":"March et al., 1997)","plainTextFormattedCitation":"(March et al., 1997)","previouslyFormattedCitation":"(March et al., 1997)"},"properties":{"noteIndex":0},"schema":"https://github.com/citation-style-language/schema/raw/master/csl-citation.json"}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March et al., 1997)</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{"citationItems":[{"id":"ITEM-1","itemData":{"DOI":"10.1097/chi.0b013e3180ca8385","ISSN":"08908567","PMID":"17712235","abstract":"OBJECTIVE: Research suggests 25% to 35% of children with attention-deficit/hyperactivity disorder (ADHD) have comorbid anxiety disorders. This double-blind study compared atomoxetine with placebo for treating pediatric ADHD with comorbid anxiety, as measured by the ADHD Rating Scale-IV-Parent Version: Investigator Administered and Scored (ADHDRS-IV-PI) and the Pediatric Anxiety Rating Scale (PARS). METHOD: Patients (ages 8-17 years) meeting DSM-IV criteria for ADHD and generalized anxiety disorder, separation anxiety disorder, and/or social phobia were randomized to 12 weeks of atomoxetine (n = 87) or placebo (n = 89). ADHDRS-IV-PI and PARS total scores were analyzed using analysis of covariance last observation carried forward and repeated-measures analyses. RESULTS: Sixty-six patients in each group completed the study. Mean ADHDRS-IV-PI total score improved significantly for atomoxetine (n = 55; -10.5, SD 10.6) relative to placebo (n = 58; -1.4, SD 8.3; p &lt; .001). Mean PARS total score also improved significantly for atomoxetine (n = 55; -5.5, SD 4.8) relative to placebo (n = 58; -3.2, SD 5.0; p = .011). CONCLUSIONS: Atomoxetine was efficacious in reducing ADHD symptoms in patients who have ADHD with comorbid anxiety and was well tolerated. There was also a significant reduction in independently assessed anxiety symptoms using both clinician-rated and self-rated measures, which merits further investigation. Results support consideration of atomoxetine for the treatment of ADHD in youths who have ADHD with comorbid anxiety disorder. Copyright 2007 © American Academy of Child and Adolescent Psychiatry.","author":[{"dropping-particle":"","family":"Geller","given":"Daniel","non-dropping-particle":"","parse-names":false,"suffix":""},{"dropping-particle":"","family":"Donnelly","given":"Craig","non-dropping-particle":"","parse-names":false,"suffix":""},{"dropping-particle":"","family":"Lopez","given":"Frank","non-dropping-particle":"","parse-names":false,"suffix":""},{"dropping-particle":"","family":"Rubin","given":"Richard","non-dropping-particle":"","parse-names":false,"suffix":""},{"dropping-particle":"","family":"Newcorn","given":"Jeffrey","non-dropping-particle":"","parse-names":false,"suffix":""},{"dropping-particle":"","family":"Sutton","given":"Virginia","non-dropping-particle":"","parse-names":false,"suffix":""},{"dropping-particle":"","family":"Bakken","given":"Rosalie","non-dropping-particle":"","parse-names":false,"suffix":""},{"dropping-particle":"","family":"Paczkowski","given":"Martin","non-dropping-particle":"","parse-names":false,"suffix":""},{"dropping-particle":"","family":"Kelsey","given":"Douglas","non-dropping-particle":"","parse-names":false,"suffix":""},{"dropping-particle":"","family":"Sumner","given":"Calvin","non-dropping-particle":"","parse-names":false,"suffix":""}],"container-title":"Journal of the American Academy of Child and Adolescent Psychiatry","id":"ITEM-1","issue":"9","issued":{"date-parts":[["2007","9","1"]]},"page":"1119-1127","publisher":"Elsevier","title":"Atomoxetine treatment for pediatric patients with attention-deficit/ hyperactivity disorder with comorbid anxiety disorder","type":"article-journal","volume":"46"},"uris":["http://www.mendeley.com/documents/?uuid=fb786c10-e717-3508-92ea-96b72a8f0494"]}],"mendeley":{"formattedCitation":"(Geller et al., 2007)","manualFormatting":"Geller et al., 2007)","plainTextFormattedCitation":"(Geller et al., 2007)","previouslyFormattedCitation":"(Geller et al., 2007)"},"properties":{"noteIndex":0},"schema":"https://github.com/citation-style-language/schema/raw/master/csl-citation.json"}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Geller et al., 2007)</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self-report State and Trait Anxiety Inventory (STAI,</w:t>
      </w:r>
      <w:r w:rsidRPr="005B6CBE">
        <w:rPr>
          <w:rFonts w:ascii="Times New Roman" w:hAnsi="Times New Roman" w:cs="Times New Roman"/>
          <w:noProof/>
          <w:sz w:val="20"/>
          <w:szCs w:val="20"/>
        </w:rPr>
        <w:t xml:space="preserve"> Spielberger et al., 1983)</w:t>
      </w:r>
      <w:r w:rsidRPr="005B6CBE">
        <w:rPr>
          <w:rFonts w:ascii="Times New Roman" w:hAnsi="Times New Roman" w:cs="Times New Roman"/>
          <w:sz w:val="20"/>
          <w:szCs w:val="20"/>
        </w:rPr>
        <w:t xml:space="preserve"> State Anxiety scale and, for children aged under 14 years, State and Trait Anxiety Inventory for Children (STAI-C,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{"citationItems":[{"id":"ITEM-1","itemData":{"DOI":"10.1016/0191-8869(81)90005-2","author":[{"dropping-particle":"","family":"Spielberger","given":"C.D.","non-dropping-particle":"","parse-names":false,"suffix":""},{"dropping-particle":"","family":"Edwards","given":"R. E.","non-dropping-particle":"","parse-names":false,"suffix":""},{"dropping-particle":"","family":"Lushene","given":"J.","non-dropping-particle":"","parse-names":false,"suffix":""},{"dropping-particle":"","family":"Montouri","given":"D.","non-dropping-particle":"","parse-names":false,"suffix":""}],"container-title":"Personality and Individual Differences","id":"ITEM-1","issue":"2","issued":{"date-parts":[["1973"]]},"publisher":"Consulting Psychologists Press","publisher-place":"Palo Alto, CA","title":"Preliminary Test Manual for the State-Trait Anxiety Inventory for Children","type":"book"},"uris":["http://www.mendeley.com/documents/?uuid=bf05d06a-55dc-3439-b7b9-7f0c5a8ac312"]}],"mendeley":{"formattedCitation":"(Spielberger et al., 1973)","manualFormatting":"Spielberger et al., 1973)","plainTextFormattedCitation":"(Spielberger et al., 1973)","previouslyFormattedCitation":"(Spielberger et al., 1973)"},"properties":{"noteIndex":0},"schema":"https://github.com/citation-style-language/schema/raw/master/csl-citation.json"}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Spielberger et al., 1973)</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{"citationItems":[{"id":"ITEM-1","itemData":{"DOI":"10.1016/j.jpsychires.2018.03.009","ISSN":"18791379","PMID":"29674270","abstract":"Although the non-stimulant medication atomoxetine is effective for attention-deficit hyperactivity disorder (ADHD) in children and adolescents, there are still significant gaps in our knowledge about whether atomoxetine improves anxiety symptoms or cognition in children. Furthermore, while cognition has been proposed as an intermediate phenotype for ADHD dysfunction, the relationships between clinical and cognitive outcomes are not yet understood. We addressed these knowledge gaps in a controlled trial using objective assessments of both general and emotional cognitive functions implicated in ADHD and in anxiety, which commonly co-occurs with ADHD. A total of 136 children and adolescents with ADHD (ages 6-17years; 80% male; 31.6% with a comorbid anxiety disorder) were enrolled in a randomized double-blind, placebo-controlled, cross-over trial of 6-weeks treatment with atomoxetine. Of these, 109 completed the second cross-over phase. Selected cognitive domains associated with ADHD and anxiety disorders (Sustained attention, response inhibition and fearful face identification) were assessed using a normed, computerized test battery. Symptom outcomes were assessed by parent reports on the ADHD Rating Scale-IV and Conners’ Anxious-Shy subscale. For completers, atomoxetine caused a greater improvement in the primary cognitive outcomes of response inhibition and fear identification compared to placebo, but not in sustained attention. Atomoxetine also improved ADHD and anxiety symptoms. Anxiety symptoms improved most for ADHD and anxiety disorder combined, but presence of an anxiety disorder did not moderate any other outcomes. Changes in cognitive and clinical outcomes were not correlated. These findings contribute to the foundations of measurement-based treatment planning and offer targets for probing the mechanisms of atomoxetine action.","author":[{"dropping-particle":"","family":"Griffiths","given":"Kristi R.","non-dropping-particle":"","parse-names":false,"suffix":""},{"dropping-particle":"","family":"Leikauf","given":"John E.","non-dropping-particle":"","parse-names":false,"suffix":""},{"dropping-particle":"","family":"Tsang","given":"Tracey W.","non-dropping-particle":"","parse-names":false,"suffix":""},{"dropping-particle":"","family":"Clarke","given":"Simon","non-dropping-particle":"","parse-names":false,"suffix":""},{"dropping-particle":"","family":"Hermens","given":"Daniel F.","non-dropping-particle":"","parse-names":false,"suffix":""},{"dropping-particle":"","family":"Efron","given":"Daryl","non-dropping-particle":"","parse-names":false,"suffix":""},{"dropping-particle":"","family":"Williams","given":"Leanne M.","non-dropping-particle":"","parse-names":false,"suffix":""},{"dropping-particle":"","family":"Kohn","given":"Michael R.","non-dropping-particle":"","parse-names":false,"suffix":""}],"container-title":"Journal of Psychiatric Research","id":"ITEM-1","issued":{"date-parts":[["2018","7","1"]]},"page":"57-64","publisher":"Elsevier Ltd","title":"Response inhibition and emotional cognition improved by atomoxetine in children and adolescents with ADHD: The ACTION randomized controlled trial","type":"article-journal","volume":"102"},"uris":["http://www.mendeley.com/documents/?uuid=4474fd9c-4e55-3fbf-bf15-08639e70a490"]}],"mendeley":{"formattedCitation":"(Griffiths et al., 2018)","manualFormatting":"Griffiths et al., 2018)","plainTextFormattedCitation":"(Griffiths et al., 2018)","previouslyFormattedCitation":"(Griffiths et al., 2018)"},"properties":{"noteIndex":0},"schema":"https://github.com/citation-style-language/schema/raw/master/csl-citation.json"}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Griffiths et al., 2018)</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and clinician-rated Conners Comprehensive Behaviour Rating Scales (CBRS;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{"citationItems":[{"id":"ITEM-1","itemData":{"author":[{"dropping-particle":"","family":"Conners","given":"CK","non-dropping-particle":"","parse-names":false,"suffix":""}],"id":"ITEM-1","issued":{"date-parts":[["2008"]]},"publisher":"Multi-Health Systems","publisher-place":"Toronto, Canada","title":"Conners Comprehensive Behavior Rating Scales: Manual","type":"book"},"uris":["http://www.mendeley.com/documents/?uuid=28467484-8cc0-3e0d-b3d9-4c41bdc3bf08"]}],"mendeley":{"formattedCitation":"(C. Conners, 2008)","manualFormatting":"Conners, 2008)","plainTextFormattedCitation":"(C. Conners, 2008)","previouslyFormattedCitation":"(C. Conners, 2008)"},"properties":{"noteIndex":0},"schema":"https://github.com/citation-style-language/schema/raw/master/csl-citation.json"}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Conners, 2008)</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Generalised Anxiety Disorder (GAD) subscale (trial: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{"citationItems":[{"id":"ITEM-1","itemData":{"DOI":"10.1089/cap.2013.0043","ISSN":"1044-5463","abstract":"Objective: The purpose of this study was to assess the efficacy and safety of edivoxetine (LY2216684), a selective norepinephrine reuptake inhibitor, in pediatric patients with attention-deficit/hyperactivity disorder (ADHD). Method: A fixed-dose, randomized, double-blind, 8 week study was conducted in patients 6-17 years of age, who were randomized by two strata: 1) Patients with prior stimulant use randomized to placebo, edivoxetine 0.1mg/kg/day, 0.2mg/kg/day, or 0.3mg/kg/day arms in a 1:1:1:1 ratio; 2) Stimulant-naïve patients randomized to placebo, edivoxetine 0.1mg/kg/day, 0.2mg/kg/day, 0.3mg/kg/day, or osmotic-release oral system methylphenidate (OROS MPH) (18-54mg/day based on body weight) arms in a 1:1:1:1:1 ratio. The primary efficacy measure was baseline-to-week 8 change of ADHD Rating Scale (ADHD-RS) total score for edivoxetine 0.2mg/kg/day and 0.3mg/kg/day. Results: A total of 340 patients were randomized to placebo (n=78); edivoxetine 0.1mg/kg/day (n=76), 0.2mg/kg/day (n=75), or 0.3mg/kg/day (n=75); or OROS MPH (n=36). In the stimulant-naïve stratum, the positive control, OROS MPH, was significantly superior to placebo in mean ADHD-RS total score change at end-point (-19.46, p=0.015). The edivoxetine 0.2mg/kg/day and 0.3mg/kg/day arms had statistically significantly greater improvement than the placebo arm in mean ADHD-RS total score change at end-point (placebo -10.35; edivoxetine 0.2mg/kg/day -16.09, p&lt;0.010; edivoxetine 0.3mg/kg/day -16.39, p&lt;0.010) and Clinical Global Impressions-Improvement score (placebo 3.05; edivoxetine 0.1mg/kg/day 3.01, p=0.860; edivoxetine 0.2mg/kg/day 2.54, p=0.013; edivoxetine 0.3mg/kg/day 2.53, p=0.013). In the overall efficacy-analyses data set (n=270), the effect size estimates for edivoxetine doses 0.1mg/kg/day, 0.2mg/kg/day and 0.3mg/kg/day at the week 8 time point were 0.17, 0.51, and 0.54, respectively (for the stimulant-naïve stratum, the effect size estimate for OROS MPH was 0.69). Compared with placebo, edivoxetine treatment was associated with statistically significant increases in blood pressure and pulse (p&lt;0.050), and a smaller increase or slight decrease in weight. Conclusions: Edivoxetine at doses of 0.2mg/kg/day and 0.3mg/kg/day demonstrated efficacy in ADHD treatment, despite the presence of a sizeable placebo response. No unexpected adverse events were identified. Clinical Trial Registry identifier: NCT00922636 © Mary Ann Liebert, Inc.","author":[{"dropping-particle":"","family":"Lin","given":"Daniel Y.","non-dropping-particle":"","parse-names":false,"suffix":""},{"dropping-particle":"","family":"Kratochvil","given":"Christopher J.","non-dropping-particle":"","parse-names":false,"suffix":""},{"dropping-particle":"","family":"Xu","given":"Wen","non-dropping-particle":"","parse-names":false,"suffix":""},{"dropping-particle":"","family":"Jin","given":"Ling","non-dropping-particle":"","parse-names":false,"suffix":""},{"dropping-particle":"","family":"D'Souza","given":"Deborah N.","non-dropping-particle":"","parse-names":false,"suffix":""},{"dropping-particle":"","family":"Kielbasa","given":"William","non-dropping-particle":"","parse-names":false,"suffix":""},{"dropping-particle":"","family":"Allen","given":"Albert J.","non-dropping-particle":"","parse-names":false,"suffix":""}],"container-title":"Journal of Child and Adolescent Psychopharmacology","id":"ITEM-1","issue":"4","issued":{"date-parts":[["2014","5","1"]]},"page":"190-200","publisher":"Mary Ann Liebert Inc.","title":"A Randomized Trial of Edivoxetine in Pediatric Patients with Attention-Deficit/Hyperactivity Disorder","type":"article-journal","volume":"24"},"uris":["http://www.mendeley.com/documents/?uuid=da4240ba-077f-31ee-ad0e-e8fd46975373"]}],"mendeley":{"formattedCitation":"(Lin et al., 2014)","manualFormatting":"Lin et al., 2014)","plainTextFormattedCitation":"(Lin et al., 2014)","previouslyFormattedCitation":"(Lin et al., 2014)"},"properties":{"noteIndex":0},"schema":"https://github.com/citation-style-language/schema/raw/master/csl-citation.json"}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Lin et al., 2014)</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w:t>
      </w:r>
    </w:p>
    <w:p w14:paraId="29DAC550" w14:textId="77777777" w:rsidR="004C47A7" w:rsidRPr="005B6CBE" w:rsidRDefault="004C47A7" w:rsidP="004C47A7">
      <w:pPr>
        <w:spacing w:line="480" w:lineRule="auto"/>
        <w:ind w:firstLine="720"/>
        <w:rPr>
          <w:rFonts w:ascii="Times New Roman" w:hAnsi="Times New Roman" w:cs="Times New Roman"/>
          <w:sz w:val="20"/>
          <w:szCs w:val="20"/>
        </w:rPr>
      </w:pPr>
      <w:r w:rsidRPr="005B6CBE">
        <w:rPr>
          <w:rFonts w:ascii="Times New Roman" w:hAnsi="Times New Roman" w:cs="Times New Roman"/>
          <w:sz w:val="20"/>
          <w:szCs w:val="20"/>
        </w:rPr>
        <w:t xml:space="preserve">Validated questionnaire measures of depression included in the meta-analyses were: clinician-rated Children’s Depression Rating Scale-Revised (CDRS-R,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Poznanski","given":"EO","non-dropping-particle":"","parse-names":false,"suffix":""},{"dropping-particle":"","family":"Mokros","given":"HB","non-dropping-particle":"","parse-names":false,"suffix":""}],"id":"ITEM-1","issued":{"date-parts":[["1996"]]},"publisher":"WPS","publisher-place":"Los Angeles","title":"Children's Depression Rating Scale, Revised (CDRS-R)","type":"book"},"uris":["http://www.mendeley.com/documents/?uuid=e19f0845-dd46-3e8a-821e-3f6732e9cae1"]}],"mendeley":{"formattedCitation":"(Poznanski &amp; Mokros, 1996)","manualFormatting":"Poznanski &amp; Mokros, 1996)","plainTextFormattedCitation":"(Poznanski &amp; Mokros, 1996)","previouslyFormattedCitation":"(Poznanski &amp; Mokros, 1996)"},"properties":{"noteIndex":0},"schema":"https://github.com/citation-style-language/schema/raw/master/csl-citation.json"}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Poznanski &amp; Mokros, 1996)</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{"citationItems":[{"id":"ITEM-1","itemData":{"DOI":"10.1089/cap.2007.0066","abstract":"This double-blind study examined efficacy and safety of atomoxetine (ATX; ≤1.8mg/kg per day) in adolescents aged 12-18 with Diagnostic and Statistical Manual of Mental Disorders, 4th edition (DSM-IV) diagnoses of both attention-deficit/hyperactivity disorder (ADHD) and co-morbid major depressive disorder (MDD). Diagnoses were confirmed by the Kiddie Schedule for Affective Disorders and Schizophrenia for School Age Children-Present and Lifetime Version and persistently elevated scores on the Attention-Deficit/Hyperactivity Disorder Rating Scale-IV, Parent version, Investigator-administered and -scored (ADHDRS-IV-Parent:Inv, ≥1.5 standard deviations above age and gender norms) and Children's Depression Rating Scale-Revised (CDRS-R, ≥ 40). Patients were treated for approximately 9 weeks with ATX (n = 72) or placebo (n = 70). Mean decrease in ADHDRS-IV-Parent:Inv total score was significantly greater in the ATX group (-13.3 ± 10.0) compared with the placebo group (-5.1 ± 9.9; p &lt; 0.001). Mean CDRS-R score improvement was not significantly different between groups (ATX, -14.8 ± 13.3; placebo, -12.8 ± 10.4). Rates of treatment-emergent mania did not differ between groups (ATX, 0.0%; placebo, 1.5%). ATX treatment was associated with significantly more nausea and decreased appetite (p = 0.002; p = 0.003). No spontaneously reported adverse events involving suicidal ideation or suicidal behavior occurred in either group. ATX was an effective and safe treatment for ADHD in adolescents with ADHD and MDD. However, this trial showed no evidence for ATX of efficacy in treating MDD. © Mary Ann Liebert, Inc.","author":[{"dropping-particle":"","family":"Bangs","given":"Mark E.","non-dropping-particle":"","parse-names":false,"suffix":""},{"dropping-particle":"","family":"Emslie","given":"Graham J.","non-dropping-particle":"","parse-names":false,"suffix":""},{"dropping-particle":"","family":"Spencer","given":"Thomas J.","non-dropping-particle":"","parse-names":false,"suffix":""},{"dropping-particle":"","family":"Ramsey","given":"Janet L.","non-dropping-particle":"","parse-names":false,"suffix":""},{"dropping-particle":"","family":"Carlson","given":"Christopher","non-dropping-particle":"","parse-names":false,"suffix":""},{"dropping-particle":"","family":"Bartky","given":"Eric J.","non-dropping-particle":"","parse-names":false,"suffix":""},{"dropping-particle":"","family":"Busner","given":"Joan","non-dropping-particle":"","parse-names":false,"suffix":""},{"dropping-particle":"","family":"Duesenberg","given":"David A.","non-dropping-particle":"","parse-names":false,"suffix":""},{"dropping-particle":"","family":"Harshawat","given":"Paras","non-dropping-particle":"","parse-names":false,"suffix":""},{"dropping-particle":"","family":"Kaplan","given":"Stuart L.","non-dropping-particle":"","parse-names":false,"suffix":""},{"dropping-particle":"","family":"Quintana","given":"Humberto","non-dropping-particle":"","parse-names":false,"suffix":""},{"dropping-particle":"","family":"Allen","given":"Albert J.","non-dropping-particle":"","parse-names":false,"suffix":""},{"dropping-particle":"","family":"Sumner","given":"Calvin R.","non-dropping-particle":"","parse-names":false,"suffix":""}],"container-title":"Journal of Child and Adolescent Psychopharmacology","id":"ITEM-1","issue":"4","issued":{"date-parts":[["2007","8","1"]]},"page":"407-419","title":"Efficacy and Safety of Atomoxetine in Adolescents with Attention-Deficit/Hyperactivity Disorder and Major Depression","type":"article-journal","volume":"17"},"uris":["http://www.mendeley.com/documents/?uuid=faa7a741-a0eb-3ed5-9b39-f2b8f58629ce"]}],"mendeley":{"formattedCitation":"(Bangs et al., 2007)","manualFormatting":"Bangs et al., 2007","plainTextFormattedCitation":"(Bangs et al., 2007)","previouslyFormattedCitation":"(Bangs et al., 2007)"},"properties":{"noteIndex":0},"schema":"https://github.com/citation-style-language/schema/raw/master/csl-citation.json"}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Bangs et al., 2007</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{"citationItems":[{"id":"ITEM-1","itemData":{"DOI":"10.1016/j.euroneuro.2009.07.008","abstract":"Objective: The primary aim of this study was to assess the efficacy of atomoxetine in improving ADHD and ODD symptoms in paediatric patients with ADHD and comorbid oppositional defiant disorder (ODD), non-responders to previous psychological intervention with parent support. Methods: This was a multicentre, randomised, placebo-controlled trial conducted in patients aged 6-15 years, with ADHD and ODD diagnosed according to the DSM-IV criteria by a structured ⁎ Corresponding author","author":[{"dropping-particle":"","family":"Dell'agnello","given":"Grazia","non-dropping-particle":"","parse-names":false,"suffix":""},{"dropping-particle":"","family":"Maschietto","given":"Dino","non-dropping-particle":"","parse-names":false,"suffix":""},{"dropping-particle":"","family":"Bravaccio","given":"Carmela","non-dropping-particle":"","parse-names":false,"suffix":""},{"dropping-particle":"","family":"Calamoneri","given":"Filippo","non-dropping-particle":"","parse-names":false,"suffix":""},{"dropping-particle":"","family":"Masi","given":"Gabriele","non-dropping-particle":"","parse-names":false,"suffix":""},{"dropping-particle":"","family":"Curatolo","given":"Paolo","non-dropping-particle":"","parse-names":false,"suffix":""},{"dropping-particle":"","family":"Besana","given":"Dante","non-dropping-particle":"","parse-names":false,"suffix":""},{"dropping-particle":"","family":"Mancini","given":"Francesca","non-dropping-particle":"","parse-names":false,"suffix":""},{"dropping-particle":"","family":"Rossi","given":"Andrea","non-dropping-particle":"","parse-names":false,"suffix":""},{"dropping-particle":"","family":"Poole","given":"Lynne","non-dropping-particle":"","parse-names":false,"suffix":""},{"dropping-particle":"","family":"Escobar","given":"Rodrigo","non-dropping-particle":"","parse-names":false,"suffix":""},{"dropping-particle":"","family":"Zuddas","given":"Alessandro","non-dropping-particle":"","parse-names":false,"suffix":""},{"dropping-particle":"","family":"Lilly","given":"Eli","non-dropping-particle":"","parse-names":false,"suffix":""},{"dropping-particle":"","family":"Uk","given":"Co","non-dropping-particle":"","parse-names":false,"suffix":""}],"container-title":"European Neuropsychopharmacology","id":"ITEM-1","issued":{"date-parts":[["2009"]]},"page":"822-834","title":"Atomoxetine hydrochloride in the treatment of children and adolescents with attention-deficit/hyperactivity disorder and comorbid oppositional defiant disorder: A placebo-controlled Italian study","type":"article-journal","volume":"19"},"uris":["http://www.mendeley.com/documents/?uuid=6293f0c0-d8ae-38ce-a3f4-f64718e52f69"]}],"mendeley":{"formattedCitation":"(Dell’agnello et al., 2009)","manualFormatting":"Dell’Agnello et al., 2009","plainTextFormattedCitation":"(Dell’agnello et al., 2009)","previouslyFormattedCitation":"(Dell’agnello et al., 2009)"},"properties":{"noteIndex":0},"schema":"https://github.com/citation-style-language/schema/raw/master/csl-citation.json"}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Dell’Agnello et al., 2009</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{"citationItems":[{"id":"ITEM-1","itemData":{"DOI":"10.1542/peds.108.5.e83","ISSN":"10984275","PMID":"11694667","abstract":"OBJECTIVE: Atomoxetine is an investigational, nonstimulant pharmacotherapy being studied as potential treatment for attention-deficit/hyperactivity disorder (ADHD). It is thought to act via blockade of the presynaptic norepinephrine transporter in the brain. We assessed the efficacy of 3 doses of atomoxetine compared with placebo in children and adolescents with ADHD. METHODS: A total of 297 children and adolescents who were 8 to 18 years of age and had ADHD as defined by the Diagnostic and Statistical Manual of Mental Disorders, 4th edition, were randomized to placebo or atomoxetine dosed on a weight-adjusted basis at 0.5 mg/kg/day, 1.2 mg/kg/day, or 1.8 mg/kg/day for an 8-week period. ADHD symptoms, affective symptoms, and social and family functioning were assessed using parent and investigator rating scales. RESULTS: Approximately 71% of children enrolled were male, approximately 67% met criteria for mixed subtype (both inattentive and hyperactive/impulsive symptoms), and the only common psychiatric comorbidity was oppositional defiant disorder (approximately 38% of the sample). At baseline, symptom severity was rated as moderate to severe for most children. At endpoint, atomoxetine 1.2 mg/kg/day and 1.8 mg/kg/day were consistently associated with superior outcomes in ADHD symptoms compared with placebo and were not different from each other. The dose of 0.5 mg/kg/day was associated with intermediate efficacy between placebo and the 2 higher doses, suggesting a graded dose-response. Social and family functioning also were improved in the atomoxetine groups compared with placebo with statistically significant improvements in measures of children's ability to meet psychosocial role expectations and parental impact. Discontinuations as a result of adverse events were &lt;5% for all groups. CONCLUSION: Among children and adolescents aged 8 to 18, atomoxetine was superior to placebo in reducing ADHD symptoms and in improving social and family functioning symptoms. Atomoxetine was associated with a graded dose-response, and 1.2 mg/kg/day seems to be as effective as 1.8 mg/kg/day and is likely to be the appropriate initial target dose for most patients. Treatment with atomoxetine was safe and well tolerated.","author":[{"dropping-particle":"","family":"Michelson","given":"D.","non-dropping-particle":"","parse-names":false,"suffix":""},{"dropping-particle":"","family":"Faries","given":"D.","non-dropping-particle":"","parse-names":false,"suffix":""},{"dropping-particle":"","family":"Wernicke","given":"J.","non-dropping-particle":"","parse-names":false,"suffix":""},{"dropping-particle":"","family":"Kelsey","given":"D.","non-dropping-particle":"","parse-names":false,"suffix":""},{"dropping-particle":"","family":"Kendrick","given":"K.","non-dropping-particle":"","parse-names":false,"suffix":""},{"dropping-particle":"","family":"Sallee","given":"F. R.","non-dropping-particle":"","parse-names":false,"suffix":""},{"dropping-particle":"","family":"Spencer","given":"T.","non-dropping-particle":"","parse-names":false,"suffix":""}],"container-title":"Pediatrics","id":"ITEM-1","issue":"5","issued":{"date-parts":[["2001","11","1"]]},"page":"e83-e83","publisher":"American Academy of Pediatrics","title":"Atomoxetine in the treatment of children and adolescents with attention-deficit/hyperactivity disorder: a randomized, placebo-controlled, dose-response study.","type":"article-journal","volume":"108"},"uris":["http://www.mendeley.com/documents/?uuid=cc966bff-146b-38a2-9b4f-e398be5cdcaf"]}],"mendeley":{"formattedCitation":"(Michelson et al., 2001)","manualFormatting":"Michelson et al., 2001)","plainTextFormattedCitation":"(Michelson et al., 2001)","previouslyFormattedCitation":"(Michelson et al., 2001)"},"properties":{"noteIndex":0},"schema":"https://github.com/citation-style-language/schema/raw/master/csl-citation.json"}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Michelson et al., 2001)</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self-report Depression, Anxiety and Stress Scale (DASS,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{"citationItems":[{"id":"ITEM-1","itemData":{"author":[{"dropping-particle":"","family":"Lovibond","given":"S. H.","non-dropping-particle":"","parse-names":false,"suffix":""},{"dropping-particle":"","family":"Lovibond","given":"P. F.","non-dropping-particle":"","parse-names":false,"suffix":""}],"id":"ITEM-1","issued":{"date-parts":[["1996"]]},"publisher":"Psychology Foundation of Australia","publisher-place":"Sydney","title":"Manual for the Depression, Anxiety, Stress Scales","type":"book"},"uris":["http://www.mendeley.com/documents/?uuid=24363435-f6f2-39cf-8557-d074e0c10c28"]}],"mendeley":{"formattedCitation":"(Lovibond &amp; Lovibond, 1996)","manualFormatting":"Lovibond &amp; Lovibond, 1996)","plainTextFormattedCitation":"(Lovibond &amp; Lovibond, 1996)","previouslyFormattedCitation":"(Lovibond &amp; Lovibond, 1996)"},"properties":{"noteIndex":0},"schema":"https://github.com/citation-style-language/schema/raw/master/csl-citation.json"}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Lovibond &amp; Lovibond, 1996)</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 Griffiths et al., 2018), and clinician-rated Conners Comprehensive Behaviour Rating Scales (CBRS;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{"citationItems":[{"id":"ITEM-1","itemData":{"author":[{"dropping-particle":"","family":"Conners","given":"CK","non-dropping-particle":"","parse-names":false,"suffix":""}],"id":"ITEM-1","issued":{"date-parts":[["2008"]]},"publisher":"Multi-Health Systems","publisher-place":"Toronto, Canada","title":"Conners Comprehensive Behavior Rating Scales: Manual","type":"book"},"uris":["http://www.mendeley.com/documents/?uuid=28467484-8cc0-3e0d-b3d9-4c41bdc3bf08"]}],"mendeley":{"formattedCitation":"(C. Conners, 2008)","manualFormatting":"Conners, 2008)","plainTextFormattedCitation":"(C. Conners, 2008)","previouslyFormattedCitation":"(C. Conners, 2008)"},"properties":{"noteIndex":0},"schema":"https://github.com/citation-style-language/schema/raw/master/csl-citation.json"}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Conners, 2008)</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Major Depressive Disorder (MDD) subscale (trial: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{"citationItems":[{"id":"ITEM-1","itemData":{"DOI":"10.1089/cap.2013.0043","ISSN":"1044-5463","abstract":"Objective: The purpose of this study was to assess the efficacy and safety of edivoxetine (LY2216684), a selective norepinephrine reuptake inhibitor, in pediatric patients with attention-deficit/hyperactivity disorder (ADHD). Method: A fixed-dose, randomized, double-blind, 8 week study was conducted in patients 6-17 years of age, who were randomized by two strata: 1) Patients with prior stimulant use randomized to placebo, edivoxetine 0.1mg/kg/day, 0.2mg/kg/day, or 0.3mg/kg/day arms in a 1:1:1:1 ratio; 2) Stimulant-naïve patients randomized to placebo, edivoxetine 0.1mg/kg/day, 0.2mg/kg/day, 0.3mg/kg/day, or osmotic-release oral system methylphenidate (OROS MPH) (18-54mg/day based on body weight) arms in a 1:1:1:1:1 ratio. The primary efficacy measure was baseline-to-week 8 change of ADHD Rating Scale (ADHD-RS) total score for edivoxetine 0.2mg/kg/day and 0.3mg/kg/day. Results: A total of 340 patients were randomized to placebo (n=78); edivoxetine 0.1mg/kg/day (n=76), 0.2mg/kg/day (n=75), or 0.3mg/kg/day (n=75); or OROS MPH (n=36). In the stimulant-naïve stratum, the positive control, OROS MPH, was significantly superior to placebo in mean ADHD-RS total score change at end-point (-19.46, p=0.015). The edivoxetine 0.2mg/kg/day and 0.3mg/kg/day arms had statistically significantly greater improvement than the placebo arm in mean ADHD-RS total score change at end-point (placebo -10.35; edivoxetine 0.2mg/kg/day -16.09, p&lt;0.010; edivoxetine 0.3mg/kg/day -16.39, p&lt;0.010) and Clinical Global Impressions-Improvement score (placebo 3.05; edivoxetine 0.1mg/kg/day 3.01, p=0.860; edivoxetine 0.2mg/kg/day 2.54, p=0.013; edivoxetine 0.3mg/kg/day 2.53, p=0.013). In the overall efficacy-analyses data set (n=270), the effect size estimates for edivoxetine doses 0.1mg/kg/day, 0.2mg/kg/day and 0.3mg/kg/day at the week 8 time point were 0.17, 0.51, and 0.54, respectively (for the stimulant-naïve stratum, the effect size estimate for OROS MPH was 0.69). Compared with placebo, edivoxetine treatment was associated with statistically significant increases in blood pressure and pulse (p&lt;0.050), and a smaller increase or slight decrease in weight. Conclusions: Edivoxetine at doses of 0.2mg/kg/day and 0.3mg/kg/day demonstrated efficacy in ADHD treatment, despite the presence of a sizeable placebo response. No unexpected adverse events were identified. Clinical Trial Registry identifier: NCT00922636 © Mary Ann Liebert, Inc.","author":[{"dropping-particle":"","family":"Lin","given":"Daniel Y.","non-dropping-particle":"","parse-names":false,"suffix":""},{"dropping-particle":"","family":"Kratochvil","given":"Christopher J.","non-dropping-particle":"","parse-names":false,"suffix":""},{"dropping-particle":"","family":"Xu","given":"Wen","non-dropping-particle":"","parse-names":false,"suffix":""},{"dropping-particle":"","family":"Jin","given":"Ling","non-dropping-particle":"","parse-names":false,"suffix":""},{"dropping-particle":"","family":"D'Souza","given":"Deborah N.","non-dropping-particle":"","parse-names":false,"suffix":""},{"dropping-particle":"","family":"Kielbasa","given":"William","non-dropping-particle":"","parse-names":false,"suffix":""},{"dropping-particle":"","family":"Allen","given":"Albert J.","non-dropping-particle":"","parse-names":false,"suffix":""}],"container-title":"Journal of Child and Adolescent Psychopharmacology","id":"ITEM-1","issue":"4","issued":{"date-parts":[["2014","5","1"]]},"page":"190-200","publisher":"Mary Ann Liebert Inc.","title":"A Randomized Trial of Edivoxetine in Pediatric Patients with Attention-Deficit/Hyperactivity Disorder","type":"article-journal","volume":"24"},"uris":["http://www.mendeley.com/documents/?uuid=da4240ba-077f-31ee-ad0e-e8fd46975373"]}],"mendeley":{"formattedCitation":"(Lin et al., 2014)","manualFormatting":"Lin et al., 2014)","plainTextFormattedCitation":"(Lin et al., 2014)","previouslyFormattedCitation":"(Lin et al., 2014)"},"properties":{"noteIndex":0},"schema":"https://github.com/citation-style-language/schema/raw/master/csl-citation.json"}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Lin et al., 2014)</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w:t>
      </w:r>
    </w:p>
    <w:p w14:paraId="48D04E0D" w14:textId="77777777" w:rsidR="004C47A7" w:rsidRPr="005B6CBE" w:rsidRDefault="004C47A7" w:rsidP="004C47A7">
      <w:pPr>
        <w:spacing w:line="480" w:lineRule="auto"/>
        <w:ind w:firstLine="720"/>
        <w:rPr>
          <w:rFonts w:ascii="Times New Roman" w:hAnsi="Times New Roman" w:cs="Times New Roman"/>
          <w:i/>
          <w:iCs/>
          <w:sz w:val="20"/>
          <w:szCs w:val="20"/>
        </w:rPr>
      </w:pPr>
      <w:r w:rsidRPr="005B6CBE">
        <w:rPr>
          <w:rFonts w:ascii="Times New Roman" w:hAnsi="Times New Roman" w:cs="Times New Roman"/>
          <w:sz w:val="20"/>
          <w:szCs w:val="20"/>
        </w:rPr>
        <w:t xml:space="preserve">SERS measures of anxiety and depression items included in the meta-analyses were: Barkley Stimulant Side Effect Rating Scale (BSSERS;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{"citationItems":[{"id":"ITEM-1","itemData":{"author":[{"dropping-particle":"","family":"Barkley","given":"RA","non-dropping-particle":"","parse-names":false,"suffix":""}],"id":"ITEM-1","issued":{"date-parts":[["1990"]]},"publisher":"Guildford Press","publisher-place":"New York","title":"Attention-deficit hyperactivity disorder: A handbook for diagnosis and treatment","type":"book"},"uris":["http://www.mendeley.com/documents/?uuid=97b43682-71b5-3c10-9d1b-8d5c3332d44e"]}],"mendeley":{"formattedCitation":"(Barkley, 1990)","manualFormatting":"Barkley, 1990)","plainTextFormattedCitation":"(Barkley, 1990)","previouslyFormattedCitation":"(Barkley, 1990)"},"properties":{"noteIndex":0},"schema":"https://github.com/citation-style-language/schema/raw/master/csl-citation.json"}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Barkley, 1990)</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{"citationItems":[{"id":"ITEM-1","itemData":{"DOI":"10.1111/j.1469-7610.1996.tb01445.x","abstract":"The purpose of this study was to examine the efficacy and side-effects of pindolol, a β-blocker, in children with attention-deficit hyperactivity disorder (ADHD). Fifty-two ADHD children, 7-13 years old, participated in a prospective double-blind placebo-controlled comparison of pindolol and methylphenidate (MPH). Active treatment was pindolol and MPH: pindolol 20 mg b.i.d. or MPH 10 mg b.i.d. for 4 weeks. The outcome was assessed on the basis of the Abbreviated Conners Rating Scales (ACRS) completed by parents, teachers, and by a psychologist during psychological testing. Pindolol treatment was associated with a higher incidence of paraesthesias and with more intense nightmares and hallucinations than MPH or placebo treatment. These side-effects led to an interim change in design by ending pindolol treatment after 32 participants. Pindolol proved to be just as effective as MPH in decreasing hyperactivity and conduct problems at home, and hyperactivity problems at school. Pindolol, however, had less therapeutic effects than MPH during psychological testing, and failed to affect conduct problems in school. In sum, pindolol was modestly effective in the treatment of ADHD. Safety concerns on troubling side-effects clearly limit the use of it.","author":[{"dropping-particle":"","family":"Buitelaar","given":"Jan K.","non-dropping-particle":"","parse-names":false,"suffix":""},{"dropping-particle":"","family":"Gaag","given":"Rutger Jan","non-dropping-particle":"Van Der","parse-names":false,"suffix":""},{"dropping-particle":"","family":"Swaab-Barneveld","given":"Hanna","non-dropping-particle":"","parse-names":false,"suffix":""},{"dropping-particle":"","family":"Kuiper","given":"Marga","non-dropping-particle":"","parse-names":false,"suffix":""}],"container-title":"Journal of Child Psychology and Psychiatry and Allied Disciplines","id":"ITEM-1","issue":"5","issued":{"date-parts":[["1996","7"]]},"page":"587-595","publisher":"J Child Psychol Psychiatry","title":"Pindolol and methylphenidate in children with attention-deficit hyperactivity disorder. Clinical efficacy and side-effects","type":"article-journal","volume":"37"},"uris":["http://www.mendeley.com/documents/?uuid=7e1c6d3d-864b-38b0-bfc8-e4d5d45f9cf3"]}],"mendeley":{"formattedCitation":"(Buitelaar et al., 1996)","manualFormatting":"Buitelaar et al., 1996","plainTextFormattedCitation":"(Buitelaar et al., 1996)","previouslyFormattedCitation":"(Buitelaar et al., 1996)"},"properties":{"noteIndex":0},"schema":"https://github.com/citation-style-language/schema/raw/master/csl-citation.json"}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Buitelaar et al., 1996</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{"citationItems":[{"id":"ITEM-1","itemData":{"DOI":"10.1089/cap.2013.0114","ISSN":"1044-5463","abstract":"Objective: The purpose of this study was to investigate whether the availability of both dextroamphetamine and methylphenidate provides an opportunity to minimize adverse events in a pediatric attention-deficit/ hyperactivity disorder (ADHD) stimulant trial. Methods: Thirty-six medication-naïve children 9-14 years of age, diagnosed with ADHD, were enrolled for 6 weeks in a crossover trial, with 2 weeks of methylphenidate, dextroamphetamine, and a placebo in a randomly assigned, counterbalanced sequence. Barkley's Side-Effect Rating Scale (SERS), rated by parents, was used to assess adverse events. SERS were available for 34 children, and data were analyzed both at the group and the single-subject level. Results: The side-effect profiles of dextroamphetamine and methylphenidate appeared similar at the group level. Overall, insomnia and decreased appetite were the only adverse events associated with the stimulants as compared with placebo. No significant increase from placebo to stimulant conditions was detected on SERS items reflecting emotional symptoms. Furthermore, dextroamphetamine and methylphenidate did not differ from each other on any SERS item, except that dextroamphetamine was associated with higher severity of \"insomnia\" and a higher prevalence of \"unusually happy.\" Single-subject analyses showed that one or more adverse events were reported in 14 children (41%), and were evenly distributed between those with dextroamphetamine as the drug that showed the greatest reduction in their ADHD symptoms (\"best drug\") and those with methylphenidate as their best drug. Among children in whom both stimulants were associated with a decrease in ADHD symptoms, a clinically valid difference between the two stimulants in total adverse events score was found in 7 (39%) of the 18 cases. In these children, the availability of both stimulants provided an opportunity to minimize adverse events, while maintaining a reduction in ADHD symptoms. Conclusions: The availability of both dextroamphetamine and methylphenidate may contribute to minimize adverse events in a subsample of children in pediatric ADHD stimulant trials. Clinical Trials Registry: The study was first registered in clinical trials September 28, 2010. Clinical Trials.gov Identifier: NCT01220440. © 2014, Mary Ann Liebert, Inc.","author":[{"dropping-particle":"","family":"Ramtvedt","given":"Bjørn E.","non-dropping-particle":"","parse-names":false,"suffix":""},{"dropping-particle":"","family":"Aabech","given":"Henning S.","non-dropping-particle":"","parse-names":false,"suffix":""},{"dropping-particle":"","family":"Sundet","given":"Kjetil","non-dropping-particle":"","parse-names":false,"suffix":""}],"container-title":"Journal of Child and Adolescent Psychopharmacology","id":"ITEM-1","issue":"3","issued":{"date-parts":[["2014","4","1"]]},"page":"130-139","publisher":"Mary Ann Liebert Inc.","title":"Minimizing Adverse Events While Maintaining Clinical Improvement in a Pediatric Attention-Deficit/Hyperactivity Disorder Crossover Trial with Dextroamphetamine and Methylphenidate","type":"article-journal","volume":"24"},"uris":["http://www.mendeley.com/documents/?uuid=81df266f-4bc9-368a-a20b-12c511a0f4be"]}],"mendeley":{"formattedCitation":"(Ramtvedt et al., 2014)","manualFormatting":"Ramtvedt et al., 2014)","plainTextFormattedCitation":"(Ramtvedt et al., 2014)","previouslyFormattedCitation":"(Ramtvedt et al., 2014)"},"properties":{"noteIndex":0},"schema":"https://github.com/citation-style-language/schema/raw/master/csl-citation.json"}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Ramtvedt et al., 2014)</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Pittsburgh Side Effect Rating Scale (PSERS;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{"citationItems":[{"id":"ITEM-1","itemData":{"DOI":"10.1080/02796015.1993.12085647","ISSN":"2372-966X","abstract":"Reviews information regarding the pharmacotherapy of attention deficit hyperactivity disorder (ADHD). Basic information is presented regarding the most commonly used medication (CNS stimulants) and dose levels, time courses, and dose equivalents across medications. The drugs' primary beneficial and adverse effects are reviewed and new, recently developed information is discussed. A cost-effective and efficient procedure for use in a regular classroom setting to evaluate drug response is described and a case example is presented. The utility of combined pharmacological, behavioral, and psychoeducational treatments is discussed. It is argued that school psychologists, working in conjunction with referred children's primary physicians, should play a major role in the initial, school-based determination of medication efficacy, as well as in implementation of ongoing behavioral treatment and pharmacological monitoring for children with ADHD.","author":[{"dropping-particle":"","family":"Pelham","given":"William E.","non-dropping-particle":"","parse-names":false,"suffix":""}],"container-title":"School Psychology Review","id":"ITEM-1","issue":"2","issued":{"date-parts":[["1993","6","1"]]},"page":"199-227","publisher":"Informa UK Limited","title":"Pharmacotherapy for Children with Attention-Deficit Hyperactivity Disorder","type":"article-journal","volume":"22"},"uris":["http://www.mendeley.com/documents/?uuid=26d78430-a1e2-3eba-8738-57ed3c24ead7"]}],"mendeley":{"formattedCitation":"(Pelham, 1993)","manualFormatting":"Pelham, 1993)","plainTextFormattedCitation":"(Pelham, 1993)","previouslyFormattedCitation":"(Pelham, 1993)"},"properties":{"noteIndex":0},"schema":"https://github.com/citation-style-language/schema/raw/master/csl-citation.json"}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Pelham, 1993)</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(trials: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{"citationItems":[{"id":"ITEM-1","itemData":{"DOI":"10.1097/chi.0b013e31815d9ae4","ISSN":"08908567","abstract":"OBJECTIVE: To examine the safety and tolerability of clonidine used alone or with methylphenidate in children with attention-deficit/hyperactivity disorder (ADHD). METHOD: In a 16-week multicenter, double-blind trial, 122 children with ADHD were randomly assigned to clonidine (n = 31), methylphenidate (n = 29), clonidine and methylphenidate (n = 32), or placebo (n = 30). Doses were flexibly titrated up to 0.6 mg/day for clonidine and 60 mg/day for methylphenidate (both with divided dosing). Groups were compared regarding adverse events and changes from baseline to week 16 in electrocardiograms and vital signs. RESULTS: There were more incidents of bradycardia in subjects treated with clonidine compared with those not treated with clonidine (17.5% versus 3.4%; p =.02), but no other significant group differences regarding electrocardiogram and other cardiovascular outcomes. There were no suggestions of interactions between clonidine and methylphenidate regarding cardiovascular outcomes. Moderate or severe adverse events were more common in subjects on clonidine (79.4% versus 49.2%; p =.0006) but not associated with higher rates of early study withdrawal. Drowsiness was common on clonidine, but generally resolved by 6 to 8 weeks. CONCLUSIONS: Clonidine, used alone or with methylphenidate, appears safe and well tolerated in childhood ADHD. Physicians prescribing clonidine should monitor for bradycardia and advise patients about the high likelihood of initial drowsiness. Copyright 2008 © American Academy of Child and Adolescent Psychiatry.","author":[{"dropping-particle":"","family":"Daviss","given":"W.Burleson","non-dropping-particle":"","parse-names":false,"suffix":""},{"dropping-particle":"","family":"Patel","given":"Nick C.","non-dropping-particle":"","parse-names":false,"suffix":""},{"dropping-particle":"","family":"Robb","given":"Adelaide S.","non-dropping-particle":"","parse-names":false,"suffix":""},{"dropping-particle":"","family":"McDermott","given":"Michael P.","non-dropping-particle":"","parse-names":false,"suffix":""},{"dropping-particle":"","family":"Bukstein","given":"Oscar G.","non-dropping-particle":"","parse-names":false,"suffix":""},{"dropping-particle":"","family":"Pelham","given":"William E.","non-dropping-particle":"","parse-names":false,"suffix":""},{"dropping-particle":"","family":"Palumbo","given":"Donna","non-dropping-particle":"","parse-names":false,"suffix":""},{"dropping-particle":"","family":"Harris","given":"Peter","non-dropping-particle":"","parse-names":false,"suffix":""},{"dropping-particle":"","family":"Sallee","given":"Floyd R.","non-dropping-particle":"","parse-names":false,"suffix":""},{"dropping-particle":"","family":"Burrows-MacLean","given":"Lisa","non-dropping-particle":"","parse-names":false,"suffix":""},{"dropping-particle":"","family":"Como","given":"Peter","non-dropping-particle":"","parse-names":false,"suffix":""},{"dropping-particle":"","family":"Hoffman","given":"Martin T.","non-dropping-particle":"","parse-names":false,"suffix":""},{"dropping-particle":"","family":"Lock","given":"Thomas M.","non-dropping-particle":"","parse-names":false,"suffix":""},{"dropping-particle":"","family":"Nelson","given":"Daniel","non-dropping-particle":"","parse-names":false,"suffix":""},{"dropping-particle":"","family":"McConville","given":"Brian","non-dropping-particle":"","parse-names":false,"suffix":""},{"dropping-particle":"","family":"Janciuras","given":"Joanne","non-dropping-particle":"","parse-names":false,"suffix":""},{"dropping-particle":"","family":"Bean","given":"Stephen A.","non-dropping-particle":"","parse-names":false,"suffix":""},{"dropping-particle":"","family":"Raab","given":"Dana","non-dropping-particle":"","parse-names":false,"suffix":""},{"dropping-particle":"","family":"Arnold","given":"Francis","non-dropping-particle":"","parse-names":false,"suffix":""},{"dropping-particle":"","family":"Kipp","given":"Heidi","non-dropping-particle":"","parse-names":false,"suffix":""},{"dropping-particle":"","family":"Pearson","given":"Nancy","non-dropping-particle":"","parse-names":false,"suffix":""},{"dropping-particle":"","family":"Vierhile","given":"Amy","non-dropping-particle":"","parse-names":false,"suffix":""},{"dropping-particle":"","family":"Russell","given":"Brad","non-dropping-particle":"","parse-names":false,"suffix":""},{"dropping-particle":"","family":"Tresco","given":"Katy","non-dropping-particle":"","parse-names":false,"suffix":""},{"dropping-particle":"","family":"Cannon","given":"Michael","non-dropping-particle":"","parse-names":false,"suffix":""},{"dropping-particle":"","family":"Maher","given":"Susan","non-dropping-particle":"","parse-names":false,"suffix":""},{"dropping-particle":"","family":"Marcus","given":"David","non-dropping-particle":"","parse-names":false,"suffix":""},{"dropping-particle":"","family":"Riggs","given":"Garrett","non-dropping-particle":"","parse-names":false,"suffix":""},{"dropping-particle":"","family":"Richard","given":"Irene","non-dropping-particle":"","parse-names":false,"suffix":""},{"dropping-particle":"","family":"Sulkes","given":"Stephen","non-dropping-particle":"","parse-names":false,"suffix":""},{"dropping-particle":"","family":"Cox","given":"Christopher","non-dropping-particle":"","parse-names":false,"suffix":""},{"dropping-particle":"","family":"Kurlan","given":"Roger","non-dropping-particle":"","parse-names":false,"suffix":""},{"dropping-particle":"","family":"Conners","given":"Keith","non-dropping-particle":"","parse-names":false,"suffix":""},{"dropping-particle":"","family":"Hunt","given":"Robert","non-dropping-particle":"","parse-names":false,"suffix":""},{"dropping-particle":"","family":"Kieburtz","given":"Karl","non-dropping-particle":"","parse-names":false,"suffix":""},{"dropping-particle":"","family":"Blieck","given":"Elisabeth","non-dropping-particle":"De","parse-names":false,"suffix":""},{"dropping-particle":"","family":"Lindsay","given":"Patricia","non-dropping-particle":"","parse-names":false,"suffix":""},{"dropping-particle":"","family":"Preston","given":"Larry","non-dropping-particle":"","parse-names":false,"suffix":""},{"dropping-particle":"","family":"Rothenburgh","given":"Karen","non-dropping-particle":"","parse-names":false,"suffix":""},{"dropping-particle":"","family":"Julian-Baros","given":"Elaine","non-dropping-particle":"","parse-names":false,"suffix":""},{"dropping-particle":"","family":"Orme","given":"Connie","non-dropping-particle":"","parse-names":false,"suffix":""},{"dropping-particle":"","family":"Kamp","given":"Dee","non-dropping-particle":"","parse-names":false,"suffix":""},{"dropping-particle":"","family":"Thompson","given":"Lisa","non-dropping-particle":"","parse-names":false,"suffix":""}],"container-title":"Journal of the American Academy of Child and Adolescent Psychiatry","id":"ITEM-1","issue":"2","issued":{"date-parts":[["2008","2","1"]]},"page":"189-198","publisher":"Elsevier Inc.","title":"Clonidine for attention-deficit/hyperactivity disorder: II. ECG changes and adverse events analysis","type":"article-journal","volume":"47"},"uris":["http://www.mendeley.com/documents/?uuid=6711a702-95d0-3829-bd62-c43e6119e0ee"]}],"mendeley":{"formattedCitation":"(Daviss et al., 2008)","manualFormatting":"Daviss et al., 2008","plainTextFormattedCitation":"(Daviss et al., 2008)","previouslyFormattedCitation":"(Daviss et al., 2008)"},"properties":{"noteIndex":0},"schema":"https://github.com/citation-style-language/schema/raw/master/csl-citation.json"}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Daviss et al., 2008</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author":[{"dropping-particle":"","family":"Greenhill","given":"LL","non-dropping-particle":"","parse-names":false,"suffix":""},{"dropping-particle":"","family":"Findling","given":"RL","non-dropping-particle":"","parse-names":false,"suffix":""},{"dropping-particle":"","family":"Swanson","given":"J. M.","non-dropping-particle":"","parse-names":false,"suffix":""}],"container-title":"Pediatrics","id":"ITEM-1","issue":"3","issued":{"date-parts":[["2002"]]},"title":"A double-blind, placebo-controlled study of modified-release methylphenidate in children with attention-deficit/hyperactivity disorder","type":"article-journal","volume":"109"},"uris":["http://www.mendeley.com/documents/?uuid=54ddfc15-9c4c-3db8-ba8c-393f47bc0ca0"]}],"mendeley":{"formattedCitation":"(L. Greenhill et al., 2002)","manualFormatting":" Greenhill et al., 2002","plainTextFormattedCitation":"(L. Greenhill et al., 2002)","previouslyFormattedCitation":"(L. Greenhill et al., 2002)"},"properties":{"noteIndex":0},"schema":"https://github.com/citation-style-language/schema/raw/master/csl-citation.json"}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 xml:space="preserve"> Greenhill et al., 2002</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{"citationItems":[{"id":"ITEM-1","itemData":{"DOI":"10.1097/HTR.0000000000000432","abstract":"Objective: To characterize the benefits and optimal dose of long-acting methylphenidate for management of long-term attention problems after childhood traumatic brain injury (TBI). Design: Phase 2, randomized, double-masked, placebo-controlled, dose-titration, crossover clinical trial. Setting: Outpatient, clinical research. Participants: Twenty-six children aged 6 to 17 years who were at least 6 months post-TBI and met criteria for attention-deficit hyperactivity disorder (ADHD) at the time of enrollment. Outcome Measures: Vanderbilt Rating Scale of attention problems, Pittsburgh Side Effects Rating Scale, and vital signs. Results: Among the 26 participants randomized, 20 completed the trial. The mean ages at injury and enrollment were 6.3 and 11.5 years, respectively. Eight participants had a severe TBI. On an optimal dose of medication, greater reductions were found on the Vanderbilt Parent Rating Scale for the medicated condition than for placebo (P =.022, effect size = 0.59). The mean optimal dose of methylphenidate was 40.5 mg (1.00 mg/kg/day). Preinjury ADHD diagnosis status was not associated with a differential medication response. Methylphenidate was associated with weight loss (</w:instrText>
      </w:r>
      <w:r w:rsidRPr="005B6CBE">
        <w:rPr>
          <w:rFonts w:ascii="Cambria Math" w:hAnsi="Cambria Math" w:cs="Cambria Math"/>
          <w:sz w:val="20"/>
          <w:szCs w:val="20"/>
        </w:rPr>
        <w:instrText>∼</w:instrText>
      </w:r>
      <w:r w:rsidRPr="005B6CBE">
        <w:rPr>
          <w:rFonts w:ascii="Times New Roman" w:hAnsi="Times New Roman" w:cs="Times New Roman"/>
          <w:sz w:val="20"/>
          <w:szCs w:val="20"/>
        </w:rPr>
        <w:instrText>1 kg), increased systolic blood pressure (</w:instrText>
      </w:r>
      <w:r w:rsidRPr="005B6CBE">
        <w:rPr>
          <w:rFonts w:ascii="Cambria Math" w:hAnsi="Cambria Math" w:cs="Cambria Math"/>
          <w:sz w:val="20"/>
          <w:szCs w:val="20"/>
        </w:rPr>
        <w:instrText>∼</w:instrText>
      </w:r>
      <w:r w:rsidRPr="005B6CBE">
        <w:rPr>
          <w:rFonts w:ascii="Times New Roman" w:hAnsi="Times New Roman" w:cs="Times New Roman"/>
          <w:sz w:val="20"/>
          <w:szCs w:val="20"/>
        </w:rPr>
        <w:instrText>3-to 6-point increase), and mild reported changes in appetite. Conclusion: Findings support use of long-acting methylphenidate for management of long-term attention problems after pediatric TBI. Larger trials are warranted of stimulant medications, including comparative effectiveness and combination medication and nonmedication interventions.","author":[{"dropping-particle":"","family":"Kurowski","given":"Brad G.","non-dropping-particle":"","parse-names":false,"suffix":""},{"dropping-particle":"","family":"Epstein","given":"Jeffery N.","non-dropping-particle":"","parse-names":false,"suffix":""},{"dropping-particle":"","family":"Pruitt","given":"David W.","non-dropping-particle":"","parse-names":false,"suffix":""},{"dropping-particle":"","family":"Horn","given":"Paul S.","non-dropping-particle":"","parse-names":false,"suffix":""},{"dropping-particle":"","family":"Altaye","given":"Mekibib","non-dropping-particle":"","parse-names":false,"suffix":""},{"dropping-particle":"","family":"Wade","given":"Shari L.","non-dropping-particle":"","parse-names":false,"suffix":""}],"container-title":"Journal of Head Trauma Rehabilitation","id":"ITEM-1","issue":"2","issued":{"date-parts":[["2019","3","1"]]},"page":"E1-E12","publisher":"Lippincott Williams and Wilkins","title":"Benefits of Methylphenidate for Long-Term Attention Problems after Traumatic Brain Injury in Childhood: A Randomized, Double-Masked, Placebo-Controlled, Dose-Titration, Crossover Trial","type":"article-journal","volume":"34"},"uris":["http://www.mendeley.com/documents/?uuid=18854077-2395-3ecc-9605-c75c4cc34d25"]}],"mendeley":{"formattedCitation":"(Kurowski et al., 2019)","manualFormatting":"Kurowski et al., 2019)","plainTextFormattedCitation":"(Kurowski et al., 2019)","previouslyFormattedCitation":"(Kurowski et al., 2019)"},"properties":{"noteIndex":0},"schema":"https://github.com/citation-style-language/schema/raw/master/csl-citation.json"}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Kurowski et al., 2019)</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and Multi-Modality Treatment of ADHD side effects scale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{"citationItems":[{"id":"ITEM-1","itemData":{"DOI":"10.1097/00004583-199610000-00017","ISSN":"08908567","abstract":"Objective: Clinicians have difficulty applying drug research findings to clinical practice, because research protocols use methods different from those used in daily office practice settings. Method: To design a medication protocol for a multisite clinical trial involving 576 children with attention-deficit hyperactivity disorder (ADHD) while maintaining relevance to clinical practice, investigators from the NIMH Collaborative Multisite Multimodal Treatment Study of Children with Attention-Deficit/Hyperactivity Disorder (MTA study) developed novel medication strategies. These were designed to work either in a monomodal or multimodal format and to ensure standard approaches are used across diverse sites. Each child randomized to medication (projected N = 288) is individually titrated to his or her 'best' methylphenidate dose and has individual ADHD symptoms monitored. Decision rules were developed to guide 'best dose' selection, dose changes, medication changes, the management of side effects, and integration with psychosocial treatments. Conclusions: The MTA study uses a controlled method to standardize the identification of each child's 'best' methylphenidate dose in a national, multisite cooperative treatment program. Although the titration protocol is complex, the study's individual dosing approach and algorithms for openly managing ADHD children's medication over time will be of interest to clinicians in office practice.","author":[{"dropping-particle":"","family":"Greenhill","given":"Laurence L.","non-dropping-particle":"","parse-names":false,"suffix":""},{"dropping-particle":"","family":"Abikoff","given":"Howard B.","non-dropping-particle":"","parse-names":false,"suffix":""},{"dropping-particle":"","family":"Arnold","given":"L. Eugene","non-dropping-particle":"","parse-names":false,"suffix":""},{"dropping-particle":"","family":"Cantwell","given":"Dennis P.","non-dropping-particle":"","parse-names":false,"suffix":""},{"dropping-particle":"","family":"Conners","given":"C. Keith","non-dropping-particle":"","parse-names":false,"suffix":""},{"dropping-particle":"","family":"Elliott","given":"Glen","non-dropping-particle":"","parse-names":false,"suffix":""},{"dropping-particle":"","family":"Hechtman","given":"Lily","non-dropping-particle":"","parse-names":false,"suffix":""},{"dropping-particle":"","family":"Hinshaw","given":"Stephen P.","non-dropping-particle":"","parse-names":false,"suffix":""},{"dropping-particle":"","family":"Hoza","given":"Betsy","non-dropping-particle":"","parse-names":false,"suffix":""},{"dropping-particle":"","family":"Jensen","given":"Peter S.","non-dropping-particle":"","parse-names":false,"suffix":""},{"dropping-particle":"","family":"March","given":"John S.","non-dropping-particle":"","parse-names":false,"suffix":""},{"dropping-particle":"","family":"Newcorn","given":"Jeffrey","non-dropping-particle":"","parse-names":false,"suffix":""},{"dropping-particle":"","family":"Pelham","given":"William E.","non-dropping-particle":"","parse-names":false,"suffix":""},{"dropping-particle":"","family":"Severe","given":"Joanne B.","non-dropping-particle":"","parse-names":false,"suffix":""},{"dropping-particle":"","family":"Swanson","given":"James M.","non-dropping-particle":"","parse-names":false,"suffix":""},{"dropping-particle":"","family":"Vitiello","given":"Ben","non-dropping-particle":"","parse-names":false,"suffix":""},{"dropping-particle":"","family":"Wells","given":"Karen","non-dropping-particle":"","parse-names":false,"suffix":""}],"container-title":"Journal of the American Academy of Child and Adolescent Psychiatry","id":"ITEM-1","issue":"10","issued":{"date-parts":[["1996","10","1"]]},"page":"1304-1313","publisher":"Elsevier Inc.","title":"Medication treatment strategies in the MTA study: Relevance to clinicians and researchers","type":"article-journal","volume":"35"},"uris":["http://www.mendeley.com/documents/?uuid=2101c1ac-ef66-3ab9-9a42-d49200335506"]}],"mendeley":{"formattedCitation":"(L. L. Greenhill et al., 1996)","manualFormatting":"(Greenhill et al., 1996)","plainTextFormattedCitation":"(L. L. Greenhill et al., 1996)","previouslyFormattedCitation":"(L. L. Greenhill et al., 1996)"},"properties":{"noteIndex":0},"schema":"https://github.com/citation-style-language/schema/raw/master/csl-citation.json"}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(Greenhill et al., 1996)</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(trial: </w:t>
      </w:r>
      <w:r w:rsidRPr="005B6CBE">
        <w:rPr>
          <w:rFonts w:ascii="Times New Roman" w:hAnsi="Times New Roman" w:cs="Times New Roman"/>
          <w:sz w:val="20"/>
          <w:szCs w:val="20"/>
        </w:rPr>
        <w:fldChar w:fldCharType="begin" w:fldLock="1"/>
      </w:r>
      <w:r w:rsidRPr="005B6CBE">
        <w:rPr>
          <w:rFonts w:ascii="Times New Roman" w:hAnsi="Times New Roman" w:cs="Times New Roman"/>
          <w:sz w:val="20"/>
          <w:szCs w:val="20"/>
        </w:rPr>
        <w:instrText>ADDIN CSL_CITATION {"citationItems":[{"id":"ITEM-1","itemData":{"DOI":"10.1097/00004583-200005000-00016","abstract":"Objective: While Adderall® has been available for the treatment of attention-deficit/hyperactivity disorder (ADHD) for several years, there are few controlled studies comparing it to methylphenidate. Method: Fifty-eight children with ADHD (mean age 8.1 ± 1.4 years) were randomly assigned to receive placebo, methylphenidate, or Adderall in a double-blind, parallel- group design for 3 weeks. Dosage was adjusted at the end of weeks 1 and 2 via an algorithm based on teacher and parent ratings. Final doses were 12.5 ± 4.1 mg/day for Adderall and 25.2 ± 13.1 mg/day for methylphenidate. Teacher and parent ratings, as well as the psychiatrist's Clinical Global Impression (CGI), were the final outcome measures at the end of week 3. Results: Both medications were superior to placebo at reducing inattentive and oppositional symptoms in the classroom and on the CGI. Adderall produced significantly more improvements on teacher ratings and the CGI than methylphenidate, although the algorithm may have limited dosing in the methylphenidate group. Seventy percent of children in the Adderall group were given medication once a day, compared with 15% of the subjects receiving methylphenidate. Conclusions: Adderall compared favorably to methylphenidate, and the behavioral effects of Adderall appear to persist longer than those of methylphenidate after individual doses.","author":[{"dropping-particle":"","family":"Pliszka","given":"Steven R.","non-dropping-particle":"","parse-names":false,"suffix":""},{"dropping-particle":"","family":"Browne","given":"Ronald G.","non-dropping-particle":"","parse-names":false,"suffix":""},{"dropping-particle":"","family":"Olvera","given":"Rene L.","non-dropping-particle":"","parse-names":false,"suffix":""},{"dropping-particle":"","family":"Wynne","given":"Susan K.","non-dropping-particle":"","parse-names":false,"suffix":""}],"container-title":"Journal of the American Academy of Child and Adolescent Psychiatry","id":"ITEM-1","issue":"5","issued":{"date-parts":[["2000","5","1"]]},"page":"619-626","publisher":"Elsevier Inc.","title":"A double-blind, placebo-controlled study of Adderall and methylphenidate in the treatment of attention-deficit/hyperactivity disorder","type":"article-journal","volume":"39"},"uris":["http://www.mendeley.com/documents/?uuid=091b52dc-fe60-3a29-833b-4fbcdee834da"]}],"mendeley":{"formattedCitation":"(Pliszka et al., 2000)","manualFormatting":"Pliszka et al., 2000)","plainTextFormattedCitation":"(Pliszka et al., 2000)","previouslyFormattedCitation":"(Pliszka et al., 2000)"},"properties":{"noteIndex":0},"schema":"https://github.com/citation-style-language/schema/raw/master/csl-citation.json"}</w:instrText>
      </w:r>
      <w:r w:rsidRPr="005B6CBE">
        <w:rPr>
          <w:rFonts w:ascii="Times New Roman" w:hAnsi="Times New Roman" w:cs="Times New Roman"/>
          <w:sz w:val="20"/>
          <w:szCs w:val="20"/>
        </w:rPr>
        <w:fldChar w:fldCharType="separate"/>
      </w:r>
      <w:r w:rsidRPr="005B6CBE">
        <w:rPr>
          <w:rFonts w:ascii="Times New Roman" w:hAnsi="Times New Roman" w:cs="Times New Roman"/>
          <w:noProof/>
          <w:sz w:val="20"/>
          <w:szCs w:val="20"/>
        </w:rPr>
        <w:t>Pliszka et al., 2000)</w:t>
      </w:r>
      <w:r w:rsidRPr="005B6CBE">
        <w:rPr>
          <w:rFonts w:ascii="Times New Roman" w:hAnsi="Times New Roman" w:cs="Times New Roman"/>
          <w:sz w:val="20"/>
          <w:szCs w:val="20"/>
        </w:rPr>
        <w:fldChar w:fldCharType="end"/>
      </w:r>
      <w:r w:rsidRPr="005B6CBE">
        <w:rPr>
          <w:rFonts w:ascii="Times New Roman" w:hAnsi="Times New Roman" w:cs="Times New Roman"/>
          <w:sz w:val="20"/>
          <w:szCs w:val="20"/>
        </w:rPr>
        <w:t xml:space="preserve">. All SERS measures were parent-rated. In the PROSPERO registration for this review, only the BSSERS and PSERS were mentioned as SERS outcomes of interest. However, during the systematic review the Multi-Modality Treatment of ADHD side effects scale was found to be similar to these measures and available information about the measure showed it was suitable for inclusion in the meta-analysis. </w:t>
      </w:r>
    </w:p>
    <w:p w14:paraId="7A4F2734" w14:textId="77777777" w:rsidR="004C47A7" w:rsidRPr="005B6CBE" w:rsidRDefault="004C47A7" w:rsidP="004C47A7">
      <w:pPr>
        <w:spacing w:after="160" w:line="259" w:lineRule="auto"/>
        <w:rPr>
          <w:rFonts w:ascii="Times New Roman" w:hAnsi="Times New Roman" w:cs="Times New Roman"/>
          <w:b/>
          <w:bCs/>
          <w:sz w:val="20"/>
          <w:szCs w:val="20"/>
        </w:rPr>
      </w:pPr>
      <w:r w:rsidRPr="005B6CBE">
        <w:rPr>
          <w:rFonts w:ascii="Times New Roman" w:hAnsi="Times New Roman" w:cs="Times New Roman"/>
          <w:b/>
          <w:bCs/>
          <w:sz w:val="20"/>
          <w:szCs w:val="20"/>
        </w:rPr>
        <w:t>References for Outcome Measures</w:t>
      </w:r>
    </w:p>
    <w:p w14:paraId="499FF7F7" w14:textId="237DF898"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Barkley RA (1990) </w:t>
      </w:r>
      <w:r w:rsidRPr="005235A7">
        <w:rPr>
          <w:rFonts w:ascii="Times New Roman" w:hAnsi="Times New Roman" w:cs="Times New Roman"/>
          <w:sz w:val="20"/>
          <w:szCs w:val="20"/>
        </w:rPr>
        <w:t>Attention-deficit hyperactivity disorder: A handbook for diagnosis and treatment.</w:t>
      </w:r>
      <w:r w:rsidRPr="005B6CBE">
        <w:rPr>
          <w:rFonts w:ascii="Times New Roman" w:hAnsi="Times New Roman" w:cs="Times New Roman"/>
          <w:sz w:val="20"/>
          <w:szCs w:val="20"/>
        </w:rPr>
        <w:t xml:space="preserve"> Guildford Press.</w:t>
      </w:r>
    </w:p>
    <w:p w14:paraId="18F8A529" w14:textId="2F6ACA6D"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Birmaher B (1997) The Screen for Child Anxiety-Related Emotional Disorders (SCARED): Scale construction and psychometric characteristics</w:t>
      </w:r>
      <w:r w:rsidRPr="005B6CBE">
        <w:rPr>
          <w:rFonts w:ascii="Times New Roman" w:hAnsi="Times New Roman" w:cs="Times New Roman"/>
          <w:i/>
          <w:iCs/>
          <w:sz w:val="20"/>
          <w:szCs w:val="20"/>
        </w:rPr>
        <w:t xml:space="preserve">. </w:t>
      </w:r>
      <w:r w:rsidRPr="005235A7">
        <w:rPr>
          <w:rFonts w:ascii="Times New Roman" w:hAnsi="Times New Roman" w:cs="Times New Roman"/>
          <w:sz w:val="20"/>
          <w:szCs w:val="20"/>
        </w:rPr>
        <w:t>J Am Acad Child Psy 36</w:t>
      </w:r>
      <w:r w:rsidR="005235A7">
        <w:rPr>
          <w:rFonts w:ascii="Times New Roman" w:hAnsi="Times New Roman" w:cs="Times New Roman"/>
          <w:i/>
          <w:iCs/>
          <w:sz w:val="20"/>
          <w:szCs w:val="20"/>
        </w:rPr>
        <w:t>:</w:t>
      </w:r>
      <w:r w:rsidRPr="005B6CBE">
        <w:rPr>
          <w:rFonts w:ascii="Times New Roman" w:hAnsi="Times New Roman" w:cs="Times New Roman"/>
          <w:sz w:val="20"/>
          <w:szCs w:val="20"/>
        </w:rPr>
        <w:t>545–553.</w:t>
      </w:r>
    </w:p>
    <w:p w14:paraId="15E4D4FD" w14:textId="6A6D1485"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Conners CK (1973) Rating scales for use in drug studies with children. </w:t>
      </w:r>
      <w:r w:rsidRPr="005235A7">
        <w:rPr>
          <w:rFonts w:ascii="Times New Roman" w:hAnsi="Times New Roman" w:cs="Times New Roman"/>
          <w:sz w:val="20"/>
          <w:szCs w:val="20"/>
        </w:rPr>
        <w:t>Psychopharmacology Bulletin</w:t>
      </w:r>
      <w:r w:rsidRPr="005B6CBE">
        <w:rPr>
          <w:rFonts w:ascii="Times New Roman" w:hAnsi="Times New Roman" w:cs="Times New Roman"/>
          <w:sz w:val="20"/>
          <w:szCs w:val="20"/>
        </w:rPr>
        <w:t xml:space="preserve"> 24–29.</w:t>
      </w:r>
    </w:p>
    <w:p w14:paraId="06CB9F24" w14:textId="05CDEECC"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Conners CK (2008) Conners Comprehensive Behavior Rating Scales: Manual. Multi-Health Systems.</w:t>
      </w:r>
    </w:p>
    <w:p w14:paraId="4CA4E884" w14:textId="03E2BBA2"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Greenhill LL, Abikoff HB, Arnold LE</w:t>
      </w:r>
      <w:r w:rsidR="005235A7">
        <w:rPr>
          <w:rFonts w:ascii="Times New Roman" w:hAnsi="Times New Roman" w:cs="Times New Roman"/>
          <w:sz w:val="20"/>
          <w:szCs w:val="20"/>
        </w:rPr>
        <w:t xml:space="preserve"> et al.</w:t>
      </w:r>
      <w:r w:rsidRPr="005B6CBE">
        <w:rPr>
          <w:rFonts w:ascii="Times New Roman" w:hAnsi="Times New Roman" w:cs="Times New Roman"/>
          <w:sz w:val="20"/>
          <w:szCs w:val="20"/>
        </w:rPr>
        <w:t xml:space="preserve"> (1996). Medication treatment strategies in the MTA study: Relevance to clinicians and researchers. </w:t>
      </w:r>
      <w:r w:rsidRPr="005235A7">
        <w:rPr>
          <w:rFonts w:ascii="Times New Roman" w:hAnsi="Times New Roman" w:cs="Times New Roman"/>
          <w:sz w:val="20"/>
          <w:szCs w:val="20"/>
        </w:rPr>
        <w:t>J Am Acad Child Psy 35</w:t>
      </w:r>
      <w:r w:rsidR="005235A7">
        <w:rPr>
          <w:rFonts w:ascii="Times New Roman" w:hAnsi="Times New Roman" w:cs="Times New Roman"/>
          <w:i/>
          <w:iCs/>
          <w:sz w:val="20"/>
          <w:szCs w:val="20"/>
        </w:rPr>
        <w:t>:</w:t>
      </w:r>
      <w:r w:rsidRPr="005B6CBE">
        <w:rPr>
          <w:rFonts w:ascii="Times New Roman" w:hAnsi="Times New Roman" w:cs="Times New Roman"/>
          <w:sz w:val="20"/>
          <w:szCs w:val="20"/>
        </w:rPr>
        <w:t xml:space="preserve">1304–1313. </w:t>
      </w:r>
      <w:hyperlink r:id="rId6" w:history="1">
        <w:r w:rsidRPr="005B6CBE">
          <w:rPr>
            <w:rStyle w:val="Hyperlink"/>
            <w:rFonts w:ascii="Times New Roman" w:hAnsi="Times New Roman" w:cs="Times New Roman"/>
            <w:sz w:val="20"/>
            <w:szCs w:val="20"/>
          </w:rPr>
          <w:t>https://doi.org/10.1097/00004583-199610000-00017</w:t>
        </w:r>
      </w:hyperlink>
      <w:r w:rsidRPr="005B6CBE">
        <w:rPr>
          <w:rFonts w:ascii="Times New Roman" w:hAnsi="Times New Roman" w:cs="Times New Roman"/>
          <w:sz w:val="20"/>
          <w:szCs w:val="20"/>
        </w:rPr>
        <w:t xml:space="preserve"> </w:t>
      </w:r>
    </w:p>
    <w:p w14:paraId="6D78F1E2" w14:textId="3DC4AAB9"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Lovibond SH, Lovibond PF (1996) </w:t>
      </w:r>
      <w:r w:rsidRPr="005235A7">
        <w:rPr>
          <w:rFonts w:ascii="Times New Roman" w:hAnsi="Times New Roman" w:cs="Times New Roman"/>
          <w:sz w:val="20"/>
          <w:szCs w:val="20"/>
        </w:rPr>
        <w:t>Manual for the Depression, Anxiety, Stress Scales.</w:t>
      </w:r>
      <w:r w:rsidRPr="005B6CBE">
        <w:rPr>
          <w:rFonts w:ascii="Times New Roman" w:hAnsi="Times New Roman" w:cs="Times New Roman"/>
          <w:sz w:val="20"/>
          <w:szCs w:val="20"/>
        </w:rPr>
        <w:t xml:space="preserve"> Psychology Foundation of Australia.</w:t>
      </w:r>
    </w:p>
    <w:p w14:paraId="7988A899" w14:textId="043E6FAB"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March JS, Parker JDA, Sullivan K, Stallings P, Conners CK (1997) The Multidimensional Anxiety Scale for Children (MASC): Factor structure, reliability, and validity. </w:t>
      </w:r>
      <w:r w:rsidR="005235A7">
        <w:rPr>
          <w:rFonts w:ascii="Times New Roman" w:hAnsi="Times New Roman" w:cs="Times New Roman"/>
          <w:sz w:val="20"/>
          <w:szCs w:val="20"/>
        </w:rPr>
        <w:t xml:space="preserve">J </w:t>
      </w:r>
      <w:r w:rsidRPr="005235A7">
        <w:rPr>
          <w:rFonts w:ascii="Times New Roman" w:hAnsi="Times New Roman" w:cs="Times New Roman"/>
          <w:sz w:val="20"/>
          <w:szCs w:val="20"/>
        </w:rPr>
        <w:t>Am</w:t>
      </w:r>
      <w:r w:rsidR="005235A7">
        <w:rPr>
          <w:rFonts w:ascii="Times New Roman" w:hAnsi="Times New Roman" w:cs="Times New Roman"/>
          <w:sz w:val="20"/>
          <w:szCs w:val="20"/>
        </w:rPr>
        <w:t xml:space="preserve"> </w:t>
      </w:r>
      <w:r w:rsidRPr="005235A7">
        <w:rPr>
          <w:rFonts w:ascii="Times New Roman" w:hAnsi="Times New Roman" w:cs="Times New Roman"/>
          <w:sz w:val="20"/>
          <w:szCs w:val="20"/>
        </w:rPr>
        <w:t>Acad Child Psy 36</w:t>
      </w:r>
      <w:r w:rsidR="005235A7">
        <w:rPr>
          <w:rFonts w:ascii="Times New Roman" w:hAnsi="Times New Roman" w:cs="Times New Roman"/>
          <w:i/>
          <w:iCs/>
          <w:sz w:val="20"/>
          <w:szCs w:val="20"/>
        </w:rPr>
        <w:t>:</w:t>
      </w:r>
      <w:r w:rsidRPr="005B6CBE">
        <w:rPr>
          <w:rFonts w:ascii="Times New Roman" w:hAnsi="Times New Roman" w:cs="Times New Roman"/>
          <w:sz w:val="20"/>
          <w:szCs w:val="20"/>
        </w:rPr>
        <w:t xml:space="preserve">554–565. </w:t>
      </w:r>
      <w:hyperlink r:id="rId7" w:history="1">
        <w:r w:rsidRPr="005B6CBE">
          <w:rPr>
            <w:rStyle w:val="Hyperlink"/>
            <w:rFonts w:ascii="Times New Roman" w:hAnsi="Times New Roman" w:cs="Times New Roman"/>
            <w:sz w:val="20"/>
            <w:szCs w:val="20"/>
          </w:rPr>
          <w:t>https://doi.org/10.1097/00004583-199704000-00019</w:t>
        </w:r>
      </w:hyperlink>
      <w:r w:rsidRPr="005B6CBE">
        <w:rPr>
          <w:rFonts w:ascii="Times New Roman" w:hAnsi="Times New Roman" w:cs="Times New Roman"/>
          <w:sz w:val="20"/>
          <w:szCs w:val="20"/>
        </w:rPr>
        <w:t xml:space="preserve"> </w:t>
      </w:r>
    </w:p>
    <w:p w14:paraId="0AB8FA35" w14:textId="3F607383"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Pelham WE (1993) Pharmacotherapy for children with attention-deficit hyperactivity disorder. </w:t>
      </w:r>
      <w:r w:rsidRPr="005B6CBE">
        <w:rPr>
          <w:rFonts w:ascii="Times New Roman" w:hAnsi="Times New Roman" w:cs="Times New Roman"/>
          <w:i/>
          <w:iCs/>
          <w:sz w:val="20"/>
          <w:szCs w:val="20"/>
        </w:rPr>
        <w:t xml:space="preserve">School </w:t>
      </w:r>
      <w:r w:rsidRPr="005235A7">
        <w:rPr>
          <w:rFonts w:ascii="Times New Roman" w:hAnsi="Times New Roman" w:cs="Times New Roman"/>
          <w:sz w:val="20"/>
          <w:szCs w:val="20"/>
        </w:rPr>
        <w:t>Psychology Rev 22</w:t>
      </w:r>
      <w:r w:rsidR="005235A7">
        <w:rPr>
          <w:rFonts w:ascii="Times New Roman" w:hAnsi="Times New Roman" w:cs="Times New Roman"/>
          <w:sz w:val="20"/>
          <w:szCs w:val="20"/>
        </w:rPr>
        <w:t>:</w:t>
      </w:r>
      <w:r w:rsidRPr="005B6CBE">
        <w:rPr>
          <w:rFonts w:ascii="Times New Roman" w:hAnsi="Times New Roman" w:cs="Times New Roman"/>
          <w:sz w:val="20"/>
          <w:szCs w:val="20"/>
        </w:rPr>
        <w:t xml:space="preserve">199–227. </w:t>
      </w:r>
      <w:hyperlink r:id="rId8" w:history="1">
        <w:r w:rsidRPr="005B6CBE">
          <w:rPr>
            <w:rStyle w:val="Hyperlink"/>
            <w:rFonts w:ascii="Times New Roman" w:hAnsi="Times New Roman" w:cs="Times New Roman"/>
            <w:sz w:val="20"/>
            <w:szCs w:val="20"/>
          </w:rPr>
          <w:t>https://doi.org/10.1080/02796015.1993.12085647</w:t>
        </w:r>
      </w:hyperlink>
      <w:r w:rsidRPr="005B6CBE">
        <w:rPr>
          <w:rFonts w:ascii="Times New Roman" w:hAnsi="Times New Roman" w:cs="Times New Roman"/>
          <w:sz w:val="20"/>
          <w:szCs w:val="20"/>
        </w:rPr>
        <w:t xml:space="preserve"> </w:t>
      </w:r>
    </w:p>
    <w:p w14:paraId="75638A35" w14:textId="324F6E0B"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Poznanski E, Mokros H (1996) </w:t>
      </w:r>
      <w:r w:rsidRPr="005235A7">
        <w:rPr>
          <w:rFonts w:ascii="Times New Roman" w:hAnsi="Times New Roman" w:cs="Times New Roman"/>
          <w:sz w:val="20"/>
          <w:szCs w:val="20"/>
        </w:rPr>
        <w:t>Children’s Depression Rating Scale, Revised (CDRS-R).</w:t>
      </w:r>
      <w:r w:rsidRPr="005B6CBE">
        <w:rPr>
          <w:rFonts w:ascii="Times New Roman" w:hAnsi="Times New Roman" w:cs="Times New Roman"/>
          <w:sz w:val="20"/>
          <w:szCs w:val="20"/>
        </w:rPr>
        <w:t xml:space="preserve"> WPS. </w:t>
      </w:r>
    </w:p>
    <w:p w14:paraId="06BA13FC" w14:textId="1B4681DD"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Quay HC, Peterson DR (1983) </w:t>
      </w:r>
      <w:r w:rsidRPr="005235A7">
        <w:rPr>
          <w:rFonts w:ascii="Times New Roman" w:hAnsi="Times New Roman" w:cs="Times New Roman"/>
          <w:sz w:val="20"/>
          <w:szCs w:val="20"/>
        </w:rPr>
        <w:t>Interim manual for the Revised Behaviour Problem Checklist (1st edition).</w:t>
      </w:r>
      <w:r w:rsidRPr="005B6CBE">
        <w:rPr>
          <w:rFonts w:ascii="Times New Roman" w:hAnsi="Times New Roman" w:cs="Times New Roman"/>
          <w:i/>
          <w:iCs/>
          <w:sz w:val="20"/>
          <w:szCs w:val="20"/>
        </w:rPr>
        <w:t xml:space="preserve"> </w:t>
      </w:r>
      <w:r w:rsidRPr="005B6CBE">
        <w:rPr>
          <w:rFonts w:ascii="Times New Roman" w:hAnsi="Times New Roman" w:cs="Times New Roman"/>
          <w:sz w:val="20"/>
          <w:szCs w:val="20"/>
        </w:rPr>
        <w:t>University of Miami.</w:t>
      </w:r>
    </w:p>
    <w:p w14:paraId="2B9D606C" w14:textId="5027DD66" w:rsidR="004C47A7" w:rsidRPr="005B6CBE" w:rsidRDefault="004C47A7" w:rsidP="004C47A7">
      <w:pPr>
        <w:spacing w:line="480" w:lineRule="auto"/>
        <w:ind w:left="720" w:hanging="720"/>
        <w:rPr>
          <w:rFonts w:ascii="Times New Roman" w:hAnsi="Times New Roman" w:cs="Times New Roman"/>
          <w:sz w:val="20"/>
          <w:szCs w:val="20"/>
        </w:rPr>
      </w:pPr>
      <w:r w:rsidRPr="005B6CBE">
        <w:rPr>
          <w:rFonts w:ascii="Times New Roman" w:hAnsi="Times New Roman" w:cs="Times New Roman"/>
          <w:sz w:val="20"/>
          <w:szCs w:val="20"/>
        </w:rPr>
        <w:t xml:space="preserve">Spielberger CD, Edwards RE, Lushene J, Montouri D (1973) Preliminary test manual for the State-Trait Anxiety Inventory for Children. </w:t>
      </w:r>
      <w:r w:rsidRPr="005235A7">
        <w:rPr>
          <w:rFonts w:ascii="Times New Roman" w:hAnsi="Times New Roman" w:cs="Times New Roman"/>
          <w:sz w:val="20"/>
          <w:szCs w:val="20"/>
        </w:rPr>
        <w:t>Pers</w:t>
      </w:r>
      <w:r w:rsidR="005235A7">
        <w:rPr>
          <w:rFonts w:ascii="Times New Roman" w:hAnsi="Times New Roman" w:cs="Times New Roman"/>
          <w:sz w:val="20"/>
          <w:szCs w:val="20"/>
        </w:rPr>
        <w:t xml:space="preserve"> </w:t>
      </w:r>
      <w:r w:rsidRPr="005235A7">
        <w:rPr>
          <w:rFonts w:ascii="Times New Roman" w:hAnsi="Times New Roman" w:cs="Times New Roman"/>
          <w:sz w:val="20"/>
          <w:szCs w:val="20"/>
        </w:rPr>
        <w:t xml:space="preserve">Indiv Differ 2. </w:t>
      </w:r>
      <w:hyperlink r:id="rId9" w:history="1">
        <w:r w:rsidRPr="005B6CBE">
          <w:rPr>
            <w:rStyle w:val="Hyperlink"/>
            <w:rFonts w:ascii="Times New Roman" w:hAnsi="Times New Roman" w:cs="Times New Roman"/>
            <w:sz w:val="20"/>
            <w:szCs w:val="20"/>
          </w:rPr>
          <w:t>https://doi.org/10.1016/0191-8869(81)90005-2</w:t>
        </w:r>
      </w:hyperlink>
      <w:r w:rsidRPr="005B6CBE">
        <w:rPr>
          <w:rFonts w:ascii="Times New Roman" w:hAnsi="Times New Roman" w:cs="Times New Roman"/>
          <w:sz w:val="20"/>
          <w:szCs w:val="20"/>
        </w:rPr>
        <w:t xml:space="preserve"> </w:t>
      </w:r>
    </w:p>
    <w:p w14:paraId="4F88D9B6" w14:textId="77777777" w:rsidR="004C47A7" w:rsidRPr="005B6CBE" w:rsidRDefault="004C47A7" w:rsidP="004C47A7">
      <w:pPr>
        <w:spacing w:line="480" w:lineRule="auto"/>
        <w:ind w:left="720" w:hanging="720"/>
        <w:rPr>
          <w:rFonts w:ascii="Times New Roman" w:hAnsi="Times New Roman" w:cs="Times New Roman"/>
          <w:sz w:val="20"/>
          <w:szCs w:val="20"/>
        </w:rPr>
      </w:pPr>
    </w:p>
    <w:p w14:paraId="50150A16" w14:textId="77777777" w:rsidR="004C47A7" w:rsidRPr="005B6CBE" w:rsidRDefault="004C47A7" w:rsidP="004C47A7">
      <w:pPr>
        <w:spacing w:after="160" w:line="259" w:lineRule="auto"/>
        <w:rPr>
          <w:rFonts w:ascii="Times New Roman" w:hAnsi="Times New Roman" w:cs="Times New Roman"/>
          <w:b/>
          <w:bCs/>
          <w:sz w:val="20"/>
          <w:szCs w:val="20"/>
        </w:rPr>
      </w:pPr>
      <w:r w:rsidRPr="005B6CBE">
        <w:rPr>
          <w:rFonts w:ascii="Times New Roman" w:hAnsi="Times New Roman" w:cs="Times New Roman"/>
          <w:b/>
          <w:bCs/>
          <w:sz w:val="20"/>
          <w:szCs w:val="20"/>
        </w:rPr>
        <w:br w:type="page"/>
      </w:r>
    </w:p>
    <w:p w14:paraId="5230C834" w14:textId="77777777" w:rsidR="004C47A7" w:rsidRPr="005B6CBE" w:rsidRDefault="004C47A7" w:rsidP="004C47A7">
      <w:pPr>
        <w:spacing w:after="0" w:line="480" w:lineRule="auto"/>
        <w:rPr>
          <w:rFonts w:ascii="Times New Roman" w:hAnsi="Times New Roman" w:cs="Times New Roman"/>
          <w:b/>
          <w:bCs/>
          <w:sz w:val="20"/>
          <w:szCs w:val="20"/>
        </w:rPr>
      </w:pPr>
      <w:r w:rsidRPr="005B6CBE">
        <w:rPr>
          <w:rFonts w:ascii="Times New Roman" w:hAnsi="Times New Roman" w:cs="Times New Roman"/>
          <w:b/>
          <w:bCs/>
          <w:sz w:val="20"/>
          <w:szCs w:val="20"/>
        </w:rPr>
        <w:t>Supplementary Figure 1</w:t>
      </w:r>
    </w:p>
    <w:p w14:paraId="347D6768" w14:textId="77777777" w:rsidR="004C47A7" w:rsidRPr="005B6CBE" w:rsidRDefault="004C47A7" w:rsidP="004C47A7">
      <w:pPr>
        <w:spacing w:after="0" w:line="480" w:lineRule="auto"/>
        <w:rPr>
          <w:rFonts w:ascii="Times New Roman" w:hAnsi="Times New Roman" w:cs="Times New Roman"/>
          <w:i/>
          <w:iCs/>
          <w:sz w:val="20"/>
          <w:szCs w:val="20"/>
        </w:rPr>
      </w:pPr>
      <w:r w:rsidRPr="005B6CBE">
        <w:rPr>
          <w:rFonts w:ascii="Times New Roman" w:hAnsi="Times New Roman" w:cs="Times New Roman"/>
          <w:i/>
          <w:iCs/>
          <w:sz w:val="20"/>
          <w:szCs w:val="20"/>
        </w:rPr>
        <w:t>Forest Plot of Comparison Between ADHD Drug Group and Placebo Group on Anxiety Change Scores as Measured by Validated Questionnaires</w:t>
      </w:r>
    </w:p>
    <w:p w14:paraId="49F4C591"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noProof/>
          <w:sz w:val="20"/>
          <w:szCs w:val="20"/>
          <w:lang w:val="en-IN" w:eastAsia="en-IN"/>
        </w:rPr>
        <w:drawing>
          <wp:inline distT="0" distB="0" distL="0" distR="0" wp14:anchorId="7CB8E34A" wp14:editId="5BF48AA3">
            <wp:extent cx="4891178" cy="1246909"/>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71030" cy="1267266"/>
                    </a:xfrm>
                    <a:prstGeom prst="rect">
                      <a:avLst/>
                    </a:prstGeom>
                  </pic:spPr>
                </pic:pic>
              </a:graphicData>
            </a:graphic>
          </wp:inline>
        </w:drawing>
      </w:r>
    </w:p>
    <w:p w14:paraId="4E4C1BC6"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sz w:val="20"/>
          <w:szCs w:val="20"/>
        </w:rPr>
        <w:t xml:space="preserve">For anxiety change scores measured by validated questionnaires, the magnitude of the effect is small and favours ADHD drugs over placebo (SMD= -0.19, 95% CI= -.52-.13, </w:t>
      </w:r>
      <w:r w:rsidRPr="005B6CBE">
        <w:rPr>
          <w:rFonts w:ascii="Times New Roman" w:hAnsi="Times New Roman" w:cs="Times New Roman"/>
          <w:i/>
          <w:iCs/>
          <w:sz w:val="20"/>
          <w:szCs w:val="20"/>
        </w:rPr>
        <w:t>p</w:t>
      </w:r>
      <w:r w:rsidRPr="005B6CBE">
        <w:rPr>
          <w:rFonts w:ascii="Times New Roman" w:hAnsi="Times New Roman" w:cs="Times New Roman"/>
          <w:sz w:val="20"/>
          <w:szCs w:val="20"/>
        </w:rPr>
        <w:t xml:space="preserve">= 0.12, </w:t>
      </w:r>
      <w:r w:rsidRPr="005B6CBE">
        <w:rPr>
          <w:rFonts w:ascii="Times New Roman" w:hAnsi="Times New Roman" w:cs="Times New Roman"/>
          <w:i/>
          <w:iCs/>
          <w:sz w:val="20"/>
          <w:szCs w:val="20"/>
        </w:rPr>
        <w:t>n</w:t>
      </w:r>
      <w:r w:rsidRPr="005B6CBE">
        <w:rPr>
          <w:rFonts w:ascii="Times New Roman" w:hAnsi="Times New Roman" w:cs="Times New Roman"/>
          <w:sz w:val="20"/>
          <w:szCs w:val="20"/>
        </w:rPr>
        <w:t>= 370,</w:t>
      </w:r>
      <w:r w:rsidRPr="005B6CBE">
        <w:rPr>
          <w:rFonts w:ascii="Times New Roman" w:hAnsi="Times New Roman" w:cs="Times New Roman"/>
          <w:i/>
          <w:iCs/>
          <w:sz w:val="20"/>
          <w:szCs w:val="20"/>
        </w:rPr>
        <w:t xml:space="preserve"> k</w:t>
      </w:r>
      <w:r w:rsidRPr="005B6CBE">
        <w:rPr>
          <w:rFonts w:ascii="Times New Roman" w:hAnsi="Times New Roman" w:cs="Times New Roman"/>
          <w:sz w:val="20"/>
          <w:szCs w:val="20"/>
        </w:rPr>
        <w:t>= 3). The proportion of heterogeneity effects were modest (I</w:t>
      </w:r>
      <w:r w:rsidRPr="005B6CBE">
        <w:rPr>
          <w:rFonts w:ascii="Times New Roman" w:hAnsi="Times New Roman" w:cs="Times New Roman"/>
          <w:sz w:val="20"/>
          <w:szCs w:val="20"/>
          <w:vertAlign w:val="superscript"/>
        </w:rPr>
        <w:t>2</w:t>
      </w:r>
      <w:r w:rsidRPr="005B6CBE">
        <w:rPr>
          <w:rFonts w:ascii="Times New Roman" w:hAnsi="Times New Roman" w:cs="Times New Roman"/>
          <w:sz w:val="20"/>
          <w:szCs w:val="20"/>
        </w:rPr>
        <w:t>= 52%).</w:t>
      </w:r>
    </w:p>
    <w:p w14:paraId="58D25B70" w14:textId="77777777" w:rsidR="004C47A7" w:rsidRPr="005B6CBE" w:rsidRDefault="004C47A7" w:rsidP="004C47A7">
      <w:pPr>
        <w:spacing w:after="0" w:line="480" w:lineRule="auto"/>
        <w:rPr>
          <w:rFonts w:ascii="Times New Roman" w:hAnsi="Times New Roman" w:cs="Times New Roman"/>
          <w:b/>
          <w:bCs/>
          <w:sz w:val="20"/>
          <w:szCs w:val="20"/>
        </w:rPr>
      </w:pPr>
      <w:r w:rsidRPr="005B6CBE">
        <w:rPr>
          <w:rFonts w:ascii="Times New Roman" w:hAnsi="Times New Roman" w:cs="Times New Roman"/>
          <w:b/>
          <w:bCs/>
          <w:sz w:val="20"/>
          <w:szCs w:val="20"/>
        </w:rPr>
        <w:t>Supplementary Figure 2</w:t>
      </w:r>
    </w:p>
    <w:p w14:paraId="190AAFBB" w14:textId="77777777" w:rsidR="004C47A7" w:rsidRPr="005B6CBE" w:rsidRDefault="004C47A7" w:rsidP="004C47A7">
      <w:pPr>
        <w:spacing w:after="0" w:line="480" w:lineRule="auto"/>
        <w:rPr>
          <w:rFonts w:ascii="Times New Roman" w:hAnsi="Times New Roman" w:cs="Times New Roman"/>
          <w:i/>
          <w:iCs/>
          <w:sz w:val="20"/>
          <w:szCs w:val="20"/>
        </w:rPr>
      </w:pPr>
      <w:r w:rsidRPr="005B6CBE">
        <w:rPr>
          <w:rFonts w:ascii="Times New Roman" w:hAnsi="Times New Roman" w:cs="Times New Roman"/>
          <w:i/>
          <w:iCs/>
          <w:sz w:val="20"/>
          <w:szCs w:val="20"/>
        </w:rPr>
        <w:t>Forest Plot of Comparison Between ADHD Drug Group and Placebo Group on Anxiety Post-Treatment Scores as Measured by Validated Questionnaires</w:t>
      </w:r>
    </w:p>
    <w:p w14:paraId="4A045CD1" w14:textId="77777777" w:rsidR="004C47A7" w:rsidRPr="005B6CBE" w:rsidRDefault="004C47A7" w:rsidP="004C47A7">
      <w:pPr>
        <w:spacing w:after="0" w:line="480" w:lineRule="auto"/>
        <w:rPr>
          <w:rFonts w:ascii="Times New Roman" w:hAnsi="Times New Roman" w:cs="Times New Roman"/>
          <w:sz w:val="20"/>
          <w:szCs w:val="20"/>
          <w:u w:val="single"/>
        </w:rPr>
      </w:pPr>
      <w:r w:rsidRPr="005B6CBE">
        <w:rPr>
          <w:rFonts w:ascii="Times New Roman" w:hAnsi="Times New Roman" w:cs="Times New Roman"/>
          <w:noProof/>
          <w:sz w:val="20"/>
          <w:szCs w:val="20"/>
          <w:lang w:val="en-IN" w:eastAsia="en-IN"/>
        </w:rPr>
        <w:drawing>
          <wp:inline distT="0" distB="0" distL="0" distR="0" wp14:anchorId="4F7779B0" wp14:editId="3584330C">
            <wp:extent cx="4916385" cy="1232092"/>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85499" cy="1249413"/>
                    </a:xfrm>
                    <a:prstGeom prst="rect">
                      <a:avLst/>
                    </a:prstGeom>
                  </pic:spPr>
                </pic:pic>
              </a:graphicData>
            </a:graphic>
          </wp:inline>
        </w:drawing>
      </w:r>
    </w:p>
    <w:p w14:paraId="2469AD7F"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sz w:val="20"/>
          <w:szCs w:val="20"/>
        </w:rPr>
        <w:t xml:space="preserve">For anxiety post-treatment scores measured by validated questionnaires, the magnitude of the effect is small and favours ADHD drugs over placebo (SMD= -0.23, 95% CI= -.54-.08, </w:t>
      </w:r>
      <w:r w:rsidRPr="005B6CBE">
        <w:rPr>
          <w:rFonts w:ascii="Times New Roman" w:hAnsi="Times New Roman" w:cs="Times New Roman"/>
          <w:i/>
          <w:iCs/>
          <w:sz w:val="20"/>
          <w:szCs w:val="20"/>
        </w:rPr>
        <w:t>p</w:t>
      </w:r>
      <w:r w:rsidRPr="005B6CBE">
        <w:rPr>
          <w:rFonts w:ascii="Times New Roman" w:hAnsi="Times New Roman" w:cs="Times New Roman"/>
          <w:sz w:val="20"/>
          <w:szCs w:val="20"/>
        </w:rPr>
        <w:t xml:space="preserve">= 0.10, </w:t>
      </w:r>
      <w:r w:rsidRPr="005B6CBE">
        <w:rPr>
          <w:rFonts w:ascii="Times New Roman" w:hAnsi="Times New Roman" w:cs="Times New Roman"/>
          <w:i/>
          <w:iCs/>
          <w:sz w:val="20"/>
          <w:szCs w:val="20"/>
        </w:rPr>
        <w:t>n</w:t>
      </w:r>
      <w:r w:rsidRPr="005B6CBE">
        <w:rPr>
          <w:rFonts w:ascii="Times New Roman" w:hAnsi="Times New Roman" w:cs="Times New Roman"/>
          <w:sz w:val="20"/>
          <w:szCs w:val="20"/>
        </w:rPr>
        <w:t>= 441,</w:t>
      </w:r>
      <w:r w:rsidRPr="005B6CBE">
        <w:rPr>
          <w:rFonts w:ascii="Times New Roman" w:hAnsi="Times New Roman" w:cs="Times New Roman"/>
          <w:i/>
          <w:iCs/>
          <w:sz w:val="20"/>
          <w:szCs w:val="20"/>
        </w:rPr>
        <w:t xml:space="preserve"> k</w:t>
      </w:r>
      <w:r w:rsidRPr="005B6CBE">
        <w:rPr>
          <w:rFonts w:ascii="Times New Roman" w:hAnsi="Times New Roman" w:cs="Times New Roman"/>
          <w:sz w:val="20"/>
          <w:szCs w:val="20"/>
        </w:rPr>
        <w:t>= 4). The proportion of heterogeneity effects were modest (I</w:t>
      </w:r>
      <w:r w:rsidRPr="005B6CBE">
        <w:rPr>
          <w:rFonts w:ascii="Times New Roman" w:hAnsi="Times New Roman" w:cs="Times New Roman"/>
          <w:sz w:val="20"/>
          <w:szCs w:val="20"/>
          <w:vertAlign w:val="superscript"/>
        </w:rPr>
        <w:t>2</w:t>
      </w:r>
      <w:r w:rsidRPr="005B6CBE">
        <w:rPr>
          <w:rFonts w:ascii="Times New Roman" w:hAnsi="Times New Roman" w:cs="Times New Roman"/>
          <w:sz w:val="20"/>
          <w:szCs w:val="20"/>
        </w:rPr>
        <w:t>= 52%).</w:t>
      </w:r>
    </w:p>
    <w:p w14:paraId="0531A660" w14:textId="77777777" w:rsidR="004C47A7" w:rsidRPr="005B6CBE" w:rsidRDefault="004C47A7" w:rsidP="004C47A7">
      <w:pPr>
        <w:spacing w:after="0" w:line="480" w:lineRule="auto"/>
        <w:rPr>
          <w:rFonts w:ascii="Times New Roman" w:hAnsi="Times New Roman" w:cs="Times New Roman"/>
          <w:b/>
          <w:bCs/>
          <w:sz w:val="20"/>
          <w:szCs w:val="20"/>
        </w:rPr>
      </w:pPr>
      <w:r w:rsidRPr="005B6CBE">
        <w:rPr>
          <w:rFonts w:ascii="Times New Roman" w:hAnsi="Times New Roman" w:cs="Times New Roman"/>
          <w:b/>
          <w:bCs/>
          <w:sz w:val="20"/>
          <w:szCs w:val="20"/>
        </w:rPr>
        <w:t>Supplementary Figure 3</w:t>
      </w:r>
    </w:p>
    <w:p w14:paraId="5CC85E0E" w14:textId="77777777" w:rsidR="004C47A7" w:rsidRPr="005B6CBE" w:rsidRDefault="004C47A7" w:rsidP="004C47A7">
      <w:pPr>
        <w:spacing w:after="0" w:line="480" w:lineRule="auto"/>
        <w:rPr>
          <w:rFonts w:ascii="Times New Roman" w:hAnsi="Times New Roman" w:cs="Times New Roman"/>
          <w:i/>
          <w:iCs/>
          <w:sz w:val="20"/>
          <w:szCs w:val="20"/>
        </w:rPr>
      </w:pPr>
      <w:r w:rsidRPr="005B6CBE">
        <w:rPr>
          <w:rFonts w:ascii="Times New Roman" w:hAnsi="Times New Roman" w:cs="Times New Roman"/>
          <w:i/>
          <w:iCs/>
          <w:sz w:val="20"/>
          <w:szCs w:val="20"/>
        </w:rPr>
        <w:t>Forest Plot of Comparison Between ADHD Drug Group and Placebo Group on Depression Change Scores as Measured by Validated Questionnaires</w:t>
      </w:r>
    </w:p>
    <w:p w14:paraId="0DCD2D3C"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noProof/>
          <w:sz w:val="20"/>
          <w:szCs w:val="20"/>
          <w:lang w:val="en-IN" w:eastAsia="en-IN"/>
        </w:rPr>
        <w:drawing>
          <wp:inline distT="0" distB="0" distL="0" distR="0" wp14:anchorId="2BA73298" wp14:editId="484CC5E3">
            <wp:extent cx="4928260" cy="1084916"/>
            <wp:effectExtent l="0" t="0" r="571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81574" cy="1096653"/>
                    </a:xfrm>
                    <a:prstGeom prst="rect">
                      <a:avLst/>
                    </a:prstGeom>
                  </pic:spPr>
                </pic:pic>
              </a:graphicData>
            </a:graphic>
          </wp:inline>
        </w:drawing>
      </w:r>
    </w:p>
    <w:p w14:paraId="134D0ABA"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sz w:val="20"/>
          <w:szCs w:val="20"/>
        </w:rPr>
        <w:t xml:space="preserve">For depression change from baseline scores measured by validated questionnaires, the magnitude of the effect is small and favours placebo over ADHD drugs (SMD= 0.08, 95% CI= -.44-.61, </w:t>
      </w:r>
      <w:r w:rsidRPr="005B6CBE">
        <w:rPr>
          <w:rFonts w:ascii="Times New Roman" w:hAnsi="Times New Roman" w:cs="Times New Roman"/>
          <w:i/>
          <w:iCs/>
          <w:sz w:val="20"/>
          <w:szCs w:val="20"/>
        </w:rPr>
        <w:t>p</w:t>
      </w:r>
      <w:r w:rsidRPr="005B6CBE">
        <w:rPr>
          <w:rFonts w:ascii="Times New Roman" w:hAnsi="Times New Roman" w:cs="Times New Roman"/>
          <w:sz w:val="20"/>
          <w:szCs w:val="20"/>
        </w:rPr>
        <w:t xml:space="preserve">= &lt;.001, </w:t>
      </w:r>
      <w:r w:rsidRPr="005B6CBE">
        <w:rPr>
          <w:rFonts w:ascii="Times New Roman" w:hAnsi="Times New Roman" w:cs="Times New Roman"/>
          <w:i/>
          <w:iCs/>
          <w:sz w:val="20"/>
          <w:szCs w:val="20"/>
        </w:rPr>
        <w:t>n</w:t>
      </w:r>
      <w:r w:rsidRPr="005B6CBE">
        <w:rPr>
          <w:rFonts w:ascii="Times New Roman" w:hAnsi="Times New Roman" w:cs="Times New Roman"/>
          <w:sz w:val="20"/>
          <w:szCs w:val="20"/>
        </w:rPr>
        <w:t>= 633,</w:t>
      </w:r>
      <w:r w:rsidRPr="005B6CBE">
        <w:rPr>
          <w:rFonts w:ascii="Times New Roman" w:hAnsi="Times New Roman" w:cs="Times New Roman"/>
          <w:i/>
          <w:iCs/>
          <w:sz w:val="20"/>
          <w:szCs w:val="20"/>
        </w:rPr>
        <w:t xml:space="preserve"> k</w:t>
      </w:r>
      <w:r w:rsidRPr="005B6CBE">
        <w:rPr>
          <w:rFonts w:ascii="Times New Roman" w:hAnsi="Times New Roman" w:cs="Times New Roman"/>
          <w:sz w:val="20"/>
          <w:szCs w:val="20"/>
        </w:rPr>
        <w:t>= 4). The proportion of heterogeneity effects was substantial (I</w:t>
      </w:r>
      <w:r w:rsidRPr="005B6CBE">
        <w:rPr>
          <w:rFonts w:ascii="Times New Roman" w:hAnsi="Times New Roman" w:cs="Times New Roman"/>
          <w:sz w:val="20"/>
          <w:szCs w:val="20"/>
          <w:vertAlign w:val="superscript"/>
        </w:rPr>
        <w:t>2</w:t>
      </w:r>
      <w:r w:rsidRPr="005B6CBE">
        <w:rPr>
          <w:rFonts w:ascii="Times New Roman" w:hAnsi="Times New Roman" w:cs="Times New Roman"/>
          <w:sz w:val="20"/>
          <w:szCs w:val="20"/>
        </w:rPr>
        <w:t xml:space="preserve">= 88%). As only one trial reported post-treatment scores for depression, a separate meta-analysis for these data was not appropriate. </w:t>
      </w:r>
    </w:p>
    <w:p w14:paraId="0DA13054" w14:textId="77777777" w:rsidR="004C47A7" w:rsidRPr="005B6CBE" w:rsidRDefault="004C47A7" w:rsidP="004C47A7">
      <w:pPr>
        <w:spacing w:after="0" w:line="480" w:lineRule="auto"/>
        <w:rPr>
          <w:rFonts w:ascii="Times New Roman" w:hAnsi="Times New Roman" w:cs="Times New Roman"/>
          <w:b/>
          <w:bCs/>
          <w:sz w:val="20"/>
          <w:szCs w:val="20"/>
        </w:rPr>
      </w:pPr>
      <w:r w:rsidRPr="005B6CBE">
        <w:rPr>
          <w:rFonts w:ascii="Times New Roman" w:hAnsi="Times New Roman" w:cs="Times New Roman"/>
          <w:b/>
          <w:bCs/>
          <w:sz w:val="20"/>
          <w:szCs w:val="20"/>
        </w:rPr>
        <w:t>Supplementary Figure 4</w:t>
      </w:r>
    </w:p>
    <w:p w14:paraId="7BC7C72D"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i/>
          <w:iCs/>
          <w:sz w:val="20"/>
          <w:szCs w:val="20"/>
        </w:rPr>
        <w:t>Forest Plot of Comparison Between ADHD Drug Group and Placebo Group on At Least Moderate Anxiety Measured on a Side Effect Rating Scale (SERS)</w:t>
      </w:r>
    </w:p>
    <w:p w14:paraId="3A31002F" w14:textId="77777777" w:rsidR="004C47A7" w:rsidRPr="005B6CBE" w:rsidRDefault="004C47A7" w:rsidP="004C47A7">
      <w:pPr>
        <w:spacing w:after="0" w:line="480" w:lineRule="auto"/>
        <w:rPr>
          <w:rFonts w:ascii="Times New Roman" w:hAnsi="Times New Roman" w:cs="Times New Roman"/>
          <w:sz w:val="20"/>
          <w:szCs w:val="20"/>
          <w:u w:val="single"/>
        </w:rPr>
      </w:pPr>
      <w:r w:rsidRPr="005B6CBE">
        <w:rPr>
          <w:rFonts w:ascii="Times New Roman" w:hAnsi="Times New Roman" w:cs="Times New Roman"/>
          <w:noProof/>
          <w:sz w:val="20"/>
          <w:szCs w:val="20"/>
          <w:lang w:val="en-IN" w:eastAsia="en-IN"/>
        </w:rPr>
        <w:drawing>
          <wp:inline distT="0" distB="0" distL="0" distR="0" wp14:anchorId="4450790B" wp14:editId="5E408432">
            <wp:extent cx="5011387" cy="1104881"/>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82024" cy="1120455"/>
                    </a:xfrm>
                    <a:prstGeom prst="rect">
                      <a:avLst/>
                    </a:prstGeom>
                  </pic:spPr>
                </pic:pic>
              </a:graphicData>
            </a:graphic>
          </wp:inline>
        </w:drawing>
      </w:r>
    </w:p>
    <w:p w14:paraId="04E0E837"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sz w:val="20"/>
          <w:szCs w:val="20"/>
        </w:rPr>
        <w:t>Overall, there was no significant difference in anxiety side effects between drug and placebo groups (OR= 1.19, 95% CI= .24-5.90, p= 0.32, k= 3). The proportion of heterogeneity effects might not be important (I</w:t>
      </w:r>
      <w:r w:rsidRPr="005B6CBE">
        <w:rPr>
          <w:rFonts w:ascii="Times New Roman" w:hAnsi="Times New Roman" w:cs="Times New Roman"/>
          <w:sz w:val="20"/>
          <w:szCs w:val="20"/>
          <w:vertAlign w:val="superscript"/>
        </w:rPr>
        <w:t>2</w:t>
      </w:r>
      <w:r w:rsidRPr="005B6CBE">
        <w:rPr>
          <w:rFonts w:ascii="Times New Roman" w:hAnsi="Times New Roman" w:cs="Times New Roman"/>
          <w:sz w:val="20"/>
          <w:szCs w:val="20"/>
        </w:rPr>
        <w:t>= 12%).</w:t>
      </w:r>
      <w:bookmarkStart w:id="1" w:name="_GoBack"/>
      <w:bookmarkEnd w:id="1"/>
    </w:p>
    <w:p w14:paraId="433930FD" w14:textId="77777777" w:rsidR="004C47A7" w:rsidRPr="005B6CBE" w:rsidRDefault="004C47A7" w:rsidP="004C47A7">
      <w:pPr>
        <w:spacing w:after="0" w:line="480" w:lineRule="auto"/>
        <w:rPr>
          <w:rFonts w:ascii="Times New Roman" w:hAnsi="Times New Roman" w:cs="Times New Roman"/>
          <w:b/>
          <w:bCs/>
          <w:sz w:val="20"/>
          <w:szCs w:val="20"/>
        </w:rPr>
      </w:pPr>
      <w:r w:rsidRPr="005B6CBE">
        <w:rPr>
          <w:rFonts w:ascii="Times New Roman" w:hAnsi="Times New Roman" w:cs="Times New Roman"/>
          <w:b/>
          <w:bCs/>
          <w:sz w:val="20"/>
          <w:szCs w:val="20"/>
        </w:rPr>
        <w:t>Supplementary Figure 5</w:t>
      </w:r>
    </w:p>
    <w:p w14:paraId="04193DCB"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i/>
          <w:iCs/>
          <w:sz w:val="20"/>
          <w:szCs w:val="20"/>
        </w:rPr>
        <w:t>Forest Plot of Comparison Between ADHD Drug Group and Placebo Group on At Least Moderate Depression Measured on a Side Effect Rating Scale (SERS)</w:t>
      </w:r>
    </w:p>
    <w:p w14:paraId="57644D17"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noProof/>
          <w:sz w:val="20"/>
          <w:szCs w:val="20"/>
          <w:lang w:val="en-IN" w:eastAsia="en-IN"/>
        </w:rPr>
        <w:drawing>
          <wp:inline distT="0" distB="0" distL="0" distR="0" wp14:anchorId="6C1C4CE6" wp14:editId="14BF127C">
            <wp:extent cx="5073337" cy="1211283"/>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49880" cy="1229558"/>
                    </a:xfrm>
                    <a:prstGeom prst="rect">
                      <a:avLst/>
                    </a:prstGeom>
                  </pic:spPr>
                </pic:pic>
              </a:graphicData>
            </a:graphic>
          </wp:inline>
        </w:drawing>
      </w:r>
    </w:p>
    <w:p w14:paraId="3DEE5BF9" w14:textId="77777777" w:rsidR="004C47A7" w:rsidRPr="005B6CBE" w:rsidRDefault="004C47A7" w:rsidP="004C47A7">
      <w:pPr>
        <w:spacing w:after="0" w:line="480" w:lineRule="auto"/>
        <w:rPr>
          <w:rFonts w:ascii="Times New Roman" w:hAnsi="Times New Roman" w:cs="Times New Roman"/>
          <w:sz w:val="20"/>
          <w:szCs w:val="20"/>
        </w:rPr>
      </w:pPr>
      <w:r w:rsidRPr="005B6CBE">
        <w:rPr>
          <w:rFonts w:ascii="Times New Roman" w:hAnsi="Times New Roman" w:cs="Times New Roman"/>
          <w:sz w:val="20"/>
          <w:szCs w:val="20"/>
        </w:rPr>
        <w:t>Overall, there was no significant difference in depression side effects between drug and placebo groups (OR= 2.79, 95% CI= .69-11.23, p= 0.89, k= 3). The proportion of heterogeneity effects might not be important (I</w:t>
      </w:r>
      <w:r w:rsidRPr="005B6CBE">
        <w:rPr>
          <w:rFonts w:ascii="Times New Roman" w:hAnsi="Times New Roman" w:cs="Times New Roman"/>
          <w:sz w:val="20"/>
          <w:szCs w:val="20"/>
          <w:vertAlign w:val="superscript"/>
        </w:rPr>
        <w:t>2</w:t>
      </w:r>
      <w:r w:rsidRPr="005B6CBE">
        <w:rPr>
          <w:rFonts w:ascii="Times New Roman" w:hAnsi="Times New Roman" w:cs="Times New Roman"/>
          <w:sz w:val="20"/>
          <w:szCs w:val="20"/>
        </w:rPr>
        <w:t>= 0%).</w:t>
      </w:r>
    </w:p>
    <w:p w14:paraId="7C4B3984" w14:textId="77777777" w:rsidR="004C47A7" w:rsidRPr="005B6CBE" w:rsidRDefault="004C47A7" w:rsidP="004C47A7">
      <w:pPr>
        <w:spacing w:after="0" w:line="480" w:lineRule="auto"/>
        <w:rPr>
          <w:rFonts w:ascii="Times New Roman" w:hAnsi="Times New Roman" w:cs="Times New Roman"/>
          <w:sz w:val="20"/>
          <w:szCs w:val="20"/>
        </w:rPr>
      </w:pPr>
    </w:p>
    <w:p w14:paraId="6CEA89E4" w14:textId="77777777" w:rsidR="004C47A7" w:rsidRPr="005B6CBE" w:rsidRDefault="004C47A7" w:rsidP="004C47A7">
      <w:pPr>
        <w:spacing w:after="0" w:line="480" w:lineRule="auto"/>
        <w:rPr>
          <w:sz w:val="20"/>
          <w:szCs w:val="20"/>
        </w:rPr>
      </w:pPr>
    </w:p>
    <w:p w14:paraId="02A662AA" w14:textId="77777777" w:rsidR="004C47A7" w:rsidRPr="005B6CBE" w:rsidRDefault="004C47A7">
      <w:pPr>
        <w:rPr>
          <w:sz w:val="20"/>
          <w:szCs w:val="20"/>
        </w:rPr>
        <w:sectPr w:rsidR="004C47A7" w:rsidRPr="005B6CBE" w:rsidSect="00BF1BF0">
          <w:headerReference w:type="default" r:id="rId15"/>
          <w:type w:val="continuous"/>
          <w:pgSz w:w="11906" w:h="16838"/>
          <w:pgMar w:top="1440" w:right="1440" w:bottom="1440" w:left="1440" w:header="708" w:footer="708" w:gutter="0"/>
          <w:cols w:space="708"/>
          <w:docGrid w:linePitch="360"/>
        </w:sectPr>
      </w:pPr>
    </w:p>
    <w:p w14:paraId="4D25A126" w14:textId="72080DDB" w:rsidR="004C47A7" w:rsidRPr="005B6CBE" w:rsidRDefault="004C47A7" w:rsidP="004C47A7">
      <w:pPr>
        <w:spacing w:line="360" w:lineRule="auto"/>
        <w:jc w:val="center"/>
        <w:rPr>
          <w:rFonts w:ascii="Times New Roman" w:hAnsi="Times New Roman" w:cs="Times New Roman"/>
          <w:b/>
          <w:bCs/>
          <w:sz w:val="20"/>
          <w:szCs w:val="20"/>
        </w:rPr>
      </w:pPr>
      <w:r w:rsidRPr="005B6CBE">
        <w:rPr>
          <w:rFonts w:ascii="Times New Roman" w:hAnsi="Times New Roman" w:cs="Times New Roman"/>
          <w:b/>
          <w:bCs/>
          <w:sz w:val="20"/>
          <w:szCs w:val="20"/>
        </w:rPr>
        <w:t>Supplementary Table 1</w:t>
      </w:r>
    </w:p>
    <w:p w14:paraId="63719B48" w14:textId="4A698524" w:rsidR="004C47A7" w:rsidRPr="005B6CBE" w:rsidRDefault="004C47A7" w:rsidP="004C47A7">
      <w:pPr>
        <w:spacing w:line="360" w:lineRule="auto"/>
        <w:jc w:val="center"/>
        <w:rPr>
          <w:rFonts w:ascii="Times New Roman" w:hAnsi="Times New Roman" w:cs="Times New Roman"/>
          <w:sz w:val="20"/>
          <w:szCs w:val="20"/>
        </w:rPr>
      </w:pPr>
      <w:r w:rsidRPr="005B6CBE">
        <w:rPr>
          <w:rFonts w:ascii="Times New Roman" w:hAnsi="Times New Roman" w:cs="Times New Roman"/>
          <w:sz w:val="20"/>
          <w:szCs w:val="20"/>
        </w:rPr>
        <w:t>PRISMA Checklist</w:t>
      </w:r>
    </w:p>
    <w:tbl>
      <w:tblPr>
        <w:tblW w:w="13490" w:type="dxa"/>
        <w:tblBorders>
          <w:top w:val="nil"/>
          <w:left w:val="nil"/>
          <w:bottom w:val="nil"/>
          <w:right w:val="nil"/>
        </w:tblBorders>
        <w:tblLook w:val="0000" w:firstRow="0" w:lastRow="0" w:firstColumn="0" w:lastColumn="0" w:noHBand="0" w:noVBand="0"/>
      </w:tblPr>
      <w:tblGrid>
        <w:gridCol w:w="2485"/>
        <w:gridCol w:w="479"/>
        <w:gridCol w:w="9408"/>
        <w:gridCol w:w="1118"/>
      </w:tblGrid>
      <w:tr w:rsidR="004C47A7" w:rsidRPr="005B6CBE" w14:paraId="5ECE9CF2" w14:textId="77777777" w:rsidTr="001C28C0">
        <w:trPr>
          <w:trHeight w:val="663"/>
        </w:trPr>
        <w:tc>
          <w:tcPr>
            <w:tcW w:w="248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5F13E4" w14:textId="77777777" w:rsidR="004C47A7" w:rsidRPr="005B6CBE" w:rsidRDefault="004C47A7" w:rsidP="001C28C0">
            <w:pPr>
              <w:pStyle w:val="Default"/>
              <w:rPr>
                <w:color w:val="FFFFFF"/>
                <w:sz w:val="20"/>
                <w:szCs w:val="20"/>
              </w:rPr>
            </w:pPr>
            <w:r w:rsidRPr="005B6CBE">
              <w:rPr>
                <w:b/>
                <w:bCs/>
                <w:color w:val="FFFFFF"/>
                <w:sz w:val="20"/>
                <w:szCs w:val="20"/>
              </w:rPr>
              <w:t xml:space="preserve">Section/topic </w:t>
            </w:r>
          </w:p>
        </w:tc>
        <w:tc>
          <w:tcPr>
            <w:tcW w:w="47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28AD98A" w14:textId="77777777" w:rsidR="004C47A7" w:rsidRPr="005B6CBE" w:rsidRDefault="004C47A7" w:rsidP="001C28C0">
            <w:pPr>
              <w:pStyle w:val="Default"/>
              <w:jc w:val="right"/>
              <w:rPr>
                <w:b/>
                <w:bCs/>
                <w:color w:val="FFFFFF"/>
                <w:sz w:val="20"/>
                <w:szCs w:val="20"/>
              </w:rPr>
            </w:pPr>
            <w:r w:rsidRPr="005B6CBE">
              <w:rPr>
                <w:b/>
                <w:bCs/>
                <w:color w:val="FFFFFF"/>
                <w:sz w:val="20"/>
                <w:szCs w:val="20"/>
              </w:rPr>
              <w:t>#</w:t>
            </w:r>
          </w:p>
        </w:tc>
        <w:tc>
          <w:tcPr>
            <w:tcW w:w="940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3C83016" w14:textId="77777777" w:rsidR="004C47A7" w:rsidRPr="005B6CBE" w:rsidRDefault="004C47A7" w:rsidP="001C28C0">
            <w:pPr>
              <w:pStyle w:val="Default"/>
              <w:rPr>
                <w:color w:val="FFFFFF"/>
                <w:sz w:val="20"/>
                <w:szCs w:val="20"/>
              </w:rPr>
            </w:pPr>
            <w:r w:rsidRPr="005B6CBE">
              <w:rPr>
                <w:b/>
                <w:bCs/>
                <w:color w:val="FFFFFF"/>
                <w:sz w:val="20"/>
                <w:szCs w:val="20"/>
              </w:rPr>
              <w:t xml:space="preserve">Checklist item </w:t>
            </w:r>
          </w:p>
        </w:tc>
        <w:tc>
          <w:tcPr>
            <w:tcW w:w="11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1E9BB98" w14:textId="77777777" w:rsidR="004C47A7" w:rsidRPr="005B6CBE" w:rsidRDefault="004C47A7" w:rsidP="001C28C0">
            <w:pPr>
              <w:pStyle w:val="Default"/>
              <w:rPr>
                <w:color w:val="FFFFFF"/>
                <w:sz w:val="20"/>
                <w:szCs w:val="20"/>
              </w:rPr>
            </w:pPr>
            <w:r w:rsidRPr="005B6CBE">
              <w:rPr>
                <w:b/>
                <w:bCs/>
                <w:color w:val="FFFFFF"/>
                <w:sz w:val="20"/>
                <w:szCs w:val="20"/>
              </w:rPr>
              <w:t xml:space="preserve">Reported on page # </w:t>
            </w:r>
          </w:p>
        </w:tc>
      </w:tr>
      <w:tr w:rsidR="004C47A7" w:rsidRPr="005B6CBE" w14:paraId="3864A6C5" w14:textId="77777777" w:rsidTr="001C28C0">
        <w:trPr>
          <w:trHeight w:val="335"/>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67CAE1" w14:textId="77777777" w:rsidR="004C47A7" w:rsidRPr="005B6CBE" w:rsidRDefault="004C47A7" w:rsidP="001C28C0">
            <w:pPr>
              <w:pStyle w:val="Default"/>
              <w:rPr>
                <w:sz w:val="20"/>
                <w:szCs w:val="20"/>
              </w:rPr>
            </w:pPr>
            <w:r w:rsidRPr="005B6CBE">
              <w:rPr>
                <w:b/>
                <w:bCs/>
                <w:sz w:val="20"/>
                <w:szCs w:val="20"/>
              </w:rPr>
              <w:t xml:space="preserve">TITLE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23DEE0D9" w14:textId="77777777" w:rsidR="004C47A7" w:rsidRPr="005B6CBE" w:rsidRDefault="004C47A7" w:rsidP="001C28C0">
            <w:pPr>
              <w:pStyle w:val="Default"/>
              <w:jc w:val="right"/>
              <w:rPr>
                <w:color w:val="auto"/>
                <w:sz w:val="20"/>
                <w:szCs w:val="20"/>
              </w:rPr>
            </w:pPr>
          </w:p>
        </w:tc>
      </w:tr>
      <w:tr w:rsidR="004C47A7" w:rsidRPr="005B6CBE" w14:paraId="1C216B16" w14:textId="77777777" w:rsidTr="001C28C0">
        <w:trPr>
          <w:trHeight w:val="323"/>
        </w:trPr>
        <w:tc>
          <w:tcPr>
            <w:tcW w:w="2485" w:type="dxa"/>
            <w:tcBorders>
              <w:top w:val="single" w:sz="5" w:space="0" w:color="000000"/>
              <w:left w:val="single" w:sz="5" w:space="0" w:color="000000"/>
              <w:bottom w:val="double" w:sz="2" w:space="0" w:color="FFFFCC"/>
              <w:right w:val="single" w:sz="5" w:space="0" w:color="000000"/>
            </w:tcBorders>
          </w:tcPr>
          <w:p w14:paraId="085EA76A" w14:textId="77777777" w:rsidR="004C47A7" w:rsidRPr="005B6CBE" w:rsidRDefault="004C47A7" w:rsidP="001C28C0">
            <w:pPr>
              <w:pStyle w:val="Default"/>
              <w:spacing w:before="40" w:after="40"/>
              <w:rPr>
                <w:sz w:val="20"/>
                <w:szCs w:val="20"/>
              </w:rPr>
            </w:pPr>
            <w:r w:rsidRPr="005B6CBE">
              <w:rPr>
                <w:sz w:val="20"/>
                <w:szCs w:val="20"/>
              </w:rPr>
              <w:t xml:space="preserve">Title </w:t>
            </w:r>
          </w:p>
        </w:tc>
        <w:tc>
          <w:tcPr>
            <w:tcW w:w="479" w:type="dxa"/>
            <w:tcBorders>
              <w:top w:val="single" w:sz="5" w:space="0" w:color="000000"/>
              <w:left w:val="single" w:sz="5" w:space="0" w:color="000000"/>
              <w:bottom w:val="double" w:sz="2" w:space="0" w:color="FFFFCC"/>
              <w:right w:val="single" w:sz="5" w:space="0" w:color="000000"/>
            </w:tcBorders>
          </w:tcPr>
          <w:p w14:paraId="32494ACD" w14:textId="77777777" w:rsidR="004C47A7" w:rsidRPr="005B6CBE" w:rsidRDefault="004C47A7" w:rsidP="001C28C0">
            <w:pPr>
              <w:pStyle w:val="Default"/>
              <w:spacing w:before="40" w:after="40"/>
              <w:jc w:val="right"/>
              <w:rPr>
                <w:sz w:val="20"/>
                <w:szCs w:val="20"/>
              </w:rPr>
            </w:pPr>
            <w:r w:rsidRPr="005B6CBE">
              <w:rPr>
                <w:sz w:val="20"/>
                <w:szCs w:val="20"/>
              </w:rPr>
              <w:t>1</w:t>
            </w:r>
          </w:p>
        </w:tc>
        <w:tc>
          <w:tcPr>
            <w:tcW w:w="9408" w:type="dxa"/>
            <w:tcBorders>
              <w:top w:val="single" w:sz="5" w:space="0" w:color="000000"/>
              <w:left w:val="single" w:sz="5" w:space="0" w:color="000000"/>
              <w:bottom w:val="double" w:sz="5" w:space="0" w:color="000000"/>
              <w:right w:val="single" w:sz="5" w:space="0" w:color="000000"/>
            </w:tcBorders>
          </w:tcPr>
          <w:p w14:paraId="40C76447" w14:textId="77777777" w:rsidR="004C47A7" w:rsidRPr="005B6CBE" w:rsidRDefault="004C47A7" w:rsidP="001C28C0">
            <w:pPr>
              <w:pStyle w:val="Default"/>
              <w:spacing w:before="40" w:after="40"/>
              <w:rPr>
                <w:sz w:val="20"/>
                <w:szCs w:val="20"/>
              </w:rPr>
            </w:pPr>
            <w:r w:rsidRPr="005B6CBE">
              <w:rPr>
                <w:sz w:val="20"/>
                <w:szCs w:val="20"/>
              </w:rPr>
              <w:t xml:space="preserve">Identify the report as a systematic review, meta-analysis, or both. </w:t>
            </w:r>
          </w:p>
        </w:tc>
        <w:tc>
          <w:tcPr>
            <w:tcW w:w="1118" w:type="dxa"/>
            <w:tcBorders>
              <w:top w:val="single" w:sz="5" w:space="0" w:color="000000"/>
              <w:left w:val="single" w:sz="5" w:space="0" w:color="000000"/>
              <w:bottom w:val="double" w:sz="5" w:space="0" w:color="000000"/>
              <w:right w:val="single" w:sz="5" w:space="0" w:color="000000"/>
            </w:tcBorders>
          </w:tcPr>
          <w:p w14:paraId="3C5ECE69" w14:textId="608BA318" w:rsidR="004C47A7" w:rsidRPr="005B6CBE" w:rsidRDefault="00307002" w:rsidP="001C28C0">
            <w:pPr>
              <w:pStyle w:val="Default"/>
              <w:spacing w:before="40" w:after="40"/>
              <w:rPr>
                <w:color w:val="auto"/>
                <w:sz w:val="20"/>
                <w:szCs w:val="20"/>
              </w:rPr>
            </w:pPr>
            <w:r>
              <w:rPr>
                <w:color w:val="auto"/>
                <w:sz w:val="20"/>
                <w:szCs w:val="20"/>
              </w:rPr>
              <w:t>1</w:t>
            </w:r>
          </w:p>
        </w:tc>
      </w:tr>
      <w:tr w:rsidR="004C47A7" w:rsidRPr="005B6CBE" w14:paraId="28517517" w14:textId="77777777" w:rsidTr="001C28C0">
        <w:trPr>
          <w:trHeight w:val="335"/>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15F5C5" w14:textId="77777777" w:rsidR="004C47A7" w:rsidRPr="005B6CBE" w:rsidRDefault="004C47A7" w:rsidP="001C28C0">
            <w:pPr>
              <w:pStyle w:val="Default"/>
              <w:rPr>
                <w:sz w:val="20"/>
                <w:szCs w:val="20"/>
              </w:rPr>
            </w:pPr>
            <w:r w:rsidRPr="005B6CBE">
              <w:rPr>
                <w:b/>
                <w:bCs/>
                <w:sz w:val="20"/>
                <w:szCs w:val="20"/>
              </w:rPr>
              <w:t xml:space="preserve">ABSTRACT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6A826B0B" w14:textId="77777777" w:rsidR="004C47A7" w:rsidRPr="005B6CBE" w:rsidRDefault="004C47A7" w:rsidP="001C28C0">
            <w:pPr>
              <w:pStyle w:val="Default"/>
              <w:jc w:val="right"/>
              <w:rPr>
                <w:color w:val="auto"/>
                <w:sz w:val="20"/>
                <w:szCs w:val="20"/>
              </w:rPr>
            </w:pPr>
          </w:p>
        </w:tc>
      </w:tr>
      <w:tr w:rsidR="004C47A7" w:rsidRPr="005B6CBE" w14:paraId="3C706835" w14:textId="77777777" w:rsidTr="001C28C0">
        <w:trPr>
          <w:trHeight w:val="810"/>
        </w:trPr>
        <w:tc>
          <w:tcPr>
            <w:tcW w:w="2485" w:type="dxa"/>
            <w:tcBorders>
              <w:top w:val="single" w:sz="5" w:space="0" w:color="000000"/>
              <w:left w:val="single" w:sz="5" w:space="0" w:color="000000"/>
              <w:bottom w:val="double" w:sz="2" w:space="0" w:color="FFFFCC"/>
              <w:right w:val="single" w:sz="5" w:space="0" w:color="000000"/>
            </w:tcBorders>
          </w:tcPr>
          <w:p w14:paraId="5805C301" w14:textId="77777777" w:rsidR="004C47A7" w:rsidRPr="005B6CBE" w:rsidRDefault="004C47A7" w:rsidP="001C28C0">
            <w:pPr>
              <w:pStyle w:val="Default"/>
              <w:spacing w:before="40" w:after="40"/>
              <w:rPr>
                <w:sz w:val="20"/>
                <w:szCs w:val="20"/>
              </w:rPr>
            </w:pPr>
            <w:r w:rsidRPr="005B6CBE">
              <w:rPr>
                <w:sz w:val="20"/>
                <w:szCs w:val="20"/>
              </w:rPr>
              <w:t xml:space="preserve">Structured summary </w:t>
            </w:r>
          </w:p>
        </w:tc>
        <w:tc>
          <w:tcPr>
            <w:tcW w:w="479" w:type="dxa"/>
            <w:tcBorders>
              <w:top w:val="single" w:sz="5" w:space="0" w:color="000000"/>
              <w:left w:val="single" w:sz="5" w:space="0" w:color="000000"/>
              <w:bottom w:val="double" w:sz="2" w:space="0" w:color="FFFFCC"/>
              <w:right w:val="single" w:sz="5" w:space="0" w:color="000000"/>
            </w:tcBorders>
          </w:tcPr>
          <w:p w14:paraId="7016DA6C" w14:textId="77777777" w:rsidR="004C47A7" w:rsidRPr="005B6CBE" w:rsidRDefault="004C47A7" w:rsidP="001C28C0">
            <w:pPr>
              <w:pStyle w:val="Default"/>
              <w:spacing w:before="40" w:after="40"/>
              <w:jc w:val="right"/>
              <w:rPr>
                <w:sz w:val="20"/>
                <w:szCs w:val="20"/>
              </w:rPr>
            </w:pPr>
            <w:r w:rsidRPr="005B6CBE">
              <w:rPr>
                <w:sz w:val="20"/>
                <w:szCs w:val="20"/>
              </w:rPr>
              <w:t>2</w:t>
            </w:r>
          </w:p>
        </w:tc>
        <w:tc>
          <w:tcPr>
            <w:tcW w:w="9408" w:type="dxa"/>
            <w:tcBorders>
              <w:top w:val="single" w:sz="5" w:space="0" w:color="000000"/>
              <w:left w:val="single" w:sz="5" w:space="0" w:color="000000"/>
              <w:bottom w:val="double" w:sz="5" w:space="0" w:color="000000"/>
              <w:right w:val="single" w:sz="5" w:space="0" w:color="000000"/>
            </w:tcBorders>
          </w:tcPr>
          <w:p w14:paraId="37C65201" w14:textId="77777777" w:rsidR="004C47A7" w:rsidRPr="005B6CBE" w:rsidRDefault="004C47A7" w:rsidP="001C28C0">
            <w:pPr>
              <w:pStyle w:val="Default"/>
              <w:spacing w:before="40" w:after="40"/>
              <w:rPr>
                <w:sz w:val="20"/>
                <w:szCs w:val="20"/>
              </w:rPr>
            </w:pPr>
            <w:r w:rsidRPr="005B6CBE">
              <w:rPr>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18" w:type="dxa"/>
            <w:tcBorders>
              <w:top w:val="single" w:sz="5" w:space="0" w:color="000000"/>
              <w:left w:val="single" w:sz="5" w:space="0" w:color="000000"/>
              <w:bottom w:val="double" w:sz="5" w:space="0" w:color="000000"/>
              <w:right w:val="single" w:sz="5" w:space="0" w:color="000000"/>
            </w:tcBorders>
          </w:tcPr>
          <w:p w14:paraId="4E44B213" w14:textId="1DCF62E4" w:rsidR="004C47A7" w:rsidRPr="005B6CBE" w:rsidRDefault="00307002" w:rsidP="001C28C0">
            <w:pPr>
              <w:pStyle w:val="Default"/>
              <w:spacing w:before="40" w:after="40"/>
              <w:rPr>
                <w:color w:val="auto"/>
                <w:sz w:val="20"/>
                <w:szCs w:val="20"/>
              </w:rPr>
            </w:pPr>
            <w:r>
              <w:rPr>
                <w:color w:val="auto"/>
                <w:sz w:val="20"/>
                <w:szCs w:val="20"/>
              </w:rPr>
              <w:t>2</w:t>
            </w:r>
          </w:p>
        </w:tc>
      </w:tr>
      <w:tr w:rsidR="004C47A7" w:rsidRPr="005B6CBE" w14:paraId="1E096A56" w14:textId="77777777" w:rsidTr="001C28C0">
        <w:trPr>
          <w:trHeight w:val="335"/>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5A82E9" w14:textId="77777777" w:rsidR="004C47A7" w:rsidRPr="005B6CBE" w:rsidRDefault="004C47A7" w:rsidP="001C28C0">
            <w:pPr>
              <w:pStyle w:val="Default"/>
              <w:rPr>
                <w:sz w:val="20"/>
                <w:szCs w:val="20"/>
              </w:rPr>
            </w:pPr>
            <w:r w:rsidRPr="005B6CBE">
              <w:rPr>
                <w:b/>
                <w:bCs/>
                <w:sz w:val="20"/>
                <w:szCs w:val="20"/>
              </w:rPr>
              <w:t xml:space="preserve">INTRODUCTION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0E5CED54" w14:textId="77777777" w:rsidR="004C47A7" w:rsidRPr="005B6CBE" w:rsidRDefault="004C47A7" w:rsidP="001C28C0">
            <w:pPr>
              <w:pStyle w:val="Default"/>
              <w:jc w:val="right"/>
              <w:rPr>
                <w:color w:val="auto"/>
                <w:sz w:val="20"/>
                <w:szCs w:val="20"/>
              </w:rPr>
            </w:pPr>
          </w:p>
        </w:tc>
      </w:tr>
      <w:tr w:rsidR="004C47A7" w:rsidRPr="005B6CBE" w14:paraId="0E88BEFD" w14:textId="77777777" w:rsidTr="001C28C0">
        <w:trPr>
          <w:trHeight w:val="333"/>
        </w:trPr>
        <w:tc>
          <w:tcPr>
            <w:tcW w:w="2485" w:type="dxa"/>
            <w:tcBorders>
              <w:top w:val="single" w:sz="5" w:space="0" w:color="000000"/>
              <w:left w:val="single" w:sz="5" w:space="0" w:color="000000"/>
              <w:bottom w:val="single" w:sz="5" w:space="0" w:color="000000"/>
              <w:right w:val="single" w:sz="5" w:space="0" w:color="000000"/>
            </w:tcBorders>
          </w:tcPr>
          <w:p w14:paraId="6A412F45" w14:textId="77777777" w:rsidR="004C47A7" w:rsidRPr="005B6CBE" w:rsidRDefault="004C47A7" w:rsidP="001C28C0">
            <w:pPr>
              <w:pStyle w:val="Default"/>
              <w:spacing w:before="40" w:after="40"/>
              <w:rPr>
                <w:sz w:val="20"/>
                <w:szCs w:val="20"/>
              </w:rPr>
            </w:pPr>
            <w:r w:rsidRPr="005B6CBE">
              <w:rPr>
                <w:sz w:val="20"/>
                <w:szCs w:val="20"/>
              </w:rPr>
              <w:t xml:space="preserve">Rationale </w:t>
            </w:r>
          </w:p>
        </w:tc>
        <w:tc>
          <w:tcPr>
            <w:tcW w:w="479" w:type="dxa"/>
            <w:tcBorders>
              <w:top w:val="single" w:sz="5" w:space="0" w:color="000000"/>
              <w:left w:val="single" w:sz="5" w:space="0" w:color="000000"/>
              <w:bottom w:val="single" w:sz="5" w:space="0" w:color="000000"/>
              <w:right w:val="single" w:sz="5" w:space="0" w:color="000000"/>
            </w:tcBorders>
          </w:tcPr>
          <w:p w14:paraId="61BF5596" w14:textId="77777777" w:rsidR="004C47A7" w:rsidRPr="005B6CBE" w:rsidRDefault="004C47A7" w:rsidP="001C28C0">
            <w:pPr>
              <w:pStyle w:val="Default"/>
              <w:spacing w:before="40" w:after="40"/>
              <w:jc w:val="right"/>
              <w:rPr>
                <w:sz w:val="20"/>
                <w:szCs w:val="20"/>
              </w:rPr>
            </w:pPr>
            <w:r w:rsidRPr="005B6CBE">
              <w:rPr>
                <w:sz w:val="20"/>
                <w:szCs w:val="20"/>
              </w:rPr>
              <w:t>3</w:t>
            </w:r>
          </w:p>
        </w:tc>
        <w:tc>
          <w:tcPr>
            <w:tcW w:w="9408" w:type="dxa"/>
            <w:tcBorders>
              <w:top w:val="single" w:sz="5" w:space="0" w:color="000000"/>
              <w:left w:val="single" w:sz="5" w:space="0" w:color="000000"/>
              <w:bottom w:val="single" w:sz="5" w:space="0" w:color="000000"/>
              <w:right w:val="single" w:sz="5" w:space="0" w:color="000000"/>
            </w:tcBorders>
          </w:tcPr>
          <w:p w14:paraId="04434E70" w14:textId="77777777" w:rsidR="004C47A7" w:rsidRPr="005B6CBE" w:rsidRDefault="004C47A7" w:rsidP="001C28C0">
            <w:pPr>
              <w:pStyle w:val="Default"/>
              <w:spacing w:before="40" w:after="40"/>
              <w:rPr>
                <w:sz w:val="20"/>
                <w:szCs w:val="20"/>
              </w:rPr>
            </w:pPr>
            <w:r w:rsidRPr="005B6CBE">
              <w:rPr>
                <w:sz w:val="20"/>
                <w:szCs w:val="20"/>
              </w:rPr>
              <w:t xml:space="preserve">Describe the rationale for the review in the context of what is already known. </w:t>
            </w:r>
          </w:p>
        </w:tc>
        <w:tc>
          <w:tcPr>
            <w:tcW w:w="1118" w:type="dxa"/>
            <w:tcBorders>
              <w:top w:val="single" w:sz="5" w:space="0" w:color="000000"/>
              <w:left w:val="single" w:sz="5" w:space="0" w:color="000000"/>
              <w:bottom w:val="single" w:sz="5" w:space="0" w:color="000000"/>
              <w:right w:val="single" w:sz="5" w:space="0" w:color="000000"/>
            </w:tcBorders>
          </w:tcPr>
          <w:p w14:paraId="2524C43B" w14:textId="14EE6BB1" w:rsidR="004C47A7" w:rsidRPr="005B6CBE" w:rsidRDefault="00307002" w:rsidP="001C28C0">
            <w:pPr>
              <w:pStyle w:val="Default"/>
              <w:spacing w:before="40" w:after="40"/>
              <w:rPr>
                <w:color w:val="auto"/>
                <w:sz w:val="20"/>
                <w:szCs w:val="20"/>
              </w:rPr>
            </w:pPr>
            <w:r>
              <w:rPr>
                <w:color w:val="auto"/>
                <w:sz w:val="20"/>
                <w:szCs w:val="20"/>
              </w:rPr>
              <w:t>4</w:t>
            </w:r>
            <w:r w:rsidR="004C47A7" w:rsidRPr="005B6CBE">
              <w:rPr>
                <w:color w:val="auto"/>
                <w:sz w:val="20"/>
                <w:szCs w:val="20"/>
              </w:rPr>
              <w:t xml:space="preserve">, </w:t>
            </w:r>
            <w:r>
              <w:rPr>
                <w:color w:val="auto"/>
                <w:sz w:val="20"/>
                <w:szCs w:val="20"/>
              </w:rPr>
              <w:t>5</w:t>
            </w:r>
          </w:p>
        </w:tc>
      </w:tr>
      <w:tr w:rsidR="004C47A7" w:rsidRPr="005B6CBE" w14:paraId="71EC119E" w14:textId="77777777" w:rsidTr="001C28C0">
        <w:trPr>
          <w:trHeight w:val="568"/>
        </w:trPr>
        <w:tc>
          <w:tcPr>
            <w:tcW w:w="2485" w:type="dxa"/>
            <w:tcBorders>
              <w:top w:val="single" w:sz="5" w:space="0" w:color="000000"/>
              <w:left w:val="single" w:sz="5" w:space="0" w:color="000000"/>
              <w:bottom w:val="double" w:sz="2" w:space="0" w:color="FFFFCC"/>
              <w:right w:val="single" w:sz="5" w:space="0" w:color="000000"/>
            </w:tcBorders>
          </w:tcPr>
          <w:p w14:paraId="2F13A230" w14:textId="77777777" w:rsidR="004C47A7" w:rsidRPr="005B6CBE" w:rsidRDefault="004C47A7" w:rsidP="001C28C0">
            <w:pPr>
              <w:pStyle w:val="Default"/>
              <w:spacing w:before="40" w:after="40"/>
              <w:rPr>
                <w:sz w:val="20"/>
                <w:szCs w:val="20"/>
              </w:rPr>
            </w:pPr>
            <w:r w:rsidRPr="005B6CBE">
              <w:rPr>
                <w:sz w:val="20"/>
                <w:szCs w:val="20"/>
              </w:rPr>
              <w:t xml:space="preserve">Objectives </w:t>
            </w:r>
          </w:p>
        </w:tc>
        <w:tc>
          <w:tcPr>
            <w:tcW w:w="479" w:type="dxa"/>
            <w:tcBorders>
              <w:top w:val="single" w:sz="5" w:space="0" w:color="000000"/>
              <w:left w:val="single" w:sz="5" w:space="0" w:color="000000"/>
              <w:bottom w:val="double" w:sz="2" w:space="0" w:color="FFFFCC"/>
              <w:right w:val="single" w:sz="5" w:space="0" w:color="000000"/>
            </w:tcBorders>
          </w:tcPr>
          <w:p w14:paraId="1F41E0B5" w14:textId="77777777" w:rsidR="004C47A7" w:rsidRPr="005B6CBE" w:rsidRDefault="004C47A7" w:rsidP="001C28C0">
            <w:pPr>
              <w:pStyle w:val="Default"/>
              <w:spacing w:before="40" w:after="40"/>
              <w:jc w:val="right"/>
              <w:rPr>
                <w:sz w:val="20"/>
                <w:szCs w:val="20"/>
              </w:rPr>
            </w:pPr>
            <w:r w:rsidRPr="005B6CBE">
              <w:rPr>
                <w:sz w:val="20"/>
                <w:szCs w:val="20"/>
              </w:rPr>
              <w:t>4</w:t>
            </w:r>
          </w:p>
        </w:tc>
        <w:tc>
          <w:tcPr>
            <w:tcW w:w="9408" w:type="dxa"/>
            <w:tcBorders>
              <w:top w:val="single" w:sz="5" w:space="0" w:color="000000"/>
              <w:left w:val="single" w:sz="5" w:space="0" w:color="000000"/>
              <w:bottom w:val="double" w:sz="5" w:space="0" w:color="000000"/>
              <w:right w:val="single" w:sz="5" w:space="0" w:color="000000"/>
            </w:tcBorders>
          </w:tcPr>
          <w:p w14:paraId="3D564E5B" w14:textId="77777777" w:rsidR="004C47A7" w:rsidRPr="005B6CBE" w:rsidRDefault="004C47A7" w:rsidP="001C28C0">
            <w:pPr>
              <w:pStyle w:val="Default"/>
              <w:spacing w:before="40" w:after="40"/>
              <w:rPr>
                <w:sz w:val="20"/>
                <w:szCs w:val="20"/>
              </w:rPr>
            </w:pPr>
            <w:r w:rsidRPr="005B6CBE">
              <w:rPr>
                <w:sz w:val="20"/>
                <w:szCs w:val="20"/>
              </w:rPr>
              <w:t xml:space="preserve">Provide an explicit statement of questions being addressed with reference to participants, interventions, comparisons, outcomes, and study design (PICOS). </w:t>
            </w:r>
          </w:p>
        </w:tc>
        <w:tc>
          <w:tcPr>
            <w:tcW w:w="1118" w:type="dxa"/>
            <w:tcBorders>
              <w:top w:val="single" w:sz="5" w:space="0" w:color="000000"/>
              <w:left w:val="single" w:sz="5" w:space="0" w:color="000000"/>
              <w:bottom w:val="double" w:sz="5" w:space="0" w:color="000000"/>
              <w:right w:val="single" w:sz="5" w:space="0" w:color="000000"/>
            </w:tcBorders>
          </w:tcPr>
          <w:p w14:paraId="3308C14A" w14:textId="09469A2B" w:rsidR="004C47A7" w:rsidRPr="005B6CBE" w:rsidRDefault="00307002" w:rsidP="001C28C0">
            <w:pPr>
              <w:pStyle w:val="Default"/>
              <w:spacing w:before="40" w:after="40"/>
              <w:rPr>
                <w:color w:val="auto"/>
                <w:sz w:val="20"/>
                <w:szCs w:val="20"/>
              </w:rPr>
            </w:pPr>
            <w:r>
              <w:rPr>
                <w:color w:val="auto"/>
                <w:sz w:val="20"/>
                <w:szCs w:val="20"/>
              </w:rPr>
              <w:t>5, 6</w:t>
            </w:r>
          </w:p>
        </w:tc>
      </w:tr>
      <w:tr w:rsidR="004C47A7" w:rsidRPr="005B6CBE" w14:paraId="21831280" w14:textId="77777777" w:rsidTr="001C28C0">
        <w:trPr>
          <w:trHeight w:val="335"/>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6CBD28" w14:textId="77777777" w:rsidR="004C47A7" w:rsidRPr="005B6CBE" w:rsidRDefault="004C47A7" w:rsidP="001C28C0">
            <w:pPr>
              <w:pStyle w:val="Default"/>
              <w:rPr>
                <w:sz w:val="20"/>
                <w:szCs w:val="20"/>
              </w:rPr>
            </w:pPr>
            <w:r w:rsidRPr="005B6CBE">
              <w:rPr>
                <w:b/>
                <w:bCs/>
                <w:sz w:val="20"/>
                <w:szCs w:val="20"/>
              </w:rPr>
              <w:t xml:space="preserve">METHODS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4EA16A97" w14:textId="77777777" w:rsidR="004C47A7" w:rsidRPr="005B6CBE" w:rsidRDefault="004C47A7" w:rsidP="001C28C0">
            <w:pPr>
              <w:pStyle w:val="Default"/>
              <w:jc w:val="right"/>
              <w:rPr>
                <w:color w:val="auto"/>
                <w:sz w:val="20"/>
                <w:szCs w:val="20"/>
              </w:rPr>
            </w:pPr>
          </w:p>
        </w:tc>
      </w:tr>
      <w:tr w:rsidR="004C47A7" w:rsidRPr="005B6CBE" w14:paraId="546CAB91"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3C6984B4" w14:textId="77777777" w:rsidR="004C47A7" w:rsidRPr="005B6CBE" w:rsidRDefault="004C47A7" w:rsidP="001C28C0">
            <w:pPr>
              <w:pStyle w:val="Default"/>
              <w:spacing w:before="40" w:after="40"/>
              <w:rPr>
                <w:sz w:val="20"/>
                <w:szCs w:val="20"/>
              </w:rPr>
            </w:pPr>
            <w:r w:rsidRPr="005B6CBE">
              <w:rPr>
                <w:sz w:val="20"/>
                <w:szCs w:val="20"/>
              </w:rPr>
              <w:t xml:space="preserve">Protocol and registration </w:t>
            </w:r>
          </w:p>
        </w:tc>
        <w:tc>
          <w:tcPr>
            <w:tcW w:w="479" w:type="dxa"/>
            <w:tcBorders>
              <w:top w:val="single" w:sz="5" w:space="0" w:color="000000"/>
              <w:left w:val="single" w:sz="5" w:space="0" w:color="000000"/>
              <w:bottom w:val="single" w:sz="5" w:space="0" w:color="000000"/>
              <w:right w:val="single" w:sz="5" w:space="0" w:color="000000"/>
            </w:tcBorders>
          </w:tcPr>
          <w:p w14:paraId="3714BCD1" w14:textId="77777777" w:rsidR="004C47A7" w:rsidRPr="005B6CBE" w:rsidRDefault="004C47A7" w:rsidP="001C28C0">
            <w:pPr>
              <w:pStyle w:val="Default"/>
              <w:spacing w:before="40" w:after="40"/>
              <w:jc w:val="right"/>
              <w:rPr>
                <w:sz w:val="20"/>
                <w:szCs w:val="20"/>
              </w:rPr>
            </w:pPr>
            <w:r w:rsidRPr="005B6CBE">
              <w:rPr>
                <w:sz w:val="20"/>
                <w:szCs w:val="20"/>
              </w:rPr>
              <w:t>5</w:t>
            </w:r>
          </w:p>
        </w:tc>
        <w:tc>
          <w:tcPr>
            <w:tcW w:w="9408" w:type="dxa"/>
            <w:tcBorders>
              <w:top w:val="single" w:sz="5" w:space="0" w:color="000000"/>
              <w:left w:val="single" w:sz="5" w:space="0" w:color="000000"/>
              <w:bottom w:val="single" w:sz="5" w:space="0" w:color="000000"/>
              <w:right w:val="single" w:sz="5" w:space="0" w:color="000000"/>
            </w:tcBorders>
          </w:tcPr>
          <w:p w14:paraId="319C6615" w14:textId="77777777" w:rsidR="004C47A7" w:rsidRPr="005B6CBE" w:rsidRDefault="004C47A7" w:rsidP="001C28C0">
            <w:pPr>
              <w:pStyle w:val="Default"/>
              <w:spacing w:before="40" w:after="40"/>
              <w:rPr>
                <w:sz w:val="20"/>
                <w:szCs w:val="20"/>
              </w:rPr>
            </w:pPr>
            <w:r w:rsidRPr="005B6CBE">
              <w:rPr>
                <w:sz w:val="20"/>
                <w:szCs w:val="20"/>
              </w:rPr>
              <w:t xml:space="preserve">Indicate if a review protocol exists, if and where it can be accessed (e.g., Web address), and, if available, provide registration information including registration number. </w:t>
            </w:r>
          </w:p>
        </w:tc>
        <w:tc>
          <w:tcPr>
            <w:tcW w:w="1118" w:type="dxa"/>
            <w:tcBorders>
              <w:top w:val="single" w:sz="5" w:space="0" w:color="000000"/>
              <w:left w:val="single" w:sz="5" w:space="0" w:color="000000"/>
              <w:bottom w:val="single" w:sz="5" w:space="0" w:color="000000"/>
              <w:right w:val="single" w:sz="5" w:space="0" w:color="000000"/>
            </w:tcBorders>
          </w:tcPr>
          <w:p w14:paraId="58050A65" w14:textId="149023AF" w:rsidR="004C47A7" w:rsidRPr="005B6CBE" w:rsidRDefault="00307002" w:rsidP="001C28C0">
            <w:pPr>
              <w:pStyle w:val="Default"/>
              <w:spacing w:before="40" w:after="40"/>
              <w:rPr>
                <w:color w:val="auto"/>
                <w:sz w:val="20"/>
                <w:szCs w:val="20"/>
              </w:rPr>
            </w:pPr>
            <w:r>
              <w:rPr>
                <w:color w:val="auto"/>
                <w:sz w:val="20"/>
                <w:szCs w:val="20"/>
              </w:rPr>
              <w:t>5</w:t>
            </w:r>
          </w:p>
        </w:tc>
      </w:tr>
      <w:tr w:rsidR="004C47A7" w:rsidRPr="005B6CBE" w14:paraId="484812A2"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67FEC293" w14:textId="77777777" w:rsidR="004C47A7" w:rsidRPr="005B6CBE" w:rsidRDefault="004C47A7" w:rsidP="001C28C0">
            <w:pPr>
              <w:pStyle w:val="Default"/>
              <w:spacing w:before="40" w:after="40"/>
              <w:rPr>
                <w:sz w:val="20"/>
                <w:szCs w:val="20"/>
              </w:rPr>
            </w:pPr>
            <w:r w:rsidRPr="005B6CBE">
              <w:rPr>
                <w:sz w:val="20"/>
                <w:szCs w:val="20"/>
              </w:rPr>
              <w:t xml:space="preserve">Eligibility criteria </w:t>
            </w:r>
          </w:p>
        </w:tc>
        <w:tc>
          <w:tcPr>
            <w:tcW w:w="479" w:type="dxa"/>
            <w:tcBorders>
              <w:top w:val="single" w:sz="5" w:space="0" w:color="000000"/>
              <w:left w:val="single" w:sz="5" w:space="0" w:color="000000"/>
              <w:bottom w:val="single" w:sz="5" w:space="0" w:color="000000"/>
              <w:right w:val="single" w:sz="5" w:space="0" w:color="000000"/>
            </w:tcBorders>
          </w:tcPr>
          <w:p w14:paraId="337B66A2" w14:textId="77777777" w:rsidR="004C47A7" w:rsidRPr="005B6CBE" w:rsidRDefault="004C47A7" w:rsidP="001C28C0">
            <w:pPr>
              <w:pStyle w:val="Default"/>
              <w:spacing w:before="40" w:after="40"/>
              <w:jc w:val="right"/>
              <w:rPr>
                <w:sz w:val="20"/>
                <w:szCs w:val="20"/>
              </w:rPr>
            </w:pPr>
            <w:r w:rsidRPr="005B6CBE">
              <w:rPr>
                <w:sz w:val="20"/>
                <w:szCs w:val="20"/>
              </w:rPr>
              <w:t>6</w:t>
            </w:r>
          </w:p>
        </w:tc>
        <w:tc>
          <w:tcPr>
            <w:tcW w:w="9408" w:type="dxa"/>
            <w:tcBorders>
              <w:top w:val="single" w:sz="5" w:space="0" w:color="000000"/>
              <w:left w:val="single" w:sz="5" w:space="0" w:color="000000"/>
              <w:bottom w:val="single" w:sz="5" w:space="0" w:color="000000"/>
              <w:right w:val="single" w:sz="5" w:space="0" w:color="000000"/>
            </w:tcBorders>
          </w:tcPr>
          <w:p w14:paraId="201D178A" w14:textId="77777777" w:rsidR="004C47A7" w:rsidRPr="005B6CBE" w:rsidRDefault="004C47A7" w:rsidP="001C28C0">
            <w:pPr>
              <w:pStyle w:val="Default"/>
              <w:spacing w:before="40" w:after="40"/>
              <w:rPr>
                <w:sz w:val="20"/>
                <w:szCs w:val="20"/>
              </w:rPr>
            </w:pPr>
            <w:r w:rsidRPr="005B6CBE">
              <w:rPr>
                <w:sz w:val="20"/>
                <w:szCs w:val="20"/>
              </w:rPr>
              <w:t xml:space="preserve">Specify study characteristics (e.g., PICOS, length of follow-up) and report characteristics (e.g., years considered, language, publication status) used as criteria for eligibility, giving rationale. </w:t>
            </w:r>
          </w:p>
        </w:tc>
        <w:tc>
          <w:tcPr>
            <w:tcW w:w="1118" w:type="dxa"/>
            <w:tcBorders>
              <w:top w:val="single" w:sz="5" w:space="0" w:color="000000"/>
              <w:left w:val="single" w:sz="5" w:space="0" w:color="000000"/>
              <w:bottom w:val="single" w:sz="5" w:space="0" w:color="000000"/>
              <w:right w:val="single" w:sz="5" w:space="0" w:color="000000"/>
            </w:tcBorders>
          </w:tcPr>
          <w:p w14:paraId="171CD5F0" w14:textId="79EF12B3" w:rsidR="004C47A7" w:rsidRPr="005B6CBE" w:rsidRDefault="00307002" w:rsidP="001C28C0">
            <w:pPr>
              <w:pStyle w:val="Default"/>
              <w:spacing w:before="40" w:after="40"/>
              <w:rPr>
                <w:color w:val="auto"/>
                <w:sz w:val="20"/>
                <w:szCs w:val="20"/>
              </w:rPr>
            </w:pPr>
            <w:r>
              <w:rPr>
                <w:color w:val="auto"/>
                <w:sz w:val="20"/>
                <w:szCs w:val="20"/>
              </w:rPr>
              <w:t>5, 6</w:t>
            </w:r>
          </w:p>
        </w:tc>
      </w:tr>
      <w:tr w:rsidR="004C47A7" w:rsidRPr="005B6CBE" w14:paraId="1551E7B0"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0FFF9E68" w14:textId="77777777" w:rsidR="004C47A7" w:rsidRPr="005B6CBE" w:rsidRDefault="004C47A7" w:rsidP="001C28C0">
            <w:pPr>
              <w:pStyle w:val="Default"/>
              <w:spacing w:before="40" w:after="40"/>
              <w:rPr>
                <w:sz w:val="20"/>
                <w:szCs w:val="20"/>
              </w:rPr>
            </w:pPr>
            <w:r w:rsidRPr="005B6CBE">
              <w:rPr>
                <w:sz w:val="20"/>
                <w:szCs w:val="20"/>
              </w:rPr>
              <w:t xml:space="preserve">Information sources </w:t>
            </w:r>
          </w:p>
        </w:tc>
        <w:tc>
          <w:tcPr>
            <w:tcW w:w="479" w:type="dxa"/>
            <w:tcBorders>
              <w:top w:val="single" w:sz="5" w:space="0" w:color="000000"/>
              <w:left w:val="single" w:sz="5" w:space="0" w:color="000000"/>
              <w:bottom w:val="single" w:sz="5" w:space="0" w:color="000000"/>
              <w:right w:val="single" w:sz="5" w:space="0" w:color="000000"/>
            </w:tcBorders>
          </w:tcPr>
          <w:p w14:paraId="5C6CAF2E" w14:textId="77777777" w:rsidR="004C47A7" w:rsidRPr="005B6CBE" w:rsidRDefault="004C47A7" w:rsidP="001C28C0">
            <w:pPr>
              <w:pStyle w:val="Default"/>
              <w:spacing w:before="40" w:after="40"/>
              <w:jc w:val="right"/>
              <w:rPr>
                <w:sz w:val="20"/>
                <w:szCs w:val="20"/>
              </w:rPr>
            </w:pPr>
            <w:r w:rsidRPr="005B6CBE">
              <w:rPr>
                <w:sz w:val="20"/>
                <w:szCs w:val="20"/>
              </w:rPr>
              <w:t>7</w:t>
            </w:r>
          </w:p>
        </w:tc>
        <w:tc>
          <w:tcPr>
            <w:tcW w:w="9408" w:type="dxa"/>
            <w:tcBorders>
              <w:top w:val="single" w:sz="5" w:space="0" w:color="000000"/>
              <w:left w:val="single" w:sz="5" w:space="0" w:color="000000"/>
              <w:bottom w:val="single" w:sz="5" w:space="0" w:color="000000"/>
              <w:right w:val="single" w:sz="5" w:space="0" w:color="000000"/>
            </w:tcBorders>
          </w:tcPr>
          <w:p w14:paraId="508968C7" w14:textId="77777777" w:rsidR="004C47A7" w:rsidRPr="005B6CBE" w:rsidRDefault="004C47A7" w:rsidP="001C28C0">
            <w:pPr>
              <w:pStyle w:val="Default"/>
              <w:spacing w:before="40" w:after="40"/>
              <w:rPr>
                <w:sz w:val="20"/>
                <w:szCs w:val="20"/>
              </w:rPr>
            </w:pPr>
            <w:r w:rsidRPr="005B6CBE">
              <w:rPr>
                <w:sz w:val="20"/>
                <w:szCs w:val="20"/>
              </w:rPr>
              <w:t xml:space="preserve">Describe all information sources (e.g., databases with dates of coverage, contact with study authors to identify additional studies) in the search and date last searched. </w:t>
            </w:r>
          </w:p>
        </w:tc>
        <w:tc>
          <w:tcPr>
            <w:tcW w:w="1118" w:type="dxa"/>
            <w:tcBorders>
              <w:top w:val="single" w:sz="5" w:space="0" w:color="000000"/>
              <w:left w:val="single" w:sz="5" w:space="0" w:color="000000"/>
              <w:bottom w:val="single" w:sz="5" w:space="0" w:color="000000"/>
              <w:right w:val="single" w:sz="5" w:space="0" w:color="000000"/>
            </w:tcBorders>
          </w:tcPr>
          <w:p w14:paraId="428577CE" w14:textId="2571FD7D" w:rsidR="004C47A7" w:rsidRPr="005B6CBE" w:rsidRDefault="00307002" w:rsidP="001C28C0">
            <w:pPr>
              <w:pStyle w:val="Default"/>
              <w:spacing w:before="40" w:after="40"/>
              <w:rPr>
                <w:color w:val="auto"/>
                <w:sz w:val="20"/>
                <w:szCs w:val="20"/>
              </w:rPr>
            </w:pPr>
            <w:r>
              <w:rPr>
                <w:color w:val="auto"/>
                <w:sz w:val="20"/>
                <w:szCs w:val="20"/>
              </w:rPr>
              <w:t>5</w:t>
            </w:r>
          </w:p>
        </w:tc>
      </w:tr>
      <w:tr w:rsidR="004C47A7" w:rsidRPr="005B6CBE" w14:paraId="194C3F6F"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02321A37" w14:textId="77777777" w:rsidR="004C47A7" w:rsidRPr="005B6CBE" w:rsidRDefault="004C47A7" w:rsidP="001C28C0">
            <w:pPr>
              <w:pStyle w:val="Default"/>
              <w:spacing w:before="40" w:after="40"/>
              <w:rPr>
                <w:sz w:val="20"/>
                <w:szCs w:val="20"/>
              </w:rPr>
            </w:pPr>
            <w:r w:rsidRPr="005B6CBE">
              <w:rPr>
                <w:sz w:val="20"/>
                <w:szCs w:val="20"/>
              </w:rPr>
              <w:t xml:space="preserve">Search </w:t>
            </w:r>
          </w:p>
        </w:tc>
        <w:tc>
          <w:tcPr>
            <w:tcW w:w="479" w:type="dxa"/>
            <w:tcBorders>
              <w:top w:val="single" w:sz="5" w:space="0" w:color="000000"/>
              <w:left w:val="single" w:sz="5" w:space="0" w:color="000000"/>
              <w:bottom w:val="single" w:sz="5" w:space="0" w:color="000000"/>
              <w:right w:val="single" w:sz="5" w:space="0" w:color="000000"/>
            </w:tcBorders>
          </w:tcPr>
          <w:p w14:paraId="57246A33" w14:textId="77777777" w:rsidR="004C47A7" w:rsidRPr="005B6CBE" w:rsidRDefault="004C47A7" w:rsidP="001C28C0">
            <w:pPr>
              <w:pStyle w:val="Default"/>
              <w:spacing w:before="40" w:after="40"/>
              <w:jc w:val="right"/>
              <w:rPr>
                <w:sz w:val="20"/>
                <w:szCs w:val="20"/>
              </w:rPr>
            </w:pPr>
            <w:r w:rsidRPr="005B6CBE">
              <w:rPr>
                <w:sz w:val="20"/>
                <w:szCs w:val="20"/>
              </w:rPr>
              <w:t>8</w:t>
            </w:r>
          </w:p>
        </w:tc>
        <w:tc>
          <w:tcPr>
            <w:tcW w:w="9408" w:type="dxa"/>
            <w:tcBorders>
              <w:top w:val="single" w:sz="5" w:space="0" w:color="000000"/>
              <w:left w:val="single" w:sz="5" w:space="0" w:color="000000"/>
              <w:bottom w:val="single" w:sz="5" w:space="0" w:color="000000"/>
              <w:right w:val="single" w:sz="5" w:space="0" w:color="000000"/>
            </w:tcBorders>
          </w:tcPr>
          <w:p w14:paraId="2B0B058A" w14:textId="77777777" w:rsidR="004C47A7" w:rsidRPr="005B6CBE" w:rsidRDefault="004C47A7" w:rsidP="001C28C0">
            <w:pPr>
              <w:pStyle w:val="Default"/>
              <w:spacing w:before="40" w:after="40"/>
              <w:rPr>
                <w:sz w:val="20"/>
                <w:szCs w:val="20"/>
              </w:rPr>
            </w:pPr>
            <w:r w:rsidRPr="005B6CBE">
              <w:rPr>
                <w:sz w:val="20"/>
                <w:szCs w:val="20"/>
              </w:rPr>
              <w:t xml:space="preserve">Present full electronic search strategy for at least one database, including any limits used, such that it could be repeated. </w:t>
            </w:r>
          </w:p>
        </w:tc>
        <w:tc>
          <w:tcPr>
            <w:tcW w:w="1118" w:type="dxa"/>
            <w:tcBorders>
              <w:top w:val="single" w:sz="5" w:space="0" w:color="000000"/>
              <w:left w:val="single" w:sz="5" w:space="0" w:color="000000"/>
              <w:bottom w:val="single" w:sz="5" w:space="0" w:color="000000"/>
              <w:right w:val="single" w:sz="5" w:space="0" w:color="000000"/>
            </w:tcBorders>
          </w:tcPr>
          <w:p w14:paraId="60E055E6" w14:textId="164C07E3" w:rsidR="004C47A7" w:rsidRPr="005B6CBE" w:rsidRDefault="00307002" w:rsidP="001C28C0">
            <w:pPr>
              <w:pStyle w:val="Default"/>
              <w:spacing w:before="40" w:after="40"/>
              <w:rPr>
                <w:color w:val="auto"/>
                <w:sz w:val="20"/>
                <w:szCs w:val="20"/>
              </w:rPr>
            </w:pPr>
            <w:r>
              <w:rPr>
                <w:color w:val="auto"/>
                <w:sz w:val="20"/>
                <w:szCs w:val="20"/>
              </w:rPr>
              <w:t>5, 6</w:t>
            </w:r>
          </w:p>
        </w:tc>
      </w:tr>
      <w:tr w:rsidR="004C47A7" w:rsidRPr="005B6CBE" w14:paraId="591601F8"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1D2A47DD" w14:textId="77777777" w:rsidR="004C47A7" w:rsidRPr="005B6CBE" w:rsidRDefault="004C47A7" w:rsidP="001C28C0">
            <w:pPr>
              <w:pStyle w:val="Default"/>
              <w:spacing w:before="40" w:after="40"/>
              <w:rPr>
                <w:sz w:val="20"/>
                <w:szCs w:val="20"/>
              </w:rPr>
            </w:pPr>
            <w:r w:rsidRPr="005B6CBE">
              <w:rPr>
                <w:sz w:val="20"/>
                <w:szCs w:val="20"/>
              </w:rPr>
              <w:t xml:space="preserve">Study selection </w:t>
            </w:r>
          </w:p>
        </w:tc>
        <w:tc>
          <w:tcPr>
            <w:tcW w:w="479" w:type="dxa"/>
            <w:tcBorders>
              <w:top w:val="single" w:sz="5" w:space="0" w:color="000000"/>
              <w:left w:val="single" w:sz="5" w:space="0" w:color="000000"/>
              <w:bottom w:val="single" w:sz="5" w:space="0" w:color="000000"/>
              <w:right w:val="single" w:sz="5" w:space="0" w:color="000000"/>
            </w:tcBorders>
          </w:tcPr>
          <w:p w14:paraId="7A13A826" w14:textId="77777777" w:rsidR="004C47A7" w:rsidRPr="005B6CBE" w:rsidRDefault="004C47A7" w:rsidP="001C28C0">
            <w:pPr>
              <w:pStyle w:val="Default"/>
              <w:spacing w:before="40" w:after="40"/>
              <w:jc w:val="right"/>
              <w:rPr>
                <w:sz w:val="20"/>
                <w:szCs w:val="20"/>
              </w:rPr>
            </w:pPr>
            <w:r w:rsidRPr="005B6CBE">
              <w:rPr>
                <w:sz w:val="20"/>
                <w:szCs w:val="20"/>
              </w:rPr>
              <w:t>9</w:t>
            </w:r>
          </w:p>
        </w:tc>
        <w:tc>
          <w:tcPr>
            <w:tcW w:w="9408" w:type="dxa"/>
            <w:tcBorders>
              <w:top w:val="single" w:sz="5" w:space="0" w:color="000000"/>
              <w:left w:val="single" w:sz="5" w:space="0" w:color="000000"/>
              <w:bottom w:val="single" w:sz="5" w:space="0" w:color="000000"/>
              <w:right w:val="single" w:sz="5" w:space="0" w:color="000000"/>
            </w:tcBorders>
          </w:tcPr>
          <w:p w14:paraId="5F26A2DA" w14:textId="77777777" w:rsidR="004C47A7" w:rsidRPr="005B6CBE" w:rsidRDefault="004C47A7" w:rsidP="001C28C0">
            <w:pPr>
              <w:pStyle w:val="Default"/>
              <w:spacing w:before="40" w:after="40"/>
              <w:rPr>
                <w:sz w:val="20"/>
                <w:szCs w:val="20"/>
              </w:rPr>
            </w:pPr>
            <w:r w:rsidRPr="005B6CBE">
              <w:rPr>
                <w:sz w:val="20"/>
                <w:szCs w:val="20"/>
              </w:rPr>
              <w:t xml:space="preserve">State the process for selecting studies (i.e., screening, eligibility, included in systematic review, and, if applicable, included in the meta-analysis). </w:t>
            </w:r>
          </w:p>
        </w:tc>
        <w:tc>
          <w:tcPr>
            <w:tcW w:w="1118" w:type="dxa"/>
            <w:tcBorders>
              <w:top w:val="single" w:sz="5" w:space="0" w:color="000000"/>
              <w:left w:val="single" w:sz="5" w:space="0" w:color="000000"/>
              <w:bottom w:val="single" w:sz="5" w:space="0" w:color="000000"/>
              <w:right w:val="single" w:sz="5" w:space="0" w:color="000000"/>
            </w:tcBorders>
          </w:tcPr>
          <w:p w14:paraId="68427882" w14:textId="2093C503" w:rsidR="004C47A7" w:rsidRPr="005B6CBE" w:rsidRDefault="00307002" w:rsidP="001C28C0">
            <w:pPr>
              <w:pStyle w:val="Default"/>
              <w:spacing w:before="40" w:after="40"/>
              <w:rPr>
                <w:color w:val="auto"/>
                <w:sz w:val="20"/>
                <w:szCs w:val="20"/>
              </w:rPr>
            </w:pPr>
            <w:r>
              <w:rPr>
                <w:color w:val="auto"/>
                <w:sz w:val="20"/>
                <w:szCs w:val="20"/>
              </w:rPr>
              <w:t>6, 7</w:t>
            </w:r>
          </w:p>
        </w:tc>
      </w:tr>
      <w:tr w:rsidR="004C47A7" w:rsidRPr="005B6CBE" w14:paraId="4AC1D4CA"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3C5672C4" w14:textId="77777777" w:rsidR="004C47A7" w:rsidRPr="005B6CBE" w:rsidRDefault="004C47A7" w:rsidP="001C28C0">
            <w:pPr>
              <w:pStyle w:val="Default"/>
              <w:spacing w:before="40" w:after="40"/>
              <w:rPr>
                <w:sz w:val="20"/>
                <w:szCs w:val="20"/>
              </w:rPr>
            </w:pPr>
            <w:r w:rsidRPr="005B6CBE">
              <w:rPr>
                <w:sz w:val="20"/>
                <w:szCs w:val="20"/>
              </w:rPr>
              <w:t xml:space="preserve">Data collection process </w:t>
            </w:r>
          </w:p>
        </w:tc>
        <w:tc>
          <w:tcPr>
            <w:tcW w:w="479" w:type="dxa"/>
            <w:tcBorders>
              <w:top w:val="single" w:sz="5" w:space="0" w:color="000000"/>
              <w:left w:val="single" w:sz="5" w:space="0" w:color="000000"/>
              <w:bottom w:val="single" w:sz="5" w:space="0" w:color="000000"/>
              <w:right w:val="single" w:sz="5" w:space="0" w:color="000000"/>
            </w:tcBorders>
          </w:tcPr>
          <w:p w14:paraId="5B7DA3B7" w14:textId="77777777" w:rsidR="004C47A7" w:rsidRPr="005B6CBE" w:rsidRDefault="004C47A7" w:rsidP="001C28C0">
            <w:pPr>
              <w:pStyle w:val="Default"/>
              <w:spacing w:before="40" w:after="40"/>
              <w:jc w:val="right"/>
              <w:rPr>
                <w:sz w:val="20"/>
                <w:szCs w:val="20"/>
              </w:rPr>
            </w:pPr>
            <w:r w:rsidRPr="005B6CBE">
              <w:rPr>
                <w:sz w:val="20"/>
                <w:szCs w:val="20"/>
              </w:rPr>
              <w:t>10</w:t>
            </w:r>
          </w:p>
        </w:tc>
        <w:tc>
          <w:tcPr>
            <w:tcW w:w="9408" w:type="dxa"/>
            <w:tcBorders>
              <w:top w:val="single" w:sz="5" w:space="0" w:color="000000"/>
              <w:left w:val="single" w:sz="5" w:space="0" w:color="000000"/>
              <w:bottom w:val="single" w:sz="5" w:space="0" w:color="000000"/>
              <w:right w:val="single" w:sz="5" w:space="0" w:color="000000"/>
            </w:tcBorders>
          </w:tcPr>
          <w:p w14:paraId="7DFE8D80" w14:textId="77777777" w:rsidR="004C47A7" w:rsidRPr="005B6CBE" w:rsidRDefault="004C47A7" w:rsidP="001C28C0">
            <w:pPr>
              <w:pStyle w:val="Default"/>
              <w:spacing w:before="40" w:after="40"/>
              <w:rPr>
                <w:sz w:val="20"/>
                <w:szCs w:val="20"/>
              </w:rPr>
            </w:pPr>
            <w:r w:rsidRPr="005B6CBE">
              <w:rPr>
                <w:sz w:val="20"/>
                <w:szCs w:val="20"/>
              </w:rPr>
              <w:t xml:space="preserve">Describe method of data extraction from reports (e.g., piloted forms, independently, in duplicate) and any processes for obtaining and confirming data from investigators. </w:t>
            </w:r>
          </w:p>
        </w:tc>
        <w:tc>
          <w:tcPr>
            <w:tcW w:w="1118" w:type="dxa"/>
            <w:tcBorders>
              <w:top w:val="single" w:sz="5" w:space="0" w:color="000000"/>
              <w:left w:val="single" w:sz="5" w:space="0" w:color="000000"/>
              <w:bottom w:val="single" w:sz="5" w:space="0" w:color="000000"/>
              <w:right w:val="single" w:sz="5" w:space="0" w:color="000000"/>
            </w:tcBorders>
          </w:tcPr>
          <w:p w14:paraId="29876887" w14:textId="6FAC5426" w:rsidR="004C47A7" w:rsidRPr="005B6CBE" w:rsidRDefault="00307002" w:rsidP="001C28C0">
            <w:pPr>
              <w:pStyle w:val="Default"/>
              <w:spacing w:before="40" w:after="40"/>
              <w:rPr>
                <w:color w:val="auto"/>
                <w:sz w:val="20"/>
                <w:szCs w:val="20"/>
              </w:rPr>
            </w:pPr>
            <w:r>
              <w:rPr>
                <w:color w:val="auto"/>
                <w:sz w:val="20"/>
                <w:szCs w:val="20"/>
              </w:rPr>
              <w:t>7, 8, 9</w:t>
            </w:r>
          </w:p>
        </w:tc>
      </w:tr>
      <w:tr w:rsidR="004C47A7" w:rsidRPr="005B6CBE" w14:paraId="69833056"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090D29BF" w14:textId="77777777" w:rsidR="004C47A7" w:rsidRPr="005B6CBE" w:rsidRDefault="004C47A7" w:rsidP="001C28C0">
            <w:pPr>
              <w:pStyle w:val="Default"/>
              <w:spacing w:before="40" w:after="40"/>
              <w:rPr>
                <w:sz w:val="20"/>
                <w:szCs w:val="20"/>
              </w:rPr>
            </w:pPr>
            <w:r w:rsidRPr="005B6CBE">
              <w:rPr>
                <w:sz w:val="20"/>
                <w:szCs w:val="20"/>
              </w:rPr>
              <w:t xml:space="preserve">Data items </w:t>
            </w:r>
          </w:p>
        </w:tc>
        <w:tc>
          <w:tcPr>
            <w:tcW w:w="479" w:type="dxa"/>
            <w:tcBorders>
              <w:top w:val="single" w:sz="5" w:space="0" w:color="000000"/>
              <w:left w:val="single" w:sz="5" w:space="0" w:color="000000"/>
              <w:bottom w:val="single" w:sz="5" w:space="0" w:color="000000"/>
              <w:right w:val="single" w:sz="5" w:space="0" w:color="000000"/>
            </w:tcBorders>
          </w:tcPr>
          <w:p w14:paraId="59072820" w14:textId="77777777" w:rsidR="004C47A7" w:rsidRPr="005B6CBE" w:rsidRDefault="004C47A7" w:rsidP="001C28C0">
            <w:pPr>
              <w:pStyle w:val="Default"/>
              <w:spacing w:before="40" w:after="40"/>
              <w:jc w:val="right"/>
              <w:rPr>
                <w:sz w:val="20"/>
                <w:szCs w:val="20"/>
              </w:rPr>
            </w:pPr>
            <w:r w:rsidRPr="005B6CBE">
              <w:rPr>
                <w:sz w:val="20"/>
                <w:szCs w:val="20"/>
              </w:rPr>
              <w:t>11</w:t>
            </w:r>
          </w:p>
        </w:tc>
        <w:tc>
          <w:tcPr>
            <w:tcW w:w="9408" w:type="dxa"/>
            <w:tcBorders>
              <w:top w:val="single" w:sz="5" w:space="0" w:color="000000"/>
              <w:left w:val="single" w:sz="5" w:space="0" w:color="000000"/>
              <w:bottom w:val="single" w:sz="5" w:space="0" w:color="000000"/>
              <w:right w:val="single" w:sz="5" w:space="0" w:color="000000"/>
            </w:tcBorders>
          </w:tcPr>
          <w:p w14:paraId="029B461F" w14:textId="77777777" w:rsidR="004C47A7" w:rsidRPr="005B6CBE" w:rsidRDefault="004C47A7" w:rsidP="001C28C0">
            <w:pPr>
              <w:pStyle w:val="Default"/>
              <w:spacing w:before="40" w:after="40"/>
              <w:rPr>
                <w:sz w:val="20"/>
                <w:szCs w:val="20"/>
              </w:rPr>
            </w:pPr>
            <w:r w:rsidRPr="005B6CBE">
              <w:rPr>
                <w:sz w:val="20"/>
                <w:szCs w:val="20"/>
              </w:rPr>
              <w:t xml:space="preserve">List and define all variables for which data were sought (e.g., PICOS, funding sources) and any assumptions and simplifications made. </w:t>
            </w:r>
          </w:p>
        </w:tc>
        <w:tc>
          <w:tcPr>
            <w:tcW w:w="1118" w:type="dxa"/>
            <w:tcBorders>
              <w:top w:val="single" w:sz="5" w:space="0" w:color="000000"/>
              <w:left w:val="single" w:sz="5" w:space="0" w:color="000000"/>
              <w:bottom w:val="single" w:sz="5" w:space="0" w:color="000000"/>
              <w:right w:val="single" w:sz="5" w:space="0" w:color="000000"/>
            </w:tcBorders>
          </w:tcPr>
          <w:p w14:paraId="19DDB55B" w14:textId="49F6C1D9" w:rsidR="004C47A7" w:rsidRPr="005B6CBE" w:rsidRDefault="00307002" w:rsidP="001C28C0">
            <w:pPr>
              <w:pStyle w:val="Default"/>
              <w:spacing w:before="40" w:after="40"/>
              <w:rPr>
                <w:color w:val="auto"/>
                <w:sz w:val="20"/>
                <w:szCs w:val="20"/>
              </w:rPr>
            </w:pPr>
            <w:r>
              <w:rPr>
                <w:color w:val="auto"/>
                <w:sz w:val="20"/>
                <w:szCs w:val="20"/>
              </w:rPr>
              <w:t>7, 8, 9</w:t>
            </w:r>
          </w:p>
        </w:tc>
      </w:tr>
      <w:tr w:rsidR="004C47A7" w:rsidRPr="005B6CBE" w14:paraId="283A2327" w14:textId="77777777" w:rsidTr="001C28C0">
        <w:trPr>
          <w:trHeight w:val="578"/>
        </w:trPr>
        <w:tc>
          <w:tcPr>
            <w:tcW w:w="2485" w:type="dxa"/>
            <w:tcBorders>
              <w:top w:val="single" w:sz="5" w:space="0" w:color="000000"/>
              <w:left w:val="single" w:sz="5" w:space="0" w:color="000000"/>
              <w:bottom w:val="single" w:sz="5" w:space="0" w:color="000000"/>
              <w:right w:val="single" w:sz="5" w:space="0" w:color="000000"/>
            </w:tcBorders>
          </w:tcPr>
          <w:p w14:paraId="68E240A3" w14:textId="77777777" w:rsidR="004C47A7" w:rsidRPr="005B6CBE" w:rsidRDefault="004C47A7" w:rsidP="001C28C0">
            <w:pPr>
              <w:pStyle w:val="Default"/>
              <w:spacing w:before="40" w:after="40"/>
              <w:rPr>
                <w:sz w:val="20"/>
                <w:szCs w:val="20"/>
              </w:rPr>
            </w:pPr>
            <w:r w:rsidRPr="005B6CBE">
              <w:rPr>
                <w:sz w:val="20"/>
                <w:szCs w:val="20"/>
              </w:rPr>
              <w:t xml:space="preserve">Risk of bias in individual studies </w:t>
            </w:r>
          </w:p>
        </w:tc>
        <w:tc>
          <w:tcPr>
            <w:tcW w:w="479" w:type="dxa"/>
            <w:tcBorders>
              <w:top w:val="single" w:sz="5" w:space="0" w:color="000000"/>
              <w:left w:val="single" w:sz="5" w:space="0" w:color="000000"/>
              <w:bottom w:val="single" w:sz="5" w:space="0" w:color="000000"/>
              <w:right w:val="single" w:sz="5" w:space="0" w:color="000000"/>
            </w:tcBorders>
          </w:tcPr>
          <w:p w14:paraId="4AD68E8C" w14:textId="77777777" w:rsidR="004C47A7" w:rsidRPr="005B6CBE" w:rsidRDefault="004C47A7" w:rsidP="001C28C0">
            <w:pPr>
              <w:pStyle w:val="Default"/>
              <w:spacing w:before="40" w:after="40"/>
              <w:jc w:val="right"/>
              <w:rPr>
                <w:sz w:val="20"/>
                <w:szCs w:val="20"/>
              </w:rPr>
            </w:pPr>
            <w:r w:rsidRPr="005B6CBE">
              <w:rPr>
                <w:sz w:val="20"/>
                <w:szCs w:val="20"/>
              </w:rPr>
              <w:t>12</w:t>
            </w:r>
          </w:p>
        </w:tc>
        <w:tc>
          <w:tcPr>
            <w:tcW w:w="9408" w:type="dxa"/>
            <w:tcBorders>
              <w:top w:val="single" w:sz="5" w:space="0" w:color="000000"/>
              <w:left w:val="single" w:sz="5" w:space="0" w:color="000000"/>
              <w:bottom w:val="single" w:sz="5" w:space="0" w:color="000000"/>
              <w:right w:val="single" w:sz="5" w:space="0" w:color="000000"/>
            </w:tcBorders>
          </w:tcPr>
          <w:p w14:paraId="242768D4" w14:textId="77777777" w:rsidR="004C47A7" w:rsidRPr="005B6CBE" w:rsidRDefault="004C47A7" w:rsidP="001C28C0">
            <w:pPr>
              <w:pStyle w:val="Default"/>
              <w:spacing w:before="40" w:after="40"/>
              <w:rPr>
                <w:sz w:val="20"/>
                <w:szCs w:val="20"/>
              </w:rPr>
            </w:pPr>
            <w:r w:rsidRPr="005B6CBE">
              <w:rPr>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18" w:type="dxa"/>
            <w:tcBorders>
              <w:top w:val="single" w:sz="5" w:space="0" w:color="000000"/>
              <w:left w:val="single" w:sz="5" w:space="0" w:color="000000"/>
              <w:bottom w:val="single" w:sz="5" w:space="0" w:color="000000"/>
              <w:right w:val="single" w:sz="5" w:space="0" w:color="000000"/>
            </w:tcBorders>
          </w:tcPr>
          <w:p w14:paraId="16ED49EF" w14:textId="43C88B9D" w:rsidR="004C47A7" w:rsidRPr="005B6CBE" w:rsidRDefault="00307002" w:rsidP="001C28C0">
            <w:pPr>
              <w:pStyle w:val="Default"/>
              <w:spacing w:before="40" w:after="40"/>
              <w:rPr>
                <w:color w:val="auto"/>
                <w:sz w:val="20"/>
                <w:szCs w:val="20"/>
              </w:rPr>
            </w:pPr>
            <w:r>
              <w:rPr>
                <w:color w:val="auto"/>
                <w:sz w:val="20"/>
                <w:szCs w:val="20"/>
              </w:rPr>
              <w:t>8</w:t>
            </w:r>
          </w:p>
        </w:tc>
      </w:tr>
      <w:tr w:rsidR="004C47A7" w:rsidRPr="005B6CBE" w14:paraId="2B114803" w14:textId="77777777" w:rsidTr="001C28C0">
        <w:trPr>
          <w:trHeight w:val="333"/>
        </w:trPr>
        <w:tc>
          <w:tcPr>
            <w:tcW w:w="2485" w:type="dxa"/>
            <w:tcBorders>
              <w:top w:val="single" w:sz="5" w:space="0" w:color="000000"/>
              <w:left w:val="single" w:sz="5" w:space="0" w:color="000000"/>
              <w:bottom w:val="single" w:sz="5" w:space="0" w:color="000000"/>
              <w:right w:val="single" w:sz="5" w:space="0" w:color="000000"/>
            </w:tcBorders>
          </w:tcPr>
          <w:p w14:paraId="59635407" w14:textId="77777777" w:rsidR="004C47A7" w:rsidRPr="005B6CBE" w:rsidRDefault="004C47A7" w:rsidP="001C28C0">
            <w:pPr>
              <w:pStyle w:val="Default"/>
              <w:spacing w:before="40" w:after="40"/>
              <w:rPr>
                <w:sz w:val="20"/>
                <w:szCs w:val="20"/>
              </w:rPr>
            </w:pPr>
            <w:r w:rsidRPr="005B6CBE">
              <w:rPr>
                <w:sz w:val="20"/>
                <w:szCs w:val="20"/>
              </w:rPr>
              <w:t xml:space="preserve">Summary measures </w:t>
            </w:r>
          </w:p>
        </w:tc>
        <w:tc>
          <w:tcPr>
            <w:tcW w:w="479" w:type="dxa"/>
            <w:tcBorders>
              <w:top w:val="single" w:sz="5" w:space="0" w:color="000000"/>
              <w:left w:val="single" w:sz="5" w:space="0" w:color="000000"/>
              <w:bottom w:val="single" w:sz="5" w:space="0" w:color="000000"/>
              <w:right w:val="single" w:sz="5" w:space="0" w:color="000000"/>
            </w:tcBorders>
          </w:tcPr>
          <w:p w14:paraId="529B679C" w14:textId="77777777" w:rsidR="004C47A7" w:rsidRPr="005B6CBE" w:rsidRDefault="004C47A7" w:rsidP="001C28C0">
            <w:pPr>
              <w:pStyle w:val="Default"/>
              <w:spacing w:before="40" w:after="40"/>
              <w:jc w:val="right"/>
              <w:rPr>
                <w:sz w:val="20"/>
                <w:szCs w:val="20"/>
              </w:rPr>
            </w:pPr>
            <w:r w:rsidRPr="005B6CBE">
              <w:rPr>
                <w:sz w:val="20"/>
                <w:szCs w:val="20"/>
              </w:rPr>
              <w:t>13</w:t>
            </w:r>
          </w:p>
        </w:tc>
        <w:tc>
          <w:tcPr>
            <w:tcW w:w="9408" w:type="dxa"/>
            <w:tcBorders>
              <w:top w:val="single" w:sz="5" w:space="0" w:color="000000"/>
              <w:left w:val="single" w:sz="5" w:space="0" w:color="000000"/>
              <w:bottom w:val="single" w:sz="5" w:space="0" w:color="000000"/>
              <w:right w:val="single" w:sz="5" w:space="0" w:color="000000"/>
            </w:tcBorders>
          </w:tcPr>
          <w:p w14:paraId="2EE2A80F" w14:textId="77777777" w:rsidR="004C47A7" w:rsidRPr="005B6CBE" w:rsidRDefault="004C47A7" w:rsidP="001C28C0">
            <w:pPr>
              <w:pStyle w:val="Default"/>
              <w:spacing w:before="40" w:after="40"/>
              <w:rPr>
                <w:sz w:val="20"/>
                <w:szCs w:val="20"/>
              </w:rPr>
            </w:pPr>
            <w:r w:rsidRPr="005B6CBE">
              <w:rPr>
                <w:sz w:val="20"/>
                <w:szCs w:val="20"/>
              </w:rPr>
              <w:t xml:space="preserve">State the principal summary measures (e.g., risk ratio, difference in means). </w:t>
            </w:r>
          </w:p>
        </w:tc>
        <w:tc>
          <w:tcPr>
            <w:tcW w:w="1118" w:type="dxa"/>
            <w:tcBorders>
              <w:top w:val="single" w:sz="5" w:space="0" w:color="000000"/>
              <w:left w:val="single" w:sz="5" w:space="0" w:color="000000"/>
              <w:bottom w:val="single" w:sz="5" w:space="0" w:color="000000"/>
              <w:right w:val="single" w:sz="5" w:space="0" w:color="000000"/>
            </w:tcBorders>
          </w:tcPr>
          <w:p w14:paraId="48561FDD" w14:textId="51889A46" w:rsidR="004C47A7" w:rsidRPr="005B6CBE" w:rsidRDefault="00307002" w:rsidP="001C28C0">
            <w:pPr>
              <w:pStyle w:val="Default"/>
              <w:spacing w:before="40" w:after="40"/>
              <w:rPr>
                <w:color w:val="auto"/>
                <w:sz w:val="20"/>
                <w:szCs w:val="20"/>
              </w:rPr>
            </w:pPr>
            <w:r>
              <w:rPr>
                <w:color w:val="auto"/>
                <w:sz w:val="20"/>
                <w:szCs w:val="20"/>
              </w:rPr>
              <w:t>7, 8</w:t>
            </w:r>
          </w:p>
        </w:tc>
      </w:tr>
      <w:tr w:rsidR="004C47A7" w:rsidRPr="005B6CBE" w14:paraId="58302589" w14:textId="77777777" w:rsidTr="001C28C0">
        <w:trPr>
          <w:trHeight w:val="580"/>
        </w:trPr>
        <w:tc>
          <w:tcPr>
            <w:tcW w:w="2485" w:type="dxa"/>
            <w:tcBorders>
              <w:top w:val="single" w:sz="5" w:space="0" w:color="000000"/>
              <w:left w:val="single" w:sz="5" w:space="0" w:color="000000"/>
              <w:bottom w:val="single" w:sz="5" w:space="0" w:color="000000"/>
              <w:right w:val="single" w:sz="5" w:space="0" w:color="000000"/>
            </w:tcBorders>
          </w:tcPr>
          <w:p w14:paraId="5104760D" w14:textId="77777777" w:rsidR="004C47A7" w:rsidRPr="005B6CBE" w:rsidRDefault="004C47A7" w:rsidP="001C28C0">
            <w:pPr>
              <w:pStyle w:val="Default"/>
              <w:spacing w:before="40" w:after="40"/>
              <w:rPr>
                <w:sz w:val="20"/>
                <w:szCs w:val="20"/>
              </w:rPr>
            </w:pPr>
            <w:r w:rsidRPr="005B6CBE">
              <w:rPr>
                <w:sz w:val="20"/>
                <w:szCs w:val="20"/>
              </w:rPr>
              <w:t xml:space="preserve">Synthesis of results </w:t>
            </w:r>
          </w:p>
        </w:tc>
        <w:tc>
          <w:tcPr>
            <w:tcW w:w="479" w:type="dxa"/>
            <w:tcBorders>
              <w:top w:val="single" w:sz="5" w:space="0" w:color="000000"/>
              <w:left w:val="single" w:sz="5" w:space="0" w:color="000000"/>
              <w:bottom w:val="single" w:sz="5" w:space="0" w:color="000000"/>
              <w:right w:val="single" w:sz="5" w:space="0" w:color="000000"/>
            </w:tcBorders>
          </w:tcPr>
          <w:p w14:paraId="3331BE32" w14:textId="77777777" w:rsidR="004C47A7" w:rsidRPr="005B6CBE" w:rsidRDefault="004C47A7" w:rsidP="001C28C0">
            <w:pPr>
              <w:pStyle w:val="Default"/>
              <w:spacing w:before="40" w:after="40"/>
              <w:jc w:val="right"/>
              <w:rPr>
                <w:sz w:val="20"/>
                <w:szCs w:val="20"/>
              </w:rPr>
            </w:pPr>
            <w:r w:rsidRPr="005B6CBE">
              <w:rPr>
                <w:sz w:val="20"/>
                <w:szCs w:val="20"/>
              </w:rPr>
              <w:t>14</w:t>
            </w:r>
          </w:p>
        </w:tc>
        <w:tc>
          <w:tcPr>
            <w:tcW w:w="9408" w:type="dxa"/>
            <w:tcBorders>
              <w:top w:val="single" w:sz="5" w:space="0" w:color="000000"/>
              <w:left w:val="single" w:sz="5" w:space="0" w:color="000000"/>
              <w:bottom w:val="single" w:sz="5" w:space="0" w:color="000000"/>
              <w:right w:val="single" w:sz="5" w:space="0" w:color="000000"/>
            </w:tcBorders>
          </w:tcPr>
          <w:p w14:paraId="165A461B" w14:textId="77777777" w:rsidR="004C47A7" w:rsidRPr="005B6CBE" w:rsidRDefault="004C47A7" w:rsidP="001C28C0">
            <w:pPr>
              <w:pStyle w:val="Default"/>
              <w:spacing w:before="40" w:after="40"/>
              <w:rPr>
                <w:sz w:val="20"/>
                <w:szCs w:val="20"/>
              </w:rPr>
            </w:pPr>
            <w:r w:rsidRPr="005B6CBE">
              <w:rPr>
                <w:sz w:val="20"/>
                <w:szCs w:val="20"/>
              </w:rPr>
              <w:t>Describe the methods of handling data and combining results of studies, if done, including measures of consistency (e.g., I</w:t>
            </w:r>
            <w:r w:rsidRPr="005B6CBE">
              <w:rPr>
                <w:sz w:val="20"/>
                <w:szCs w:val="20"/>
                <w:vertAlign w:val="superscript"/>
              </w:rPr>
              <w:t>2</w:t>
            </w:r>
            <w:r w:rsidRPr="005B6CBE">
              <w:rPr>
                <w:sz w:val="20"/>
                <w:szCs w:val="20"/>
              </w:rPr>
              <w:t xml:space="preserve">) for each meta-analysis. </w:t>
            </w:r>
          </w:p>
        </w:tc>
        <w:tc>
          <w:tcPr>
            <w:tcW w:w="1118" w:type="dxa"/>
            <w:tcBorders>
              <w:top w:val="single" w:sz="5" w:space="0" w:color="000000"/>
              <w:left w:val="single" w:sz="5" w:space="0" w:color="000000"/>
              <w:bottom w:val="single" w:sz="5" w:space="0" w:color="000000"/>
              <w:right w:val="single" w:sz="5" w:space="0" w:color="000000"/>
            </w:tcBorders>
          </w:tcPr>
          <w:p w14:paraId="2040274B" w14:textId="2DD559E3" w:rsidR="004C47A7" w:rsidRPr="005B6CBE" w:rsidRDefault="00307002" w:rsidP="001C28C0">
            <w:pPr>
              <w:pStyle w:val="Default"/>
              <w:spacing w:before="40" w:after="40"/>
              <w:rPr>
                <w:color w:val="auto"/>
                <w:sz w:val="20"/>
                <w:szCs w:val="20"/>
              </w:rPr>
            </w:pPr>
            <w:r>
              <w:rPr>
                <w:color w:val="auto"/>
                <w:sz w:val="20"/>
                <w:szCs w:val="20"/>
              </w:rPr>
              <w:t>7, 8</w:t>
            </w:r>
          </w:p>
        </w:tc>
      </w:tr>
    </w:tbl>
    <w:p w14:paraId="4A1CE8F0" w14:textId="77777777" w:rsidR="004C47A7" w:rsidRPr="005B6CBE" w:rsidRDefault="004C47A7" w:rsidP="004C47A7">
      <w:pPr>
        <w:pStyle w:val="CM1"/>
        <w:jc w:val="center"/>
        <w:rPr>
          <w:rFonts w:ascii="Arial" w:hAnsi="Arial" w:cs="Arial"/>
          <w:sz w:val="20"/>
          <w:szCs w:val="20"/>
        </w:rPr>
      </w:pPr>
    </w:p>
    <w:p w14:paraId="522115CE" w14:textId="77777777" w:rsidR="004C47A7" w:rsidRPr="005B6CBE" w:rsidRDefault="004C47A7" w:rsidP="004C47A7">
      <w:pPr>
        <w:pStyle w:val="CM1"/>
        <w:jc w:val="center"/>
        <w:rPr>
          <w:rFonts w:ascii="Arial" w:hAnsi="Arial" w:cs="Arial"/>
          <w:sz w:val="20"/>
          <w:szCs w:val="20"/>
        </w:rPr>
      </w:pPr>
      <w:r w:rsidRPr="005B6CBE">
        <w:rPr>
          <w:rFonts w:ascii="Arial" w:hAnsi="Arial" w:cs="Arial"/>
          <w:sz w:val="20"/>
          <w:szCs w:val="20"/>
        </w:rPr>
        <w:t xml:space="preserve">Page 1 of 2 </w:t>
      </w:r>
    </w:p>
    <w:tbl>
      <w:tblPr>
        <w:tblW w:w="13490" w:type="dxa"/>
        <w:tblBorders>
          <w:top w:val="nil"/>
          <w:left w:val="nil"/>
          <w:bottom w:val="nil"/>
          <w:right w:val="nil"/>
        </w:tblBorders>
        <w:tblLook w:val="0000" w:firstRow="0" w:lastRow="0" w:firstColumn="0" w:lastColumn="0" w:noHBand="0" w:noVBand="0"/>
      </w:tblPr>
      <w:tblGrid>
        <w:gridCol w:w="2430"/>
        <w:gridCol w:w="477"/>
        <w:gridCol w:w="8966"/>
        <w:gridCol w:w="1617"/>
      </w:tblGrid>
      <w:tr w:rsidR="004C47A7" w:rsidRPr="005B6CBE" w14:paraId="54F60782" w14:textId="77777777" w:rsidTr="001C28C0">
        <w:trPr>
          <w:trHeight w:val="645"/>
        </w:trPr>
        <w:tc>
          <w:tcPr>
            <w:tcW w:w="24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4E58C6" w14:textId="77777777" w:rsidR="004C47A7" w:rsidRPr="005B6CBE" w:rsidRDefault="004C47A7" w:rsidP="001C28C0">
            <w:pPr>
              <w:pStyle w:val="Default"/>
              <w:rPr>
                <w:color w:val="FFFFFF"/>
                <w:sz w:val="20"/>
                <w:szCs w:val="20"/>
              </w:rPr>
            </w:pPr>
            <w:r w:rsidRPr="005B6CBE">
              <w:rPr>
                <w:b/>
                <w:bCs/>
                <w:color w:val="FFFFFF"/>
                <w:sz w:val="20"/>
                <w:szCs w:val="20"/>
              </w:rPr>
              <w:t xml:space="preserve">Section/topic </w:t>
            </w:r>
          </w:p>
        </w:tc>
        <w:tc>
          <w:tcPr>
            <w:tcW w:w="4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AB09513" w14:textId="77777777" w:rsidR="004C47A7" w:rsidRPr="005B6CBE" w:rsidRDefault="004C47A7" w:rsidP="001C28C0">
            <w:pPr>
              <w:pStyle w:val="Default"/>
              <w:jc w:val="right"/>
              <w:rPr>
                <w:sz w:val="20"/>
                <w:szCs w:val="20"/>
              </w:rPr>
            </w:pPr>
            <w:r w:rsidRPr="005B6CBE">
              <w:rPr>
                <w:b/>
                <w:bCs/>
                <w:color w:val="FFFFFF"/>
                <w:sz w:val="20"/>
                <w:szCs w:val="20"/>
              </w:rPr>
              <w:t>#</w:t>
            </w:r>
          </w:p>
        </w:tc>
        <w:tc>
          <w:tcPr>
            <w:tcW w:w="940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53B805" w14:textId="77777777" w:rsidR="004C47A7" w:rsidRPr="005B6CBE" w:rsidRDefault="004C47A7" w:rsidP="001C28C0">
            <w:pPr>
              <w:pStyle w:val="Default"/>
              <w:rPr>
                <w:color w:val="FFFFFF"/>
                <w:sz w:val="20"/>
                <w:szCs w:val="20"/>
              </w:rPr>
            </w:pPr>
            <w:r w:rsidRPr="005B6CBE">
              <w:rPr>
                <w:b/>
                <w:bCs/>
                <w:color w:val="FFFFFF"/>
                <w:sz w:val="20"/>
                <w:szCs w:val="20"/>
              </w:rPr>
              <w:t xml:space="preserve">Checklist item </w:t>
            </w:r>
          </w:p>
        </w:tc>
        <w:tc>
          <w:tcPr>
            <w:tcW w:w="11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DC7618C" w14:textId="77777777" w:rsidR="004C47A7" w:rsidRPr="005B6CBE" w:rsidRDefault="004C47A7" w:rsidP="001C28C0">
            <w:pPr>
              <w:pStyle w:val="Default"/>
              <w:rPr>
                <w:color w:val="FFFFFF"/>
                <w:sz w:val="20"/>
                <w:szCs w:val="20"/>
              </w:rPr>
            </w:pPr>
            <w:r w:rsidRPr="005B6CBE">
              <w:rPr>
                <w:b/>
                <w:bCs/>
                <w:color w:val="FFFFFF"/>
                <w:sz w:val="20"/>
                <w:szCs w:val="20"/>
              </w:rPr>
              <w:t xml:space="preserve">Reported on page # </w:t>
            </w:r>
          </w:p>
        </w:tc>
      </w:tr>
      <w:tr w:rsidR="004C47A7" w:rsidRPr="005B6CBE" w14:paraId="2CC6AA56" w14:textId="77777777" w:rsidTr="001C28C0">
        <w:trPr>
          <w:trHeight w:val="559"/>
        </w:trPr>
        <w:tc>
          <w:tcPr>
            <w:tcW w:w="2485" w:type="dxa"/>
            <w:tcBorders>
              <w:top w:val="double" w:sz="5" w:space="0" w:color="000000"/>
              <w:left w:val="single" w:sz="5" w:space="0" w:color="000000"/>
              <w:bottom w:val="single" w:sz="5" w:space="0" w:color="000000"/>
              <w:right w:val="single" w:sz="5" w:space="0" w:color="000000"/>
            </w:tcBorders>
          </w:tcPr>
          <w:p w14:paraId="7D8AE349" w14:textId="77777777" w:rsidR="004C47A7" w:rsidRPr="005B6CBE" w:rsidRDefault="004C47A7" w:rsidP="001C28C0">
            <w:pPr>
              <w:pStyle w:val="Default"/>
              <w:spacing w:before="40" w:after="40"/>
              <w:rPr>
                <w:sz w:val="20"/>
                <w:szCs w:val="20"/>
              </w:rPr>
            </w:pPr>
            <w:r w:rsidRPr="005B6CBE">
              <w:rPr>
                <w:sz w:val="20"/>
                <w:szCs w:val="20"/>
              </w:rPr>
              <w:t xml:space="preserve">Risk of bias across studies </w:t>
            </w:r>
          </w:p>
        </w:tc>
        <w:tc>
          <w:tcPr>
            <w:tcW w:w="479" w:type="dxa"/>
            <w:tcBorders>
              <w:top w:val="double" w:sz="5" w:space="0" w:color="000000"/>
              <w:left w:val="single" w:sz="5" w:space="0" w:color="000000"/>
              <w:bottom w:val="single" w:sz="5" w:space="0" w:color="000000"/>
              <w:right w:val="single" w:sz="5" w:space="0" w:color="000000"/>
            </w:tcBorders>
          </w:tcPr>
          <w:p w14:paraId="543E5849" w14:textId="77777777" w:rsidR="004C47A7" w:rsidRPr="005B6CBE" w:rsidRDefault="004C47A7" w:rsidP="001C28C0">
            <w:pPr>
              <w:pStyle w:val="Default"/>
              <w:spacing w:before="40" w:after="40"/>
              <w:jc w:val="right"/>
              <w:rPr>
                <w:sz w:val="20"/>
                <w:szCs w:val="20"/>
              </w:rPr>
            </w:pPr>
            <w:r w:rsidRPr="005B6CBE">
              <w:rPr>
                <w:sz w:val="20"/>
                <w:szCs w:val="20"/>
              </w:rPr>
              <w:t>15</w:t>
            </w:r>
          </w:p>
        </w:tc>
        <w:tc>
          <w:tcPr>
            <w:tcW w:w="9408" w:type="dxa"/>
            <w:tcBorders>
              <w:top w:val="double" w:sz="5" w:space="0" w:color="000000"/>
              <w:left w:val="single" w:sz="5" w:space="0" w:color="000000"/>
              <w:bottom w:val="single" w:sz="5" w:space="0" w:color="000000"/>
              <w:right w:val="single" w:sz="5" w:space="0" w:color="000000"/>
            </w:tcBorders>
          </w:tcPr>
          <w:p w14:paraId="76CDD098" w14:textId="77777777" w:rsidR="004C47A7" w:rsidRPr="005B6CBE" w:rsidRDefault="004C47A7" w:rsidP="001C28C0">
            <w:pPr>
              <w:pStyle w:val="Default"/>
              <w:spacing w:before="40" w:after="40"/>
              <w:rPr>
                <w:sz w:val="20"/>
                <w:szCs w:val="20"/>
              </w:rPr>
            </w:pPr>
            <w:r w:rsidRPr="005B6CBE">
              <w:rPr>
                <w:sz w:val="20"/>
                <w:szCs w:val="20"/>
              </w:rPr>
              <w:t xml:space="preserve">Specify any assessment of risk of bias that may affect the cumulative evidence (e.g., publication bias, selective reporting within studies). </w:t>
            </w:r>
          </w:p>
        </w:tc>
        <w:tc>
          <w:tcPr>
            <w:tcW w:w="1118" w:type="dxa"/>
            <w:tcBorders>
              <w:top w:val="double" w:sz="5" w:space="0" w:color="000000"/>
              <w:left w:val="single" w:sz="5" w:space="0" w:color="000000"/>
              <w:bottom w:val="single" w:sz="5" w:space="0" w:color="000000"/>
              <w:right w:val="single" w:sz="5" w:space="0" w:color="000000"/>
            </w:tcBorders>
          </w:tcPr>
          <w:p w14:paraId="50C83C85" w14:textId="29D168AB" w:rsidR="004C47A7" w:rsidRPr="005B6CBE" w:rsidRDefault="00556D65" w:rsidP="001C28C0">
            <w:pPr>
              <w:pStyle w:val="Default"/>
              <w:spacing w:before="40" w:after="40"/>
              <w:rPr>
                <w:color w:val="auto"/>
                <w:sz w:val="20"/>
                <w:szCs w:val="20"/>
              </w:rPr>
            </w:pPr>
            <w:r>
              <w:rPr>
                <w:color w:val="auto"/>
                <w:sz w:val="20"/>
                <w:szCs w:val="20"/>
              </w:rPr>
              <w:t>8</w:t>
            </w:r>
          </w:p>
        </w:tc>
      </w:tr>
      <w:tr w:rsidR="004C47A7" w:rsidRPr="005B6CBE" w14:paraId="376DDA58" w14:textId="77777777" w:rsidTr="001C28C0">
        <w:trPr>
          <w:trHeight w:val="553"/>
        </w:trPr>
        <w:tc>
          <w:tcPr>
            <w:tcW w:w="2485" w:type="dxa"/>
            <w:tcBorders>
              <w:top w:val="single" w:sz="5" w:space="0" w:color="000000"/>
              <w:left w:val="single" w:sz="5" w:space="0" w:color="000000"/>
              <w:bottom w:val="double" w:sz="2" w:space="0" w:color="FFFFCC"/>
              <w:right w:val="single" w:sz="5" w:space="0" w:color="000000"/>
            </w:tcBorders>
          </w:tcPr>
          <w:p w14:paraId="5C816DEC" w14:textId="77777777" w:rsidR="004C47A7" w:rsidRPr="005B6CBE" w:rsidRDefault="004C47A7" w:rsidP="001C28C0">
            <w:pPr>
              <w:pStyle w:val="Default"/>
              <w:spacing w:before="40" w:after="40"/>
              <w:rPr>
                <w:sz w:val="20"/>
                <w:szCs w:val="20"/>
              </w:rPr>
            </w:pPr>
            <w:r w:rsidRPr="005B6CBE">
              <w:rPr>
                <w:sz w:val="20"/>
                <w:szCs w:val="20"/>
              </w:rPr>
              <w:t xml:space="preserve">Additional analyses </w:t>
            </w:r>
          </w:p>
        </w:tc>
        <w:tc>
          <w:tcPr>
            <w:tcW w:w="479" w:type="dxa"/>
            <w:tcBorders>
              <w:top w:val="single" w:sz="5" w:space="0" w:color="000000"/>
              <w:left w:val="single" w:sz="5" w:space="0" w:color="000000"/>
              <w:bottom w:val="double" w:sz="2" w:space="0" w:color="FFFFCC"/>
              <w:right w:val="single" w:sz="5" w:space="0" w:color="000000"/>
            </w:tcBorders>
          </w:tcPr>
          <w:p w14:paraId="6C62D7EA" w14:textId="77777777" w:rsidR="004C47A7" w:rsidRPr="005B6CBE" w:rsidRDefault="004C47A7" w:rsidP="001C28C0">
            <w:pPr>
              <w:pStyle w:val="Default"/>
              <w:spacing w:before="40" w:after="40"/>
              <w:jc w:val="right"/>
              <w:rPr>
                <w:sz w:val="20"/>
                <w:szCs w:val="20"/>
              </w:rPr>
            </w:pPr>
            <w:r w:rsidRPr="005B6CBE">
              <w:rPr>
                <w:sz w:val="20"/>
                <w:szCs w:val="20"/>
              </w:rPr>
              <w:t>16</w:t>
            </w:r>
          </w:p>
        </w:tc>
        <w:tc>
          <w:tcPr>
            <w:tcW w:w="9408" w:type="dxa"/>
            <w:tcBorders>
              <w:top w:val="single" w:sz="5" w:space="0" w:color="000000"/>
              <w:left w:val="single" w:sz="5" w:space="0" w:color="000000"/>
              <w:bottom w:val="double" w:sz="5" w:space="0" w:color="000000"/>
              <w:right w:val="single" w:sz="5" w:space="0" w:color="000000"/>
            </w:tcBorders>
          </w:tcPr>
          <w:p w14:paraId="27021C67" w14:textId="77777777" w:rsidR="004C47A7" w:rsidRPr="005B6CBE" w:rsidRDefault="004C47A7" w:rsidP="001C28C0">
            <w:pPr>
              <w:pStyle w:val="Default"/>
              <w:spacing w:before="40" w:after="40"/>
              <w:rPr>
                <w:sz w:val="20"/>
                <w:szCs w:val="20"/>
              </w:rPr>
            </w:pPr>
            <w:r w:rsidRPr="005B6CBE">
              <w:rPr>
                <w:sz w:val="20"/>
                <w:szCs w:val="20"/>
              </w:rPr>
              <w:t xml:space="preserve">Describe methods of additional analyses (e.g., sensitivity or subgroup analyses, meta-regression), if done, indicating which were pre-specified. </w:t>
            </w:r>
          </w:p>
        </w:tc>
        <w:tc>
          <w:tcPr>
            <w:tcW w:w="1118" w:type="dxa"/>
            <w:tcBorders>
              <w:top w:val="single" w:sz="5" w:space="0" w:color="000000"/>
              <w:left w:val="single" w:sz="5" w:space="0" w:color="000000"/>
              <w:bottom w:val="double" w:sz="5" w:space="0" w:color="000000"/>
              <w:right w:val="single" w:sz="5" w:space="0" w:color="000000"/>
            </w:tcBorders>
          </w:tcPr>
          <w:p w14:paraId="17086094" w14:textId="3429597D" w:rsidR="004C47A7" w:rsidRPr="005B6CBE" w:rsidRDefault="00556D65" w:rsidP="001C28C0">
            <w:pPr>
              <w:pStyle w:val="Default"/>
              <w:spacing w:before="40" w:after="40"/>
              <w:rPr>
                <w:color w:val="auto"/>
                <w:sz w:val="20"/>
                <w:szCs w:val="20"/>
              </w:rPr>
            </w:pPr>
            <w:r>
              <w:rPr>
                <w:color w:val="auto"/>
                <w:sz w:val="20"/>
                <w:szCs w:val="20"/>
              </w:rPr>
              <w:t>9</w:t>
            </w:r>
          </w:p>
        </w:tc>
      </w:tr>
      <w:tr w:rsidR="004C47A7" w:rsidRPr="005B6CBE" w14:paraId="294165BD" w14:textId="77777777" w:rsidTr="001C28C0">
        <w:trPr>
          <w:trHeight w:val="326"/>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5E2DE0" w14:textId="77777777" w:rsidR="004C47A7" w:rsidRPr="005B6CBE" w:rsidRDefault="004C47A7" w:rsidP="001C28C0">
            <w:pPr>
              <w:pStyle w:val="Default"/>
              <w:rPr>
                <w:sz w:val="20"/>
                <w:szCs w:val="20"/>
              </w:rPr>
            </w:pPr>
            <w:r w:rsidRPr="005B6CBE">
              <w:rPr>
                <w:b/>
                <w:bCs/>
                <w:sz w:val="20"/>
                <w:szCs w:val="20"/>
              </w:rPr>
              <w:t xml:space="preserve">RESULTS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14129DEE" w14:textId="77777777" w:rsidR="004C47A7" w:rsidRPr="005B6CBE" w:rsidRDefault="004C47A7" w:rsidP="001C28C0">
            <w:pPr>
              <w:pStyle w:val="Default"/>
              <w:jc w:val="center"/>
              <w:rPr>
                <w:color w:val="auto"/>
                <w:sz w:val="20"/>
                <w:szCs w:val="20"/>
              </w:rPr>
            </w:pPr>
          </w:p>
        </w:tc>
      </w:tr>
      <w:tr w:rsidR="004C47A7" w:rsidRPr="005B6CBE" w14:paraId="773C52B0" w14:textId="77777777" w:rsidTr="001C28C0">
        <w:trPr>
          <w:trHeight w:val="562"/>
        </w:trPr>
        <w:tc>
          <w:tcPr>
            <w:tcW w:w="2485" w:type="dxa"/>
            <w:tcBorders>
              <w:top w:val="single" w:sz="5" w:space="0" w:color="000000"/>
              <w:left w:val="single" w:sz="5" w:space="0" w:color="000000"/>
              <w:bottom w:val="single" w:sz="5" w:space="0" w:color="000000"/>
              <w:right w:val="single" w:sz="5" w:space="0" w:color="000000"/>
            </w:tcBorders>
          </w:tcPr>
          <w:p w14:paraId="4CE8D8EE" w14:textId="77777777" w:rsidR="004C47A7" w:rsidRPr="005B6CBE" w:rsidRDefault="004C47A7" w:rsidP="001C28C0">
            <w:pPr>
              <w:pStyle w:val="Default"/>
              <w:spacing w:before="40" w:after="40"/>
              <w:rPr>
                <w:sz w:val="20"/>
                <w:szCs w:val="20"/>
              </w:rPr>
            </w:pPr>
            <w:r w:rsidRPr="005B6CBE">
              <w:rPr>
                <w:sz w:val="20"/>
                <w:szCs w:val="20"/>
              </w:rPr>
              <w:t xml:space="preserve">Study selection </w:t>
            </w:r>
          </w:p>
        </w:tc>
        <w:tc>
          <w:tcPr>
            <w:tcW w:w="479" w:type="dxa"/>
            <w:tcBorders>
              <w:top w:val="single" w:sz="5" w:space="0" w:color="000000"/>
              <w:left w:val="single" w:sz="5" w:space="0" w:color="000000"/>
              <w:bottom w:val="single" w:sz="5" w:space="0" w:color="000000"/>
              <w:right w:val="single" w:sz="5" w:space="0" w:color="000000"/>
            </w:tcBorders>
          </w:tcPr>
          <w:p w14:paraId="1BD6F110" w14:textId="77777777" w:rsidR="004C47A7" w:rsidRPr="005B6CBE" w:rsidRDefault="004C47A7" w:rsidP="001C28C0">
            <w:pPr>
              <w:pStyle w:val="Default"/>
              <w:spacing w:before="40" w:after="40"/>
              <w:jc w:val="right"/>
              <w:rPr>
                <w:sz w:val="20"/>
                <w:szCs w:val="20"/>
              </w:rPr>
            </w:pPr>
            <w:r w:rsidRPr="005B6CBE">
              <w:rPr>
                <w:sz w:val="20"/>
                <w:szCs w:val="20"/>
              </w:rPr>
              <w:t>17</w:t>
            </w:r>
          </w:p>
        </w:tc>
        <w:tc>
          <w:tcPr>
            <w:tcW w:w="9408" w:type="dxa"/>
            <w:tcBorders>
              <w:top w:val="single" w:sz="5" w:space="0" w:color="000000"/>
              <w:left w:val="single" w:sz="5" w:space="0" w:color="000000"/>
              <w:bottom w:val="single" w:sz="5" w:space="0" w:color="000000"/>
              <w:right w:val="single" w:sz="5" w:space="0" w:color="000000"/>
            </w:tcBorders>
          </w:tcPr>
          <w:p w14:paraId="1FEABB0C" w14:textId="77777777" w:rsidR="004C47A7" w:rsidRPr="005B6CBE" w:rsidRDefault="004C47A7" w:rsidP="001C28C0">
            <w:pPr>
              <w:pStyle w:val="Default"/>
              <w:spacing w:before="40" w:after="40"/>
              <w:rPr>
                <w:sz w:val="20"/>
                <w:szCs w:val="20"/>
              </w:rPr>
            </w:pPr>
            <w:r w:rsidRPr="005B6CBE">
              <w:rPr>
                <w:sz w:val="20"/>
                <w:szCs w:val="20"/>
              </w:rPr>
              <w:t xml:space="preserve">Give numbers of studies screened, assessed for eligibility, and included in the review, with reasons for exclusions at each stage, ideally with a flow diagram. </w:t>
            </w:r>
          </w:p>
        </w:tc>
        <w:tc>
          <w:tcPr>
            <w:tcW w:w="1118" w:type="dxa"/>
            <w:tcBorders>
              <w:top w:val="single" w:sz="5" w:space="0" w:color="000000"/>
              <w:left w:val="single" w:sz="5" w:space="0" w:color="000000"/>
              <w:bottom w:val="single" w:sz="5" w:space="0" w:color="000000"/>
              <w:right w:val="single" w:sz="5" w:space="0" w:color="000000"/>
            </w:tcBorders>
          </w:tcPr>
          <w:p w14:paraId="0B1672BC" w14:textId="0A8555BE" w:rsidR="004C47A7" w:rsidRPr="005B6CBE" w:rsidRDefault="00556D65" w:rsidP="001C28C0">
            <w:pPr>
              <w:pStyle w:val="Default"/>
              <w:spacing w:before="40" w:after="40"/>
              <w:rPr>
                <w:color w:val="auto"/>
                <w:sz w:val="20"/>
                <w:szCs w:val="20"/>
              </w:rPr>
            </w:pPr>
            <w:r>
              <w:rPr>
                <w:color w:val="auto"/>
                <w:sz w:val="20"/>
                <w:szCs w:val="20"/>
              </w:rPr>
              <w:t>9, 24</w:t>
            </w:r>
          </w:p>
        </w:tc>
      </w:tr>
      <w:tr w:rsidR="004C47A7" w:rsidRPr="005B6CBE" w14:paraId="1BC31362" w14:textId="77777777" w:rsidTr="001C28C0">
        <w:trPr>
          <w:trHeight w:val="562"/>
        </w:trPr>
        <w:tc>
          <w:tcPr>
            <w:tcW w:w="2485" w:type="dxa"/>
            <w:tcBorders>
              <w:top w:val="single" w:sz="5" w:space="0" w:color="000000"/>
              <w:left w:val="single" w:sz="5" w:space="0" w:color="000000"/>
              <w:bottom w:val="single" w:sz="5" w:space="0" w:color="000000"/>
              <w:right w:val="single" w:sz="5" w:space="0" w:color="000000"/>
            </w:tcBorders>
          </w:tcPr>
          <w:p w14:paraId="603D1336" w14:textId="77777777" w:rsidR="004C47A7" w:rsidRPr="005B6CBE" w:rsidRDefault="004C47A7" w:rsidP="001C28C0">
            <w:pPr>
              <w:pStyle w:val="Default"/>
              <w:spacing w:before="40" w:after="40"/>
              <w:rPr>
                <w:sz w:val="20"/>
                <w:szCs w:val="20"/>
              </w:rPr>
            </w:pPr>
            <w:r w:rsidRPr="005B6CBE">
              <w:rPr>
                <w:sz w:val="20"/>
                <w:szCs w:val="20"/>
              </w:rPr>
              <w:t xml:space="preserve">Study characteristics </w:t>
            </w:r>
          </w:p>
        </w:tc>
        <w:tc>
          <w:tcPr>
            <w:tcW w:w="479" w:type="dxa"/>
            <w:tcBorders>
              <w:top w:val="single" w:sz="5" w:space="0" w:color="000000"/>
              <w:left w:val="single" w:sz="5" w:space="0" w:color="000000"/>
              <w:bottom w:val="single" w:sz="5" w:space="0" w:color="000000"/>
              <w:right w:val="single" w:sz="5" w:space="0" w:color="000000"/>
            </w:tcBorders>
          </w:tcPr>
          <w:p w14:paraId="2216E067" w14:textId="77777777" w:rsidR="004C47A7" w:rsidRPr="005B6CBE" w:rsidRDefault="004C47A7" w:rsidP="001C28C0">
            <w:pPr>
              <w:pStyle w:val="Default"/>
              <w:spacing w:before="40" w:after="40"/>
              <w:jc w:val="right"/>
              <w:rPr>
                <w:sz w:val="20"/>
                <w:szCs w:val="20"/>
              </w:rPr>
            </w:pPr>
            <w:r w:rsidRPr="005B6CBE">
              <w:rPr>
                <w:sz w:val="20"/>
                <w:szCs w:val="20"/>
              </w:rPr>
              <w:t>18</w:t>
            </w:r>
          </w:p>
        </w:tc>
        <w:tc>
          <w:tcPr>
            <w:tcW w:w="9408" w:type="dxa"/>
            <w:tcBorders>
              <w:top w:val="single" w:sz="5" w:space="0" w:color="000000"/>
              <w:left w:val="single" w:sz="5" w:space="0" w:color="000000"/>
              <w:bottom w:val="single" w:sz="5" w:space="0" w:color="000000"/>
              <w:right w:val="single" w:sz="5" w:space="0" w:color="000000"/>
            </w:tcBorders>
          </w:tcPr>
          <w:p w14:paraId="62AB8477" w14:textId="77777777" w:rsidR="004C47A7" w:rsidRPr="005B6CBE" w:rsidRDefault="004C47A7" w:rsidP="001C28C0">
            <w:pPr>
              <w:pStyle w:val="Default"/>
              <w:spacing w:before="40" w:after="40"/>
              <w:rPr>
                <w:sz w:val="20"/>
                <w:szCs w:val="20"/>
              </w:rPr>
            </w:pPr>
            <w:r w:rsidRPr="005B6CBE">
              <w:rPr>
                <w:sz w:val="20"/>
                <w:szCs w:val="20"/>
              </w:rPr>
              <w:t xml:space="preserve">For each study, present characteristics for which data were extracted (e.g., study size, PICOS, follow-up period) and provide the citations. </w:t>
            </w:r>
          </w:p>
        </w:tc>
        <w:tc>
          <w:tcPr>
            <w:tcW w:w="1118" w:type="dxa"/>
            <w:tcBorders>
              <w:top w:val="single" w:sz="5" w:space="0" w:color="000000"/>
              <w:left w:val="single" w:sz="5" w:space="0" w:color="000000"/>
              <w:bottom w:val="single" w:sz="5" w:space="0" w:color="000000"/>
              <w:right w:val="single" w:sz="5" w:space="0" w:color="000000"/>
            </w:tcBorders>
          </w:tcPr>
          <w:p w14:paraId="6905BA25" w14:textId="5E68C528" w:rsidR="004C47A7" w:rsidRPr="005B6CBE" w:rsidRDefault="00556D65" w:rsidP="001C28C0">
            <w:pPr>
              <w:pStyle w:val="Default"/>
              <w:spacing w:before="40" w:after="40"/>
              <w:rPr>
                <w:color w:val="auto"/>
                <w:sz w:val="20"/>
                <w:szCs w:val="20"/>
              </w:rPr>
            </w:pPr>
            <w:r>
              <w:rPr>
                <w:color w:val="auto"/>
                <w:sz w:val="20"/>
                <w:szCs w:val="20"/>
              </w:rPr>
              <w:t>9, 10, 22, 23</w:t>
            </w:r>
          </w:p>
        </w:tc>
      </w:tr>
      <w:tr w:rsidR="004C47A7" w:rsidRPr="005B6CBE" w14:paraId="272FDB95" w14:textId="77777777" w:rsidTr="001C28C0">
        <w:trPr>
          <w:trHeight w:val="324"/>
        </w:trPr>
        <w:tc>
          <w:tcPr>
            <w:tcW w:w="2485" w:type="dxa"/>
            <w:tcBorders>
              <w:top w:val="single" w:sz="5" w:space="0" w:color="000000"/>
              <w:left w:val="single" w:sz="5" w:space="0" w:color="000000"/>
              <w:bottom w:val="single" w:sz="5" w:space="0" w:color="000000"/>
              <w:right w:val="single" w:sz="5" w:space="0" w:color="000000"/>
            </w:tcBorders>
          </w:tcPr>
          <w:p w14:paraId="25CB4655" w14:textId="77777777" w:rsidR="004C47A7" w:rsidRPr="005B6CBE" w:rsidRDefault="004C47A7" w:rsidP="001C28C0">
            <w:pPr>
              <w:pStyle w:val="Default"/>
              <w:spacing w:before="40" w:after="40"/>
              <w:rPr>
                <w:sz w:val="20"/>
                <w:szCs w:val="20"/>
              </w:rPr>
            </w:pPr>
            <w:r w:rsidRPr="005B6CBE">
              <w:rPr>
                <w:sz w:val="20"/>
                <w:szCs w:val="20"/>
              </w:rPr>
              <w:t xml:space="preserve">Risk of bias within studies </w:t>
            </w:r>
          </w:p>
        </w:tc>
        <w:tc>
          <w:tcPr>
            <w:tcW w:w="479" w:type="dxa"/>
            <w:tcBorders>
              <w:top w:val="single" w:sz="5" w:space="0" w:color="000000"/>
              <w:left w:val="single" w:sz="5" w:space="0" w:color="000000"/>
              <w:bottom w:val="single" w:sz="5" w:space="0" w:color="000000"/>
              <w:right w:val="single" w:sz="5" w:space="0" w:color="000000"/>
            </w:tcBorders>
          </w:tcPr>
          <w:p w14:paraId="0255F968" w14:textId="77777777" w:rsidR="004C47A7" w:rsidRPr="005B6CBE" w:rsidRDefault="004C47A7" w:rsidP="001C28C0">
            <w:pPr>
              <w:pStyle w:val="Default"/>
              <w:spacing w:before="40" w:after="40"/>
              <w:jc w:val="right"/>
              <w:rPr>
                <w:sz w:val="20"/>
                <w:szCs w:val="20"/>
              </w:rPr>
            </w:pPr>
            <w:r w:rsidRPr="005B6CBE">
              <w:rPr>
                <w:sz w:val="20"/>
                <w:szCs w:val="20"/>
              </w:rPr>
              <w:t>19</w:t>
            </w:r>
          </w:p>
        </w:tc>
        <w:tc>
          <w:tcPr>
            <w:tcW w:w="9408" w:type="dxa"/>
            <w:tcBorders>
              <w:top w:val="single" w:sz="5" w:space="0" w:color="000000"/>
              <w:left w:val="single" w:sz="5" w:space="0" w:color="000000"/>
              <w:bottom w:val="single" w:sz="5" w:space="0" w:color="000000"/>
              <w:right w:val="single" w:sz="5" w:space="0" w:color="000000"/>
            </w:tcBorders>
          </w:tcPr>
          <w:p w14:paraId="374DCC0B" w14:textId="77777777" w:rsidR="004C47A7" w:rsidRPr="005B6CBE" w:rsidRDefault="004C47A7" w:rsidP="001C28C0">
            <w:pPr>
              <w:pStyle w:val="Default"/>
              <w:spacing w:before="40" w:after="40"/>
              <w:rPr>
                <w:sz w:val="20"/>
                <w:szCs w:val="20"/>
              </w:rPr>
            </w:pPr>
            <w:r w:rsidRPr="005B6CBE">
              <w:rPr>
                <w:sz w:val="20"/>
                <w:szCs w:val="20"/>
              </w:rPr>
              <w:t xml:space="preserve">Present data on risk of bias of each study and, if available, any outcome level assessment (see item 12). </w:t>
            </w:r>
          </w:p>
        </w:tc>
        <w:tc>
          <w:tcPr>
            <w:tcW w:w="1118" w:type="dxa"/>
            <w:tcBorders>
              <w:top w:val="single" w:sz="5" w:space="0" w:color="000000"/>
              <w:left w:val="single" w:sz="5" w:space="0" w:color="000000"/>
              <w:bottom w:val="single" w:sz="5" w:space="0" w:color="000000"/>
              <w:right w:val="single" w:sz="5" w:space="0" w:color="000000"/>
            </w:tcBorders>
          </w:tcPr>
          <w:p w14:paraId="3E99A3DB" w14:textId="6AE3F554" w:rsidR="004C47A7" w:rsidRPr="005B6CBE" w:rsidRDefault="00556D65" w:rsidP="001C28C0">
            <w:pPr>
              <w:pStyle w:val="Default"/>
              <w:spacing w:before="40" w:after="40"/>
              <w:rPr>
                <w:color w:val="auto"/>
                <w:sz w:val="20"/>
                <w:szCs w:val="20"/>
              </w:rPr>
            </w:pPr>
            <w:r>
              <w:rPr>
                <w:color w:val="auto"/>
                <w:sz w:val="20"/>
                <w:szCs w:val="20"/>
              </w:rPr>
              <w:t>10, 25</w:t>
            </w:r>
          </w:p>
        </w:tc>
      </w:tr>
      <w:tr w:rsidR="004C47A7" w:rsidRPr="005B6CBE" w14:paraId="367A80BB" w14:textId="77777777" w:rsidTr="001C28C0">
        <w:trPr>
          <w:trHeight w:val="562"/>
        </w:trPr>
        <w:tc>
          <w:tcPr>
            <w:tcW w:w="2485" w:type="dxa"/>
            <w:tcBorders>
              <w:top w:val="single" w:sz="5" w:space="0" w:color="000000"/>
              <w:left w:val="single" w:sz="5" w:space="0" w:color="000000"/>
              <w:bottom w:val="single" w:sz="5" w:space="0" w:color="000000"/>
              <w:right w:val="single" w:sz="5" w:space="0" w:color="000000"/>
            </w:tcBorders>
          </w:tcPr>
          <w:p w14:paraId="7207A07E" w14:textId="77777777" w:rsidR="004C47A7" w:rsidRPr="005B6CBE" w:rsidRDefault="004C47A7" w:rsidP="001C28C0">
            <w:pPr>
              <w:pStyle w:val="Default"/>
              <w:spacing w:before="40" w:after="40"/>
              <w:rPr>
                <w:sz w:val="20"/>
                <w:szCs w:val="20"/>
              </w:rPr>
            </w:pPr>
            <w:r w:rsidRPr="005B6CBE">
              <w:rPr>
                <w:sz w:val="20"/>
                <w:szCs w:val="20"/>
              </w:rPr>
              <w:t xml:space="preserve">Results of individual studies </w:t>
            </w:r>
          </w:p>
        </w:tc>
        <w:tc>
          <w:tcPr>
            <w:tcW w:w="479" w:type="dxa"/>
            <w:tcBorders>
              <w:top w:val="single" w:sz="5" w:space="0" w:color="000000"/>
              <w:left w:val="single" w:sz="5" w:space="0" w:color="000000"/>
              <w:bottom w:val="single" w:sz="5" w:space="0" w:color="000000"/>
              <w:right w:val="single" w:sz="5" w:space="0" w:color="000000"/>
            </w:tcBorders>
          </w:tcPr>
          <w:p w14:paraId="29A4F8E9" w14:textId="77777777" w:rsidR="004C47A7" w:rsidRPr="005B6CBE" w:rsidRDefault="004C47A7" w:rsidP="001C28C0">
            <w:pPr>
              <w:pStyle w:val="Default"/>
              <w:spacing w:before="40" w:after="40"/>
              <w:jc w:val="right"/>
              <w:rPr>
                <w:sz w:val="20"/>
                <w:szCs w:val="20"/>
              </w:rPr>
            </w:pPr>
            <w:r w:rsidRPr="005B6CBE">
              <w:rPr>
                <w:sz w:val="20"/>
                <w:szCs w:val="20"/>
              </w:rPr>
              <w:t>20</w:t>
            </w:r>
          </w:p>
        </w:tc>
        <w:tc>
          <w:tcPr>
            <w:tcW w:w="9408" w:type="dxa"/>
            <w:tcBorders>
              <w:top w:val="single" w:sz="5" w:space="0" w:color="000000"/>
              <w:left w:val="single" w:sz="5" w:space="0" w:color="000000"/>
              <w:bottom w:val="single" w:sz="5" w:space="0" w:color="000000"/>
              <w:right w:val="single" w:sz="5" w:space="0" w:color="000000"/>
            </w:tcBorders>
          </w:tcPr>
          <w:p w14:paraId="38EDD54B" w14:textId="77777777" w:rsidR="004C47A7" w:rsidRPr="005B6CBE" w:rsidRDefault="004C47A7" w:rsidP="001C28C0">
            <w:pPr>
              <w:pStyle w:val="Default"/>
              <w:spacing w:before="40" w:after="40"/>
              <w:rPr>
                <w:sz w:val="20"/>
                <w:szCs w:val="20"/>
              </w:rPr>
            </w:pPr>
            <w:r w:rsidRPr="005B6CBE">
              <w:rPr>
                <w:sz w:val="20"/>
                <w:szCs w:val="20"/>
              </w:rPr>
              <w:t xml:space="preserve">For all outcomes considered (benefits or harms), present, for each study: (a) simple summary data for each intervention group (b) effect estimates and confidence intervals, ideally with a forest plot. </w:t>
            </w:r>
          </w:p>
        </w:tc>
        <w:tc>
          <w:tcPr>
            <w:tcW w:w="1118" w:type="dxa"/>
            <w:tcBorders>
              <w:top w:val="single" w:sz="5" w:space="0" w:color="000000"/>
              <w:left w:val="single" w:sz="5" w:space="0" w:color="000000"/>
              <w:bottom w:val="single" w:sz="5" w:space="0" w:color="000000"/>
              <w:right w:val="single" w:sz="5" w:space="0" w:color="000000"/>
            </w:tcBorders>
          </w:tcPr>
          <w:p w14:paraId="171C5F23" w14:textId="7E81717E" w:rsidR="004C47A7" w:rsidRPr="005B6CBE" w:rsidRDefault="00556D65" w:rsidP="001C28C0">
            <w:pPr>
              <w:pStyle w:val="Default"/>
              <w:spacing w:before="40" w:after="40"/>
              <w:rPr>
                <w:color w:val="auto"/>
                <w:sz w:val="20"/>
                <w:szCs w:val="20"/>
              </w:rPr>
            </w:pPr>
            <w:r>
              <w:rPr>
                <w:color w:val="auto"/>
                <w:sz w:val="20"/>
                <w:szCs w:val="20"/>
              </w:rPr>
              <w:t>10, 11, 26, 27</w:t>
            </w:r>
          </w:p>
        </w:tc>
      </w:tr>
      <w:tr w:rsidR="004C47A7" w:rsidRPr="005B6CBE" w14:paraId="609CAF08" w14:textId="77777777" w:rsidTr="001C28C0">
        <w:trPr>
          <w:trHeight w:val="326"/>
        </w:trPr>
        <w:tc>
          <w:tcPr>
            <w:tcW w:w="2485" w:type="dxa"/>
            <w:tcBorders>
              <w:top w:val="single" w:sz="5" w:space="0" w:color="000000"/>
              <w:left w:val="single" w:sz="5" w:space="0" w:color="000000"/>
              <w:bottom w:val="single" w:sz="5" w:space="0" w:color="000000"/>
              <w:right w:val="single" w:sz="5" w:space="0" w:color="000000"/>
            </w:tcBorders>
          </w:tcPr>
          <w:p w14:paraId="14A9568F" w14:textId="77777777" w:rsidR="004C47A7" w:rsidRPr="005B6CBE" w:rsidRDefault="004C47A7" w:rsidP="001C28C0">
            <w:pPr>
              <w:pStyle w:val="Default"/>
              <w:spacing w:before="40" w:after="40"/>
              <w:rPr>
                <w:sz w:val="20"/>
                <w:szCs w:val="20"/>
              </w:rPr>
            </w:pPr>
            <w:r w:rsidRPr="005B6CBE">
              <w:rPr>
                <w:sz w:val="20"/>
                <w:szCs w:val="20"/>
              </w:rPr>
              <w:t xml:space="preserve">Synthesis of results </w:t>
            </w:r>
          </w:p>
        </w:tc>
        <w:tc>
          <w:tcPr>
            <w:tcW w:w="479" w:type="dxa"/>
            <w:tcBorders>
              <w:top w:val="single" w:sz="5" w:space="0" w:color="000000"/>
              <w:left w:val="single" w:sz="5" w:space="0" w:color="000000"/>
              <w:bottom w:val="single" w:sz="5" w:space="0" w:color="000000"/>
              <w:right w:val="single" w:sz="5" w:space="0" w:color="000000"/>
            </w:tcBorders>
          </w:tcPr>
          <w:p w14:paraId="3F6A7082" w14:textId="77777777" w:rsidR="004C47A7" w:rsidRPr="005B6CBE" w:rsidRDefault="004C47A7" w:rsidP="001C28C0">
            <w:pPr>
              <w:pStyle w:val="Default"/>
              <w:spacing w:before="40" w:after="40"/>
              <w:jc w:val="right"/>
              <w:rPr>
                <w:sz w:val="20"/>
                <w:szCs w:val="20"/>
              </w:rPr>
            </w:pPr>
            <w:r w:rsidRPr="005B6CBE">
              <w:rPr>
                <w:sz w:val="20"/>
                <w:szCs w:val="20"/>
              </w:rPr>
              <w:t>21</w:t>
            </w:r>
          </w:p>
        </w:tc>
        <w:tc>
          <w:tcPr>
            <w:tcW w:w="9408" w:type="dxa"/>
            <w:tcBorders>
              <w:top w:val="single" w:sz="5" w:space="0" w:color="000000"/>
              <w:left w:val="single" w:sz="5" w:space="0" w:color="000000"/>
              <w:bottom w:val="single" w:sz="5" w:space="0" w:color="000000"/>
              <w:right w:val="single" w:sz="5" w:space="0" w:color="000000"/>
            </w:tcBorders>
          </w:tcPr>
          <w:p w14:paraId="716B0CC8" w14:textId="77777777" w:rsidR="004C47A7" w:rsidRPr="005B6CBE" w:rsidRDefault="004C47A7" w:rsidP="001C28C0">
            <w:pPr>
              <w:pStyle w:val="Default"/>
              <w:spacing w:before="40" w:after="40"/>
              <w:rPr>
                <w:sz w:val="20"/>
                <w:szCs w:val="20"/>
              </w:rPr>
            </w:pPr>
            <w:r w:rsidRPr="005B6CBE">
              <w:rPr>
                <w:sz w:val="20"/>
                <w:szCs w:val="20"/>
              </w:rPr>
              <w:t xml:space="preserve">Present results of each meta-analysis done, including confidence intervals and measures of consistency. </w:t>
            </w:r>
          </w:p>
        </w:tc>
        <w:tc>
          <w:tcPr>
            <w:tcW w:w="1118" w:type="dxa"/>
            <w:tcBorders>
              <w:top w:val="single" w:sz="5" w:space="0" w:color="000000"/>
              <w:left w:val="single" w:sz="5" w:space="0" w:color="000000"/>
              <w:bottom w:val="single" w:sz="5" w:space="0" w:color="000000"/>
              <w:right w:val="single" w:sz="5" w:space="0" w:color="000000"/>
            </w:tcBorders>
          </w:tcPr>
          <w:p w14:paraId="32D64187" w14:textId="37B09372" w:rsidR="004C47A7" w:rsidRPr="005B6CBE" w:rsidRDefault="00556D65" w:rsidP="001C28C0">
            <w:pPr>
              <w:pStyle w:val="Default"/>
              <w:spacing w:before="40" w:after="40"/>
              <w:rPr>
                <w:color w:val="auto"/>
                <w:sz w:val="20"/>
                <w:szCs w:val="20"/>
              </w:rPr>
            </w:pPr>
            <w:r>
              <w:rPr>
                <w:color w:val="auto"/>
                <w:sz w:val="20"/>
                <w:szCs w:val="20"/>
              </w:rPr>
              <w:t>10, 11, 26, 27</w:t>
            </w:r>
          </w:p>
        </w:tc>
      </w:tr>
      <w:tr w:rsidR="004C47A7" w:rsidRPr="005B6CBE" w14:paraId="59C316AD" w14:textId="77777777" w:rsidTr="001C28C0">
        <w:trPr>
          <w:trHeight w:val="324"/>
        </w:trPr>
        <w:tc>
          <w:tcPr>
            <w:tcW w:w="2485" w:type="dxa"/>
            <w:tcBorders>
              <w:top w:val="single" w:sz="5" w:space="0" w:color="000000"/>
              <w:left w:val="single" w:sz="5" w:space="0" w:color="000000"/>
              <w:bottom w:val="single" w:sz="5" w:space="0" w:color="000000"/>
              <w:right w:val="single" w:sz="5" w:space="0" w:color="000000"/>
            </w:tcBorders>
          </w:tcPr>
          <w:p w14:paraId="75F3C1AF" w14:textId="77777777" w:rsidR="004C47A7" w:rsidRPr="005B6CBE" w:rsidRDefault="004C47A7" w:rsidP="001C28C0">
            <w:pPr>
              <w:pStyle w:val="Default"/>
              <w:spacing w:before="40" w:after="40"/>
              <w:rPr>
                <w:sz w:val="20"/>
                <w:szCs w:val="20"/>
              </w:rPr>
            </w:pPr>
            <w:r w:rsidRPr="005B6CBE">
              <w:rPr>
                <w:sz w:val="20"/>
                <w:szCs w:val="20"/>
              </w:rPr>
              <w:t xml:space="preserve">Risk of bias across studies </w:t>
            </w:r>
          </w:p>
        </w:tc>
        <w:tc>
          <w:tcPr>
            <w:tcW w:w="479" w:type="dxa"/>
            <w:tcBorders>
              <w:top w:val="single" w:sz="5" w:space="0" w:color="000000"/>
              <w:left w:val="single" w:sz="5" w:space="0" w:color="000000"/>
              <w:bottom w:val="single" w:sz="5" w:space="0" w:color="000000"/>
              <w:right w:val="single" w:sz="5" w:space="0" w:color="000000"/>
            </w:tcBorders>
          </w:tcPr>
          <w:p w14:paraId="235A597A" w14:textId="77777777" w:rsidR="004C47A7" w:rsidRPr="005B6CBE" w:rsidRDefault="004C47A7" w:rsidP="001C28C0">
            <w:pPr>
              <w:pStyle w:val="Default"/>
              <w:spacing w:before="40" w:after="40"/>
              <w:jc w:val="right"/>
              <w:rPr>
                <w:sz w:val="20"/>
                <w:szCs w:val="20"/>
              </w:rPr>
            </w:pPr>
            <w:r w:rsidRPr="005B6CBE">
              <w:rPr>
                <w:sz w:val="20"/>
                <w:szCs w:val="20"/>
              </w:rPr>
              <w:t>22</w:t>
            </w:r>
          </w:p>
        </w:tc>
        <w:tc>
          <w:tcPr>
            <w:tcW w:w="9408" w:type="dxa"/>
            <w:tcBorders>
              <w:top w:val="single" w:sz="5" w:space="0" w:color="000000"/>
              <w:left w:val="single" w:sz="5" w:space="0" w:color="000000"/>
              <w:bottom w:val="single" w:sz="5" w:space="0" w:color="000000"/>
              <w:right w:val="single" w:sz="5" w:space="0" w:color="000000"/>
            </w:tcBorders>
          </w:tcPr>
          <w:p w14:paraId="5C275D62" w14:textId="77777777" w:rsidR="004C47A7" w:rsidRPr="005B6CBE" w:rsidRDefault="004C47A7" w:rsidP="001C28C0">
            <w:pPr>
              <w:pStyle w:val="Default"/>
              <w:spacing w:before="40" w:after="40"/>
              <w:rPr>
                <w:sz w:val="20"/>
                <w:szCs w:val="20"/>
              </w:rPr>
            </w:pPr>
            <w:r w:rsidRPr="005B6CBE">
              <w:rPr>
                <w:sz w:val="20"/>
                <w:szCs w:val="20"/>
              </w:rPr>
              <w:t xml:space="preserve">Present results of any assessment of risk of bias across studies (see Item 15). </w:t>
            </w:r>
          </w:p>
        </w:tc>
        <w:tc>
          <w:tcPr>
            <w:tcW w:w="1118" w:type="dxa"/>
            <w:tcBorders>
              <w:top w:val="single" w:sz="5" w:space="0" w:color="000000"/>
              <w:left w:val="single" w:sz="5" w:space="0" w:color="000000"/>
              <w:bottom w:val="single" w:sz="5" w:space="0" w:color="000000"/>
              <w:right w:val="single" w:sz="5" w:space="0" w:color="000000"/>
            </w:tcBorders>
          </w:tcPr>
          <w:p w14:paraId="6D365E0D" w14:textId="58B53D94" w:rsidR="004C47A7" w:rsidRPr="005B6CBE" w:rsidRDefault="00556D65" w:rsidP="001C28C0">
            <w:pPr>
              <w:pStyle w:val="Default"/>
              <w:spacing w:before="40" w:after="40"/>
              <w:rPr>
                <w:color w:val="auto"/>
                <w:sz w:val="20"/>
                <w:szCs w:val="20"/>
              </w:rPr>
            </w:pPr>
            <w:r>
              <w:rPr>
                <w:color w:val="auto"/>
                <w:sz w:val="20"/>
                <w:szCs w:val="20"/>
              </w:rPr>
              <w:t>10, 25</w:t>
            </w:r>
          </w:p>
        </w:tc>
      </w:tr>
      <w:tr w:rsidR="004C47A7" w:rsidRPr="005B6CBE" w14:paraId="66031497" w14:textId="77777777" w:rsidTr="001C28C0">
        <w:trPr>
          <w:trHeight w:val="382"/>
        </w:trPr>
        <w:tc>
          <w:tcPr>
            <w:tcW w:w="2485" w:type="dxa"/>
            <w:tcBorders>
              <w:top w:val="single" w:sz="5" w:space="0" w:color="000000"/>
              <w:left w:val="single" w:sz="5" w:space="0" w:color="000000"/>
              <w:bottom w:val="double" w:sz="2" w:space="0" w:color="FFFFCC"/>
              <w:right w:val="single" w:sz="5" w:space="0" w:color="000000"/>
            </w:tcBorders>
          </w:tcPr>
          <w:p w14:paraId="2C49D1BA" w14:textId="77777777" w:rsidR="004C47A7" w:rsidRPr="005B6CBE" w:rsidRDefault="004C47A7" w:rsidP="001C28C0">
            <w:pPr>
              <w:pStyle w:val="Default"/>
              <w:spacing w:before="40" w:after="40"/>
              <w:rPr>
                <w:sz w:val="20"/>
                <w:szCs w:val="20"/>
              </w:rPr>
            </w:pPr>
            <w:r w:rsidRPr="005B6CBE">
              <w:rPr>
                <w:sz w:val="20"/>
                <w:szCs w:val="20"/>
              </w:rPr>
              <w:t xml:space="preserve">Additional analysis </w:t>
            </w:r>
          </w:p>
        </w:tc>
        <w:tc>
          <w:tcPr>
            <w:tcW w:w="479" w:type="dxa"/>
            <w:tcBorders>
              <w:top w:val="single" w:sz="5" w:space="0" w:color="000000"/>
              <w:left w:val="single" w:sz="5" w:space="0" w:color="000000"/>
              <w:bottom w:val="double" w:sz="2" w:space="0" w:color="FFFFCC"/>
              <w:right w:val="single" w:sz="5" w:space="0" w:color="000000"/>
            </w:tcBorders>
          </w:tcPr>
          <w:p w14:paraId="26FF8F1C" w14:textId="77777777" w:rsidR="004C47A7" w:rsidRPr="005B6CBE" w:rsidRDefault="004C47A7" w:rsidP="001C28C0">
            <w:pPr>
              <w:pStyle w:val="Default"/>
              <w:spacing w:before="40" w:after="40"/>
              <w:jc w:val="right"/>
              <w:rPr>
                <w:sz w:val="20"/>
                <w:szCs w:val="20"/>
              </w:rPr>
            </w:pPr>
            <w:r w:rsidRPr="005B6CBE">
              <w:rPr>
                <w:sz w:val="20"/>
                <w:szCs w:val="20"/>
              </w:rPr>
              <w:t>23</w:t>
            </w:r>
          </w:p>
        </w:tc>
        <w:tc>
          <w:tcPr>
            <w:tcW w:w="9408" w:type="dxa"/>
            <w:tcBorders>
              <w:top w:val="single" w:sz="5" w:space="0" w:color="000000"/>
              <w:left w:val="single" w:sz="5" w:space="0" w:color="000000"/>
              <w:bottom w:val="double" w:sz="5" w:space="0" w:color="000000"/>
              <w:right w:val="single" w:sz="5" w:space="0" w:color="000000"/>
            </w:tcBorders>
          </w:tcPr>
          <w:p w14:paraId="3521E40A" w14:textId="77777777" w:rsidR="004C47A7" w:rsidRPr="005B6CBE" w:rsidRDefault="004C47A7" w:rsidP="001C28C0">
            <w:pPr>
              <w:pStyle w:val="Default"/>
              <w:spacing w:before="40" w:after="40"/>
              <w:rPr>
                <w:sz w:val="20"/>
                <w:szCs w:val="20"/>
              </w:rPr>
            </w:pPr>
            <w:r w:rsidRPr="005B6CBE">
              <w:rPr>
                <w:sz w:val="20"/>
                <w:szCs w:val="20"/>
              </w:rPr>
              <w:t xml:space="preserve">Give results of additional analyses, if done (e.g., sensitivity or subgroup analyses, meta-regression [see Item 16]). </w:t>
            </w:r>
          </w:p>
        </w:tc>
        <w:tc>
          <w:tcPr>
            <w:tcW w:w="1118" w:type="dxa"/>
            <w:tcBorders>
              <w:top w:val="single" w:sz="5" w:space="0" w:color="000000"/>
              <w:left w:val="single" w:sz="5" w:space="0" w:color="000000"/>
              <w:bottom w:val="double" w:sz="5" w:space="0" w:color="000000"/>
              <w:right w:val="single" w:sz="5" w:space="0" w:color="000000"/>
            </w:tcBorders>
          </w:tcPr>
          <w:p w14:paraId="70361651" w14:textId="3B216783" w:rsidR="004C47A7" w:rsidRPr="005B6CBE" w:rsidRDefault="00556D65" w:rsidP="001C28C0">
            <w:pPr>
              <w:pStyle w:val="Default"/>
              <w:spacing w:before="40" w:after="40"/>
              <w:rPr>
                <w:color w:val="auto"/>
                <w:sz w:val="20"/>
                <w:szCs w:val="20"/>
              </w:rPr>
            </w:pPr>
            <w:r>
              <w:rPr>
                <w:color w:val="auto"/>
                <w:sz w:val="20"/>
                <w:szCs w:val="20"/>
              </w:rPr>
              <w:t>11 [Supplementary File]</w:t>
            </w:r>
          </w:p>
        </w:tc>
      </w:tr>
      <w:tr w:rsidR="004C47A7" w:rsidRPr="005B6CBE" w14:paraId="3A9D925B" w14:textId="77777777" w:rsidTr="001C28C0">
        <w:trPr>
          <w:trHeight w:val="326"/>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39C5BD" w14:textId="77777777" w:rsidR="004C47A7" w:rsidRPr="005B6CBE" w:rsidRDefault="004C47A7" w:rsidP="001C28C0">
            <w:pPr>
              <w:pStyle w:val="Default"/>
              <w:rPr>
                <w:sz w:val="20"/>
                <w:szCs w:val="20"/>
              </w:rPr>
            </w:pPr>
            <w:r w:rsidRPr="005B6CBE">
              <w:rPr>
                <w:b/>
                <w:bCs/>
                <w:sz w:val="20"/>
                <w:szCs w:val="20"/>
              </w:rPr>
              <w:t xml:space="preserve">DISCUSSION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0663B82F" w14:textId="77777777" w:rsidR="004C47A7" w:rsidRPr="005B6CBE" w:rsidRDefault="004C47A7" w:rsidP="001C28C0">
            <w:pPr>
              <w:pStyle w:val="Default"/>
              <w:jc w:val="center"/>
              <w:rPr>
                <w:color w:val="auto"/>
                <w:sz w:val="20"/>
                <w:szCs w:val="20"/>
              </w:rPr>
            </w:pPr>
          </w:p>
        </w:tc>
      </w:tr>
      <w:tr w:rsidR="004C47A7" w:rsidRPr="005B6CBE" w14:paraId="26473EC8" w14:textId="77777777" w:rsidTr="001C28C0">
        <w:trPr>
          <w:trHeight w:val="562"/>
        </w:trPr>
        <w:tc>
          <w:tcPr>
            <w:tcW w:w="2485" w:type="dxa"/>
            <w:tcBorders>
              <w:top w:val="single" w:sz="5" w:space="0" w:color="000000"/>
              <w:left w:val="single" w:sz="5" w:space="0" w:color="000000"/>
              <w:bottom w:val="single" w:sz="5" w:space="0" w:color="000000"/>
              <w:right w:val="single" w:sz="5" w:space="0" w:color="000000"/>
            </w:tcBorders>
          </w:tcPr>
          <w:p w14:paraId="4A047823" w14:textId="77777777" w:rsidR="004C47A7" w:rsidRPr="005B6CBE" w:rsidRDefault="004C47A7" w:rsidP="001C28C0">
            <w:pPr>
              <w:pStyle w:val="Default"/>
              <w:spacing w:before="40" w:after="40"/>
              <w:rPr>
                <w:sz w:val="20"/>
                <w:szCs w:val="20"/>
              </w:rPr>
            </w:pPr>
            <w:r w:rsidRPr="005B6CBE">
              <w:rPr>
                <w:sz w:val="20"/>
                <w:szCs w:val="20"/>
              </w:rPr>
              <w:t xml:space="preserve">Summary of evidence </w:t>
            </w:r>
          </w:p>
        </w:tc>
        <w:tc>
          <w:tcPr>
            <w:tcW w:w="479" w:type="dxa"/>
            <w:tcBorders>
              <w:top w:val="single" w:sz="5" w:space="0" w:color="000000"/>
              <w:left w:val="single" w:sz="5" w:space="0" w:color="000000"/>
              <w:bottom w:val="single" w:sz="5" w:space="0" w:color="000000"/>
              <w:right w:val="single" w:sz="5" w:space="0" w:color="000000"/>
            </w:tcBorders>
          </w:tcPr>
          <w:p w14:paraId="2881B0B5" w14:textId="77777777" w:rsidR="004C47A7" w:rsidRPr="005B6CBE" w:rsidRDefault="004C47A7" w:rsidP="001C28C0">
            <w:pPr>
              <w:pStyle w:val="Default"/>
              <w:spacing w:before="40" w:after="40"/>
              <w:jc w:val="right"/>
              <w:rPr>
                <w:sz w:val="20"/>
                <w:szCs w:val="20"/>
              </w:rPr>
            </w:pPr>
            <w:r w:rsidRPr="005B6CBE">
              <w:rPr>
                <w:sz w:val="20"/>
                <w:szCs w:val="20"/>
              </w:rPr>
              <w:t>24</w:t>
            </w:r>
          </w:p>
        </w:tc>
        <w:tc>
          <w:tcPr>
            <w:tcW w:w="9408" w:type="dxa"/>
            <w:tcBorders>
              <w:top w:val="single" w:sz="5" w:space="0" w:color="000000"/>
              <w:left w:val="single" w:sz="5" w:space="0" w:color="000000"/>
              <w:bottom w:val="single" w:sz="5" w:space="0" w:color="000000"/>
              <w:right w:val="single" w:sz="5" w:space="0" w:color="000000"/>
            </w:tcBorders>
          </w:tcPr>
          <w:p w14:paraId="1264C901" w14:textId="77777777" w:rsidR="004C47A7" w:rsidRPr="005B6CBE" w:rsidRDefault="004C47A7" w:rsidP="001C28C0">
            <w:pPr>
              <w:pStyle w:val="Default"/>
              <w:spacing w:before="40" w:after="40"/>
              <w:rPr>
                <w:sz w:val="20"/>
                <w:szCs w:val="20"/>
              </w:rPr>
            </w:pPr>
            <w:r w:rsidRPr="005B6CBE">
              <w:rPr>
                <w:sz w:val="20"/>
                <w:szCs w:val="20"/>
              </w:rPr>
              <w:t xml:space="preserve">Summarize the main findings including the strength of evidence for each main outcome; consider their relevance to key groups (e.g., healthcare providers, users, and policy makers). </w:t>
            </w:r>
          </w:p>
        </w:tc>
        <w:tc>
          <w:tcPr>
            <w:tcW w:w="1118" w:type="dxa"/>
            <w:tcBorders>
              <w:top w:val="single" w:sz="5" w:space="0" w:color="000000"/>
              <w:left w:val="single" w:sz="5" w:space="0" w:color="000000"/>
              <w:bottom w:val="single" w:sz="5" w:space="0" w:color="000000"/>
              <w:right w:val="single" w:sz="5" w:space="0" w:color="000000"/>
            </w:tcBorders>
          </w:tcPr>
          <w:p w14:paraId="3F7FD626" w14:textId="01E927B4" w:rsidR="004C47A7" w:rsidRPr="005B6CBE" w:rsidRDefault="00556D65" w:rsidP="001C28C0">
            <w:pPr>
              <w:pStyle w:val="Default"/>
              <w:spacing w:before="40" w:after="40"/>
              <w:rPr>
                <w:color w:val="auto"/>
                <w:sz w:val="20"/>
                <w:szCs w:val="20"/>
              </w:rPr>
            </w:pPr>
            <w:r>
              <w:rPr>
                <w:color w:val="auto"/>
                <w:sz w:val="20"/>
                <w:szCs w:val="20"/>
              </w:rPr>
              <w:t>11, 12, 13</w:t>
            </w:r>
          </w:p>
        </w:tc>
      </w:tr>
      <w:tr w:rsidR="004C47A7" w:rsidRPr="005B6CBE" w14:paraId="18AA6954" w14:textId="77777777" w:rsidTr="001C28C0">
        <w:trPr>
          <w:trHeight w:val="562"/>
        </w:trPr>
        <w:tc>
          <w:tcPr>
            <w:tcW w:w="2485" w:type="dxa"/>
            <w:tcBorders>
              <w:top w:val="single" w:sz="5" w:space="0" w:color="000000"/>
              <w:left w:val="single" w:sz="5" w:space="0" w:color="000000"/>
              <w:bottom w:val="single" w:sz="5" w:space="0" w:color="000000"/>
              <w:right w:val="single" w:sz="5" w:space="0" w:color="000000"/>
            </w:tcBorders>
          </w:tcPr>
          <w:p w14:paraId="1640435E" w14:textId="77777777" w:rsidR="004C47A7" w:rsidRPr="005B6CBE" w:rsidRDefault="004C47A7" w:rsidP="001C28C0">
            <w:pPr>
              <w:pStyle w:val="Default"/>
              <w:spacing w:before="40" w:after="40"/>
              <w:rPr>
                <w:sz w:val="20"/>
                <w:szCs w:val="20"/>
              </w:rPr>
            </w:pPr>
            <w:r w:rsidRPr="005B6CBE">
              <w:rPr>
                <w:sz w:val="20"/>
                <w:szCs w:val="20"/>
              </w:rPr>
              <w:t xml:space="preserve">Limitations </w:t>
            </w:r>
          </w:p>
        </w:tc>
        <w:tc>
          <w:tcPr>
            <w:tcW w:w="479" w:type="dxa"/>
            <w:tcBorders>
              <w:top w:val="single" w:sz="5" w:space="0" w:color="000000"/>
              <w:left w:val="single" w:sz="5" w:space="0" w:color="000000"/>
              <w:bottom w:val="single" w:sz="5" w:space="0" w:color="000000"/>
              <w:right w:val="single" w:sz="5" w:space="0" w:color="000000"/>
            </w:tcBorders>
          </w:tcPr>
          <w:p w14:paraId="3A653647" w14:textId="77777777" w:rsidR="004C47A7" w:rsidRPr="005B6CBE" w:rsidRDefault="004C47A7" w:rsidP="001C28C0">
            <w:pPr>
              <w:pStyle w:val="Default"/>
              <w:spacing w:before="40" w:after="40"/>
              <w:jc w:val="right"/>
              <w:rPr>
                <w:sz w:val="20"/>
                <w:szCs w:val="20"/>
              </w:rPr>
            </w:pPr>
            <w:r w:rsidRPr="005B6CBE">
              <w:rPr>
                <w:sz w:val="20"/>
                <w:szCs w:val="20"/>
              </w:rPr>
              <w:t>25</w:t>
            </w:r>
          </w:p>
        </w:tc>
        <w:tc>
          <w:tcPr>
            <w:tcW w:w="9408" w:type="dxa"/>
            <w:tcBorders>
              <w:top w:val="single" w:sz="5" w:space="0" w:color="000000"/>
              <w:left w:val="single" w:sz="5" w:space="0" w:color="000000"/>
              <w:bottom w:val="single" w:sz="5" w:space="0" w:color="000000"/>
              <w:right w:val="single" w:sz="5" w:space="0" w:color="000000"/>
            </w:tcBorders>
          </w:tcPr>
          <w:p w14:paraId="57E0266C" w14:textId="77777777" w:rsidR="004C47A7" w:rsidRPr="005B6CBE" w:rsidRDefault="004C47A7" w:rsidP="001C28C0">
            <w:pPr>
              <w:pStyle w:val="Default"/>
              <w:spacing w:before="40" w:after="40"/>
              <w:rPr>
                <w:sz w:val="20"/>
                <w:szCs w:val="20"/>
              </w:rPr>
            </w:pPr>
            <w:r w:rsidRPr="005B6CBE">
              <w:rPr>
                <w:sz w:val="20"/>
                <w:szCs w:val="20"/>
              </w:rPr>
              <w:t xml:space="preserve">Discuss limitations at study and outcome level (e.g., risk of bias), and at review-level (e.g., incomplete retrieval of identified research, reporting bias). </w:t>
            </w:r>
          </w:p>
        </w:tc>
        <w:tc>
          <w:tcPr>
            <w:tcW w:w="1118" w:type="dxa"/>
            <w:tcBorders>
              <w:top w:val="single" w:sz="5" w:space="0" w:color="000000"/>
              <w:left w:val="single" w:sz="5" w:space="0" w:color="000000"/>
              <w:bottom w:val="single" w:sz="5" w:space="0" w:color="000000"/>
              <w:right w:val="single" w:sz="5" w:space="0" w:color="000000"/>
            </w:tcBorders>
          </w:tcPr>
          <w:p w14:paraId="4D2ED4E6" w14:textId="3AF46D9D" w:rsidR="004C47A7" w:rsidRPr="005B6CBE" w:rsidRDefault="00556D65" w:rsidP="001C28C0">
            <w:pPr>
              <w:pStyle w:val="Default"/>
              <w:spacing w:before="40" w:after="40"/>
              <w:rPr>
                <w:color w:val="auto"/>
                <w:sz w:val="20"/>
                <w:szCs w:val="20"/>
              </w:rPr>
            </w:pPr>
            <w:r>
              <w:rPr>
                <w:color w:val="auto"/>
                <w:sz w:val="20"/>
                <w:szCs w:val="20"/>
              </w:rPr>
              <w:t>12</w:t>
            </w:r>
          </w:p>
        </w:tc>
      </w:tr>
      <w:tr w:rsidR="004C47A7" w:rsidRPr="005B6CBE" w14:paraId="33AAB4B3" w14:textId="77777777" w:rsidTr="001C28C0">
        <w:trPr>
          <w:trHeight w:val="409"/>
        </w:trPr>
        <w:tc>
          <w:tcPr>
            <w:tcW w:w="2485" w:type="dxa"/>
            <w:tcBorders>
              <w:top w:val="single" w:sz="5" w:space="0" w:color="000000"/>
              <w:left w:val="single" w:sz="5" w:space="0" w:color="000000"/>
              <w:bottom w:val="double" w:sz="2" w:space="0" w:color="FFFFCC"/>
              <w:right w:val="single" w:sz="5" w:space="0" w:color="000000"/>
            </w:tcBorders>
          </w:tcPr>
          <w:p w14:paraId="5C9772F6" w14:textId="77777777" w:rsidR="004C47A7" w:rsidRPr="005B6CBE" w:rsidRDefault="004C47A7" w:rsidP="001C28C0">
            <w:pPr>
              <w:pStyle w:val="Default"/>
              <w:spacing w:before="40" w:after="40"/>
              <w:rPr>
                <w:sz w:val="20"/>
                <w:szCs w:val="20"/>
              </w:rPr>
            </w:pPr>
            <w:r w:rsidRPr="005B6CBE">
              <w:rPr>
                <w:sz w:val="20"/>
                <w:szCs w:val="20"/>
              </w:rPr>
              <w:t xml:space="preserve">Conclusions </w:t>
            </w:r>
          </w:p>
        </w:tc>
        <w:tc>
          <w:tcPr>
            <w:tcW w:w="479" w:type="dxa"/>
            <w:tcBorders>
              <w:top w:val="single" w:sz="5" w:space="0" w:color="000000"/>
              <w:left w:val="single" w:sz="5" w:space="0" w:color="000000"/>
              <w:bottom w:val="double" w:sz="2" w:space="0" w:color="FFFFCC"/>
              <w:right w:val="single" w:sz="5" w:space="0" w:color="000000"/>
            </w:tcBorders>
          </w:tcPr>
          <w:p w14:paraId="39223117" w14:textId="77777777" w:rsidR="004C47A7" w:rsidRPr="005B6CBE" w:rsidRDefault="004C47A7" w:rsidP="001C28C0">
            <w:pPr>
              <w:pStyle w:val="Default"/>
              <w:spacing w:before="40" w:after="40"/>
              <w:jc w:val="right"/>
              <w:rPr>
                <w:sz w:val="20"/>
                <w:szCs w:val="20"/>
              </w:rPr>
            </w:pPr>
            <w:r w:rsidRPr="005B6CBE">
              <w:rPr>
                <w:sz w:val="20"/>
                <w:szCs w:val="20"/>
              </w:rPr>
              <w:t>26</w:t>
            </w:r>
          </w:p>
        </w:tc>
        <w:tc>
          <w:tcPr>
            <w:tcW w:w="9408" w:type="dxa"/>
            <w:tcBorders>
              <w:top w:val="single" w:sz="5" w:space="0" w:color="000000"/>
              <w:left w:val="single" w:sz="5" w:space="0" w:color="000000"/>
              <w:bottom w:val="double" w:sz="5" w:space="0" w:color="000000"/>
              <w:right w:val="single" w:sz="5" w:space="0" w:color="000000"/>
            </w:tcBorders>
          </w:tcPr>
          <w:p w14:paraId="6FC22482" w14:textId="77777777" w:rsidR="004C47A7" w:rsidRPr="005B6CBE" w:rsidRDefault="004C47A7" w:rsidP="001C28C0">
            <w:pPr>
              <w:pStyle w:val="Default"/>
              <w:spacing w:before="40" w:after="40"/>
              <w:rPr>
                <w:sz w:val="20"/>
                <w:szCs w:val="20"/>
              </w:rPr>
            </w:pPr>
            <w:r w:rsidRPr="005B6CBE">
              <w:rPr>
                <w:sz w:val="20"/>
                <w:szCs w:val="20"/>
              </w:rPr>
              <w:t xml:space="preserve">Provide a general interpretation of the results in the context of other evidence, and implications for future research. </w:t>
            </w:r>
          </w:p>
        </w:tc>
        <w:tc>
          <w:tcPr>
            <w:tcW w:w="1118" w:type="dxa"/>
            <w:tcBorders>
              <w:top w:val="single" w:sz="5" w:space="0" w:color="000000"/>
              <w:left w:val="single" w:sz="5" w:space="0" w:color="000000"/>
              <w:bottom w:val="double" w:sz="5" w:space="0" w:color="000000"/>
              <w:right w:val="single" w:sz="5" w:space="0" w:color="000000"/>
            </w:tcBorders>
          </w:tcPr>
          <w:p w14:paraId="05FF7150" w14:textId="032C8422" w:rsidR="004C47A7" w:rsidRPr="005B6CBE" w:rsidRDefault="00556D65" w:rsidP="001C28C0">
            <w:pPr>
              <w:pStyle w:val="Default"/>
              <w:spacing w:before="40" w:after="40"/>
              <w:rPr>
                <w:color w:val="auto"/>
                <w:sz w:val="20"/>
                <w:szCs w:val="20"/>
              </w:rPr>
            </w:pPr>
            <w:r>
              <w:rPr>
                <w:color w:val="auto"/>
                <w:sz w:val="20"/>
                <w:szCs w:val="20"/>
              </w:rPr>
              <w:t>14</w:t>
            </w:r>
          </w:p>
        </w:tc>
      </w:tr>
      <w:tr w:rsidR="004C47A7" w:rsidRPr="005B6CBE" w14:paraId="6827C75E" w14:textId="77777777" w:rsidTr="001C28C0">
        <w:trPr>
          <w:trHeight w:val="324"/>
        </w:trPr>
        <w:tc>
          <w:tcPr>
            <w:tcW w:w="1237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E2F811" w14:textId="77777777" w:rsidR="004C47A7" w:rsidRPr="005B6CBE" w:rsidRDefault="004C47A7" w:rsidP="001C28C0">
            <w:pPr>
              <w:pStyle w:val="Default"/>
              <w:rPr>
                <w:sz w:val="20"/>
                <w:szCs w:val="20"/>
              </w:rPr>
            </w:pPr>
            <w:r w:rsidRPr="005B6CBE">
              <w:rPr>
                <w:b/>
                <w:bCs/>
                <w:sz w:val="20"/>
                <w:szCs w:val="20"/>
              </w:rPr>
              <w:t xml:space="preserve">FUNDING </w:t>
            </w:r>
          </w:p>
        </w:tc>
        <w:tc>
          <w:tcPr>
            <w:tcW w:w="1118" w:type="dxa"/>
            <w:tcBorders>
              <w:top w:val="double" w:sz="5" w:space="0" w:color="000000"/>
              <w:left w:val="single" w:sz="5" w:space="0" w:color="000000"/>
              <w:bottom w:val="single" w:sz="5" w:space="0" w:color="000000"/>
              <w:right w:val="single" w:sz="5" w:space="0" w:color="000000"/>
            </w:tcBorders>
            <w:shd w:val="clear" w:color="auto" w:fill="FFFFCC"/>
          </w:tcPr>
          <w:p w14:paraId="3C537121" w14:textId="77777777" w:rsidR="004C47A7" w:rsidRPr="005B6CBE" w:rsidRDefault="004C47A7" w:rsidP="001C28C0">
            <w:pPr>
              <w:pStyle w:val="Default"/>
              <w:jc w:val="center"/>
              <w:rPr>
                <w:color w:val="auto"/>
                <w:sz w:val="20"/>
                <w:szCs w:val="20"/>
              </w:rPr>
            </w:pPr>
          </w:p>
        </w:tc>
      </w:tr>
      <w:tr w:rsidR="004C47A7" w:rsidRPr="005B6CBE" w14:paraId="5C807C11" w14:textId="77777777" w:rsidTr="001C28C0">
        <w:trPr>
          <w:trHeight w:val="555"/>
        </w:trPr>
        <w:tc>
          <w:tcPr>
            <w:tcW w:w="2485" w:type="dxa"/>
            <w:tcBorders>
              <w:top w:val="single" w:sz="5" w:space="0" w:color="000000"/>
              <w:left w:val="single" w:sz="5" w:space="0" w:color="000000"/>
              <w:bottom w:val="double" w:sz="5" w:space="0" w:color="000000"/>
              <w:right w:val="single" w:sz="5" w:space="0" w:color="000000"/>
            </w:tcBorders>
          </w:tcPr>
          <w:p w14:paraId="59184CD2" w14:textId="77777777" w:rsidR="004C47A7" w:rsidRPr="005B6CBE" w:rsidRDefault="004C47A7" w:rsidP="001C28C0">
            <w:pPr>
              <w:pStyle w:val="Default"/>
              <w:spacing w:before="40" w:after="40"/>
              <w:rPr>
                <w:sz w:val="20"/>
                <w:szCs w:val="20"/>
              </w:rPr>
            </w:pPr>
            <w:r w:rsidRPr="005B6CBE">
              <w:rPr>
                <w:sz w:val="20"/>
                <w:szCs w:val="20"/>
              </w:rPr>
              <w:t xml:space="preserve">Funding </w:t>
            </w:r>
          </w:p>
        </w:tc>
        <w:tc>
          <w:tcPr>
            <w:tcW w:w="479" w:type="dxa"/>
            <w:tcBorders>
              <w:top w:val="single" w:sz="5" w:space="0" w:color="000000"/>
              <w:left w:val="single" w:sz="5" w:space="0" w:color="000000"/>
              <w:bottom w:val="double" w:sz="5" w:space="0" w:color="000000"/>
              <w:right w:val="single" w:sz="5" w:space="0" w:color="000000"/>
            </w:tcBorders>
          </w:tcPr>
          <w:p w14:paraId="1447EECE" w14:textId="77777777" w:rsidR="004C47A7" w:rsidRPr="005B6CBE" w:rsidRDefault="004C47A7" w:rsidP="001C28C0">
            <w:pPr>
              <w:pStyle w:val="Default"/>
              <w:spacing w:before="40" w:after="40"/>
              <w:jc w:val="right"/>
              <w:rPr>
                <w:sz w:val="20"/>
                <w:szCs w:val="20"/>
              </w:rPr>
            </w:pPr>
            <w:r w:rsidRPr="005B6CBE">
              <w:rPr>
                <w:sz w:val="20"/>
                <w:szCs w:val="20"/>
              </w:rPr>
              <w:t>27</w:t>
            </w:r>
          </w:p>
        </w:tc>
        <w:tc>
          <w:tcPr>
            <w:tcW w:w="9408" w:type="dxa"/>
            <w:tcBorders>
              <w:top w:val="single" w:sz="5" w:space="0" w:color="000000"/>
              <w:left w:val="single" w:sz="5" w:space="0" w:color="000000"/>
              <w:bottom w:val="double" w:sz="5" w:space="0" w:color="000000"/>
              <w:right w:val="single" w:sz="5" w:space="0" w:color="000000"/>
            </w:tcBorders>
          </w:tcPr>
          <w:p w14:paraId="26A11880" w14:textId="77777777" w:rsidR="004C47A7" w:rsidRPr="005B6CBE" w:rsidRDefault="004C47A7" w:rsidP="001C28C0">
            <w:pPr>
              <w:pStyle w:val="Default"/>
              <w:spacing w:before="40" w:after="40"/>
              <w:rPr>
                <w:sz w:val="20"/>
                <w:szCs w:val="20"/>
              </w:rPr>
            </w:pPr>
            <w:r w:rsidRPr="005B6CBE">
              <w:rPr>
                <w:sz w:val="20"/>
                <w:szCs w:val="20"/>
              </w:rPr>
              <w:t xml:space="preserve">Describe sources of funding for the systematic review and other support (e.g., supply of data); role of funders for the systematic review. </w:t>
            </w:r>
          </w:p>
        </w:tc>
        <w:tc>
          <w:tcPr>
            <w:tcW w:w="1118" w:type="dxa"/>
            <w:tcBorders>
              <w:top w:val="single" w:sz="5" w:space="0" w:color="000000"/>
              <w:left w:val="single" w:sz="5" w:space="0" w:color="000000"/>
              <w:bottom w:val="double" w:sz="5" w:space="0" w:color="000000"/>
              <w:right w:val="single" w:sz="5" w:space="0" w:color="000000"/>
            </w:tcBorders>
          </w:tcPr>
          <w:p w14:paraId="0D359ACE" w14:textId="3A4A4A0A" w:rsidR="004C47A7" w:rsidRPr="005B6CBE" w:rsidRDefault="00556D65" w:rsidP="001C28C0">
            <w:pPr>
              <w:pStyle w:val="Default"/>
              <w:spacing w:before="40" w:after="40"/>
              <w:rPr>
                <w:color w:val="auto"/>
                <w:sz w:val="20"/>
                <w:szCs w:val="20"/>
              </w:rPr>
            </w:pPr>
            <w:r>
              <w:rPr>
                <w:color w:val="auto"/>
                <w:sz w:val="20"/>
                <w:szCs w:val="20"/>
              </w:rPr>
              <w:t>1</w:t>
            </w:r>
          </w:p>
        </w:tc>
      </w:tr>
    </w:tbl>
    <w:p w14:paraId="482490F6" w14:textId="77777777" w:rsidR="004C47A7" w:rsidRPr="005B6CBE" w:rsidRDefault="004C47A7" w:rsidP="004C47A7">
      <w:pPr>
        <w:pStyle w:val="Default"/>
        <w:rPr>
          <w:color w:val="auto"/>
          <w:sz w:val="20"/>
          <w:szCs w:val="20"/>
        </w:rPr>
      </w:pPr>
    </w:p>
    <w:p w14:paraId="3DD9FFB7" w14:textId="77777777" w:rsidR="004C47A7" w:rsidRPr="005B6CBE" w:rsidRDefault="004C47A7" w:rsidP="004C47A7">
      <w:pPr>
        <w:pStyle w:val="Default"/>
        <w:spacing w:line="183" w:lineRule="atLeast"/>
        <w:jc w:val="both"/>
        <w:rPr>
          <w:color w:val="auto"/>
          <w:sz w:val="20"/>
          <w:szCs w:val="20"/>
          <w:lang w:val="da-DK"/>
        </w:rPr>
      </w:pPr>
      <w:r w:rsidRPr="005B6CBE">
        <w:rPr>
          <w:i/>
          <w:iCs/>
          <w:color w:val="auto"/>
          <w:sz w:val="20"/>
          <w:szCs w:val="20"/>
        </w:rPr>
        <w:t xml:space="preserve">From: </w:t>
      </w:r>
      <w:r w:rsidRPr="005B6CBE">
        <w:rPr>
          <w:color w:val="auto"/>
          <w:sz w:val="20"/>
          <w:szCs w:val="20"/>
        </w:rPr>
        <w:t xml:space="preserve"> Moher D, Liberati A, Tetzlaff J, Altman DG, The PRISMA Group (2009). Preferred Reporting Items for Systematic Reviews and Meta-Analyses: The PRISMA Statement. </w:t>
      </w:r>
      <w:r w:rsidRPr="005B6CBE">
        <w:rPr>
          <w:color w:val="auto"/>
          <w:sz w:val="20"/>
          <w:szCs w:val="20"/>
          <w:lang w:val="da-DK"/>
        </w:rPr>
        <w:t xml:space="preserve">PLoS Med 6(7): e1000097. doi:10.1371/journal.pmed1000097 </w:t>
      </w:r>
    </w:p>
    <w:p w14:paraId="6F33DADB" w14:textId="77777777" w:rsidR="004C47A7" w:rsidRPr="005B6CBE" w:rsidRDefault="004C47A7" w:rsidP="004C47A7">
      <w:pPr>
        <w:pStyle w:val="CM1"/>
        <w:spacing w:after="130"/>
        <w:jc w:val="center"/>
        <w:rPr>
          <w:rFonts w:ascii="Arial" w:hAnsi="Arial" w:cs="Arial"/>
          <w:color w:val="000000"/>
          <w:sz w:val="20"/>
          <w:szCs w:val="20"/>
          <w:lang w:val="da-DK"/>
        </w:rPr>
      </w:pPr>
      <w:r w:rsidRPr="005B6CBE">
        <w:rPr>
          <w:rFonts w:ascii="Arial" w:hAnsi="Arial" w:cs="Arial"/>
          <w:color w:val="333399"/>
          <w:sz w:val="20"/>
          <w:szCs w:val="20"/>
        </w:rPr>
        <w:t>For more information, visit:</w:t>
      </w:r>
      <w:r w:rsidRPr="005B6CBE">
        <w:rPr>
          <w:rFonts w:ascii="Arial" w:hAnsi="Arial" w:cs="Arial"/>
          <w:color w:val="000000"/>
          <w:sz w:val="20"/>
          <w:szCs w:val="20"/>
          <w:lang w:val="da-DK"/>
        </w:rPr>
        <w:t xml:space="preserve"> </w:t>
      </w:r>
      <w:r w:rsidRPr="005B6CBE">
        <w:rPr>
          <w:rFonts w:ascii="Arial" w:hAnsi="Arial" w:cs="Arial"/>
          <w:b/>
          <w:bCs/>
          <w:color w:val="0063FF"/>
          <w:sz w:val="20"/>
          <w:szCs w:val="20"/>
          <w:u w:val="single"/>
          <w:lang w:val="da-DK"/>
        </w:rPr>
        <w:t>www.prisma</w:t>
      </w:r>
      <w:r w:rsidRPr="005B6CBE">
        <w:rPr>
          <w:rFonts w:cs="Arial"/>
          <w:b/>
          <w:bCs/>
          <w:color w:val="0063FF"/>
          <w:sz w:val="20"/>
          <w:szCs w:val="20"/>
          <w:u w:val="single"/>
          <w:lang w:val="da-DK"/>
        </w:rPr>
        <w:t>-</w:t>
      </w:r>
      <w:r w:rsidRPr="005B6CBE">
        <w:rPr>
          <w:rFonts w:ascii="Arial" w:hAnsi="Arial" w:cs="Arial"/>
          <w:b/>
          <w:bCs/>
          <w:color w:val="0063FF"/>
          <w:sz w:val="20"/>
          <w:szCs w:val="20"/>
          <w:u w:val="single"/>
          <w:lang w:val="da-DK"/>
        </w:rPr>
        <w:t>statement.org</w:t>
      </w:r>
      <w:r w:rsidRPr="005B6CBE">
        <w:rPr>
          <w:rFonts w:ascii="Arial" w:hAnsi="Arial" w:cs="Arial"/>
          <w:color w:val="000000"/>
          <w:sz w:val="20"/>
          <w:szCs w:val="20"/>
          <w:lang w:val="da-DK"/>
        </w:rPr>
        <w:t xml:space="preserve">. </w:t>
      </w:r>
    </w:p>
    <w:p w14:paraId="335FF96C" w14:textId="77777777" w:rsidR="004C47A7" w:rsidRPr="005B6CBE" w:rsidRDefault="004C47A7" w:rsidP="004C47A7">
      <w:pPr>
        <w:pStyle w:val="Default"/>
        <w:spacing w:line="183" w:lineRule="atLeast"/>
        <w:jc w:val="center"/>
        <w:rPr>
          <w:sz w:val="20"/>
          <w:szCs w:val="20"/>
        </w:rPr>
      </w:pPr>
      <w:r w:rsidRPr="005B6CBE">
        <w:rPr>
          <w:sz w:val="20"/>
          <w:szCs w:val="20"/>
        </w:rPr>
        <w:t xml:space="preserve">Page 2 of 2 </w:t>
      </w:r>
    </w:p>
    <w:p w14:paraId="4ABBF7A1" w14:textId="5D2229B1" w:rsidR="007F7A5C" w:rsidRPr="005B6CBE" w:rsidRDefault="007F7A5C">
      <w:pPr>
        <w:rPr>
          <w:sz w:val="20"/>
          <w:szCs w:val="20"/>
        </w:rPr>
      </w:pPr>
    </w:p>
    <w:sectPr w:rsidR="007F7A5C" w:rsidRPr="005B6CBE" w:rsidSect="00BF1BF0">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A1813" w14:textId="77777777" w:rsidR="00E13472" w:rsidRDefault="00E13472">
      <w:pPr>
        <w:spacing w:after="0" w:line="240" w:lineRule="auto"/>
      </w:pPr>
      <w:r>
        <w:separator/>
      </w:r>
    </w:p>
  </w:endnote>
  <w:endnote w:type="continuationSeparator" w:id="0">
    <w:p w14:paraId="673309E8" w14:textId="77777777" w:rsidR="00E13472" w:rsidRDefault="00E13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8DC5F" w14:textId="77777777" w:rsidR="00E13472" w:rsidRDefault="00E13472">
      <w:pPr>
        <w:spacing w:after="0" w:line="240" w:lineRule="auto"/>
      </w:pPr>
      <w:r>
        <w:separator/>
      </w:r>
    </w:p>
  </w:footnote>
  <w:footnote w:type="continuationSeparator" w:id="0">
    <w:p w14:paraId="44F21AEF" w14:textId="77777777" w:rsidR="00E13472" w:rsidRDefault="00E13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037331"/>
      <w:docPartObj>
        <w:docPartGallery w:val="Page Numbers (Top of Page)"/>
        <w:docPartUnique/>
      </w:docPartObj>
    </w:sdtPr>
    <w:sdtEndPr>
      <w:rPr>
        <w:noProof/>
      </w:rPr>
    </w:sdtEndPr>
    <w:sdtContent>
      <w:p w14:paraId="0134ED80" w14:textId="77777777" w:rsidR="00C07CA2" w:rsidRDefault="005B6CBE" w:rsidP="00D83C21">
        <w:pPr>
          <w:pStyle w:val="Header"/>
        </w:pPr>
        <w:r>
          <w:t xml:space="preserve">ADHD MEDICATIONS AND MENTAL HEALTH REVIEW </w:t>
        </w:r>
        <w:r>
          <w:tab/>
        </w:r>
        <w:r>
          <w:fldChar w:fldCharType="begin"/>
        </w:r>
        <w:r>
          <w:instrText xml:space="preserve"> PAGE   \* MERGEFORMAT </w:instrText>
        </w:r>
        <w:r>
          <w:fldChar w:fldCharType="separate"/>
        </w:r>
        <w:r>
          <w:rPr>
            <w:noProof/>
          </w:rPr>
          <w:t>46</w:t>
        </w:r>
        <w:r>
          <w:rPr>
            <w:noProof/>
          </w:rPr>
          <w:fldChar w:fldCharType="end"/>
        </w:r>
      </w:p>
    </w:sdtContent>
  </w:sdt>
  <w:p w14:paraId="668801CB" w14:textId="77777777" w:rsidR="00C07CA2" w:rsidRDefault="005B6CBE">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368"/>
    <w:rsid w:val="00173368"/>
    <w:rsid w:val="00307002"/>
    <w:rsid w:val="004C47A7"/>
    <w:rsid w:val="005235A7"/>
    <w:rsid w:val="00556D65"/>
    <w:rsid w:val="005B6CBE"/>
    <w:rsid w:val="00644D4C"/>
    <w:rsid w:val="007A6D00"/>
    <w:rsid w:val="007F7A5C"/>
    <w:rsid w:val="00BF1BF0"/>
    <w:rsid w:val="00C46B7C"/>
    <w:rsid w:val="00E13472"/>
    <w:rsid w:val="00EF0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7626"/>
  <w15:chartTrackingRefBased/>
  <w15:docId w15:val="{7797789E-E283-4F12-84D2-7F8FACCE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7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47A7"/>
    <w:rPr>
      <w:color w:val="0563C1" w:themeColor="hyperlink"/>
      <w:u w:val="single"/>
    </w:rPr>
  </w:style>
  <w:style w:type="paragraph" w:styleId="Header">
    <w:name w:val="header"/>
    <w:basedOn w:val="Normal"/>
    <w:link w:val="HeaderChar"/>
    <w:uiPriority w:val="99"/>
    <w:unhideWhenUsed/>
    <w:rsid w:val="004C47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7A7"/>
  </w:style>
  <w:style w:type="paragraph" w:customStyle="1" w:styleId="Default">
    <w:name w:val="Default"/>
    <w:rsid w:val="004C47A7"/>
    <w:pPr>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rsid w:val="004C47A7"/>
    <w:pPr>
      <w:widowControl w:val="0"/>
    </w:pPr>
    <w:rPr>
      <w:rFonts w:ascii="Calibri" w:eastAsia="Times New Roman" w:hAnsi="Calibri" w:cs="Times New Roman"/>
      <w:color w:val="auto"/>
      <w:lang w:val="en-CA" w:eastAsia="en-CA"/>
    </w:rPr>
  </w:style>
  <w:style w:type="paragraph" w:styleId="BalloonText">
    <w:name w:val="Balloon Text"/>
    <w:basedOn w:val="Normal"/>
    <w:link w:val="BalloonTextChar"/>
    <w:uiPriority w:val="99"/>
    <w:semiHidden/>
    <w:unhideWhenUsed/>
    <w:rsid w:val="004C47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7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796015.1993.12085647"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doi.org/10.1097/00004583-199704000-00019"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1097/00004583-199610000-00017"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doi.org/10.1016/0191-8869(81)90005-2"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11944</Words>
  <Characters>68082</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Bryant</dc:creator>
  <cp:keywords/>
  <dc:description/>
  <cp:lastModifiedBy>Ganesh Boopathy</cp:lastModifiedBy>
  <cp:revision>9</cp:revision>
  <dcterms:created xsi:type="dcterms:W3CDTF">2021-07-02T12:13:00Z</dcterms:created>
  <dcterms:modified xsi:type="dcterms:W3CDTF">2022-05-14T13:01:00Z</dcterms:modified>
</cp:coreProperties>
</file>