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39B27" w14:textId="46A112C8" w:rsidR="00187C89" w:rsidRPr="00964929" w:rsidRDefault="008709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B2E0745" wp14:editId="571D4365">
            <wp:extent cx="6400800" cy="1939290"/>
            <wp:effectExtent l="0" t="0" r="0" b="0"/>
            <wp:docPr id="537067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4142F" w14:textId="50474D9C" w:rsidR="00B243CE" w:rsidRPr="00964929" w:rsidRDefault="00B243CE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4929">
        <w:rPr>
          <w:rFonts w:ascii="Times New Roman" w:hAnsi="Times New Roman" w:cs="Times New Roman"/>
          <w:sz w:val="24"/>
          <w:szCs w:val="24"/>
        </w:rPr>
        <w:t xml:space="preserve">Figure S1. Spatial distribution of dALFF variability in </w:t>
      </w:r>
      <w:r w:rsidRPr="00964929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964929">
        <w:rPr>
          <w:rFonts w:ascii="Times New Roman" w:hAnsi="Times New Roman" w:cs="Times New Roman"/>
          <w:sz w:val="24"/>
          <w:szCs w:val="24"/>
        </w:rPr>
        <w:t xml:space="preserve">MDD-SA, MDD-NSA, </w:t>
      </w:r>
      <w:r w:rsidRPr="00964929">
        <w:rPr>
          <w:rFonts w:ascii="Times New Roman" w:eastAsia="宋体" w:hAnsi="Times New Roman" w:cs="Times New Roman"/>
          <w:sz w:val="24"/>
          <w:szCs w:val="24"/>
        </w:rPr>
        <w:t>and HC</w:t>
      </w:r>
      <w:r w:rsidRPr="00964929">
        <w:rPr>
          <w:rFonts w:ascii="Times New Roman" w:hAnsi="Times New Roman" w:cs="Times New Roman"/>
          <w:sz w:val="24"/>
          <w:szCs w:val="24"/>
        </w:rPr>
        <w:t xml:space="preserve"> groups. Brain regions with high temporal variability were mainly located in </w:t>
      </w:r>
      <w:r w:rsidRPr="00964929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964929">
        <w:rPr>
          <w:rFonts w:ascii="Times New Roman" w:hAnsi="Times New Roman" w:cs="Times New Roman"/>
          <w:sz w:val="24"/>
          <w:szCs w:val="24"/>
        </w:rPr>
        <w:t>occipital cortices</w:t>
      </w:r>
      <w:r w:rsidRPr="00964929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Pr="00964929">
        <w:rPr>
          <w:rFonts w:ascii="Times New Roman" w:hAnsi="Times New Roman" w:cs="Times New Roman"/>
          <w:sz w:val="24"/>
          <w:szCs w:val="24"/>
        </w:rPr>
        <w:t xml:space="preserve"> postmedial, lateral frontal, parietal, limbic and sensorimotor cortices. SA, prior suicide attempt; NSA, </w:t>
      </w:r>
      <w:r w:rsidR="001F531B" w:rsidRPr="00964929">
        <w:rPr>
          <w:rFonts w:ascii="Times New Roman" w:hAnsi="Times New Roman" w:cs="Times New Roman"/>
          <w:sz w:val="24"/>
          <w:szCs w:val="24"/>
        </w:rPr>
        <w:t>no</w:t>
      </w:r>
      <w:r w:rsidR="000E7672" w:rsidRPr="00964929">
        <w:rPr>
          <w:rFonts w:ascii="Times New Roman" w:hAnsi="Times New Roman" w:cs="Times New Roman"/>
          <w:sz w:val="24"/>
          <w:szCs w:val="24"/>
        </w:rPr>
        <w:t xml:space="preserve"> </w:t>
      </w:r>
      <w:r w:rsidRPr="00964929">
        <w:rPr>
          <w:rFonts w:ascii="Times New Roman" w:hAnsi="Times New Roman" w:cs="Times New Roman"/>
          <w:sz w:val="24"/>
          <w:szCs w:val="24"/>
        </w:rPr>
        <w:t>prior suicide attempt; HC, healthy control</w:t>
      </w:r>
      <w:r w:rsidR="009F2E70">
        <w:rPr>
          <w:rFonts w:ascii="Times New Roman" w:hAnsi="Times New Roman" w:cs="Times New Roman"/>
          <w:sz w:val="24"/>
          <w:szCs w:val="24"/>
        </w:rPr>
        <w:t xml:space="preserve">; </w:t>
      </w:r>
      <w:r w:rsidR="009F2E70" w:rsidRPr="00594508">
        <w:rPr>
          <w:rFonts w:ascii="Times New Roman" w:hAnsi="Times New Roman" w:cs="Times New Roman"/>
          <w:sz w:val="24"/>
          <w:szCs w:val="24"/>
        </w:rPr>
        <w:t>dALFF, dynamic amplitude of low-frequency fluctuations</w:t>
      </w:r>
      <w:r w:rsidR="009F2E70">
        <w:rPr>
          <w:rFonts w:ascii="Times New Roman" w:hAnsi="Times New Roman" w:cs="Times New Roman"/>
          <w:sz w:val="24"/>
          <w:szCs w:val="24"/>
        </w:rPr>
        <w:t>.</w:t>
      </w:r>
    </w:p>
    <w:p w14:paraId="1B275A5E" w14:textId="77777777" w:rsidR="00B243CE" w:rsidRPr="00964929" w:rsidRDefault="00B243CE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FC29566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76EA4E4E" w14:textId="77777777" w:rsidR="00187C89" w:rsidRPr="009129B3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15CB07E4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28FA6B8E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29FCE321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65A239D5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1B91A036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3CBBE673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0F849169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6BCB357E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6DD0267F" w14:textId="77777777" w:rsidR="00187C89" w:rsidRDefault="00187C89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2557E97C" w14:textId="1CDFF22C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CDCA5F" wp14:editId="0ACA0772">
            <wp:extent cx="6400800" cy="1727200"/>
            <wp:effectExtent l="0" t="0" r="0" b="6350"/>
            <wp:docPr id="12554536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E491A" w14:textId="7168713F" w:rsidR="009F2E70" w:rsidRPr="00B1640A" w:rsidRDefault="009F2E70" w:rsidP="009F2E70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Figure S2 </w:t>
      </w:r>
      <w:bookmarkStart w:id="0" w:name="_Hlk132559546"/>
      <w:r w:rsidRPr="00B1640A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B1640A">
        <w:rPr>
          <w:rFonts w:ascii="Times New Roman" w:hAnsi="Times New Roman" w:cs="Times New Roman" w:hint="eastAsia"/>
          <w:color w:val="FF0000"/>
          <w:sz w:val="24"/>
          <w:szCs w:val="24"/>
        </w:rPr>
        <w:t>orrelation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between </w:t>
      </w:r>
      <w:r w:rsidRPr="00B1640A">
        <w:rPr>
          <w:rFonts w:ascii="Times New Roman" w:hAnsi="Times New Roman" w:cs="Times New Roman" w:hint="eastAsia"/>
          <w:color w:val="FF0000"/>
          <w:sz w:val="24"/>
          <w:szCs w:val="24"/>
        </w:rPr>
        <w:t>sALFF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and dALFF variability in </w:t>
      </w:r>
      <w:r w:rsidRPr="00B1640A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the 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MDD-SA, MDD-NSA, </w:t>
      </w:r>
      <w:r w:rsidRPr="00B1640A">
        <w:rPr>
          <w:rFonts w:ascii="Times New Roman" w:eastAsia="宋体" w:hAnsi="Times New Roman" w:cs="Times New Roman"/>
          <w:color w:val="FF0000"/>
          <w:sz w:val="24"/>
          <w:szCs w:val="24"/>
        </w:rPr>
        <w:t>and HC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groups. </w:t>
      </w:r>
      <w:r w:rsidR="009C1A91" w:rsidRPr="00B1640A">
        <w:rPr>
          <w:rFonts w:ascii="Times New Roman" w:hAnsi="Times New Roman" w:cs="Times New Roman"/>
          <w:color w:val="FF0000"/>
          <w:sz w:val="24"/>
          <w:szCs w:val="24"/>
        </w:rPr>
        <w:t>Pearson’s c</w:t>
      </w:r>
      <w:r w:rsidRPr="00B1640A">
        <w:rPr>
          <w:rFonts w:ascii="Times New Roman" w:hAnsi="Times New Roman" w:cs="Times New Roman" w:hint="eastAsia"/>
          <w:color w:val="FF0000"/>
          <w:sz w:val="24"/>
          <w:szCs w:val="24"/>
        </w:rPr>
        <w:t>orrelation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analysis showed sALFF </w:t>
      </w:r>
      <w:r w:rsidR="003C1E75">
        <w:rPr>
          <w:rFonts w:ascii="Times New Roman" w:hAnsi="Times New Roman" w:cs="Times New Roman"/>
          <w:color w:val="FF0000"/>
          <w:sz w:val="24"/>
          <w:szCs w:val="24"/>
        </w:rPr>
        <w:t xml:space="preserve">metrics 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>were all highly</w:t>
      </w:r>
      <w:r w:rsidR="007764E2"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and positively</w:t>
      </w:r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correlated with dALFF variability in MDD-SA, MDD-NSA, and HC groups.</w:t>
      </w:r>
      <w:bookmarkEnd w:id="0"/>
      <w:r w:rsidRPr="00B1640A">
        <w:rPr>
          <w:rFonts w:ascii="Times New Roman" w:hAnsi="Times New Roman" w:cs="Times New Roman"/>
          <w:color w:val="FF0000"/>
          <w:sz w:val="24"/>
          <w:szCs w:val="24"/>
        </w:rPr>
        <w:t xml:space="preserve"> SA, prior suicide attempt; NSA, no prior suicide attempt; HC, healthy control; sALFF, static amplitude of low-frequency fluctuations; dALFF, dynamic amplitude of low-frequency fluctuations</w:t>
      </w:r>
    </w:p>
    <w:p w14:paraId="7D61F32B" w14:textId="61675511" w:rsidR="009F2E70" w:rsidRPr="009F2E70" w:rsidRDefault="009F2E70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1BA59D2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71938EBB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1C6B9509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70DA83A5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3D2664B4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574E05D2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73582BF8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2CB9CC98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3D91E390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7B13A5F5" w14:textId="77777777" w:rsidR="00521A4F" w:rsidRDefault="00521A4F" w:rsidP="0096492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6561BC90" w14:textId="106F30E1" w:rsidR="00187C89" w:rsidRPr="00964929" w:rsidRDefault="00521A4F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0F55D8" wp14:editId="354562D9">
            <wp:extent cx="6400800" cy="3940810"/>
            <wp:effectExtent l="0" t="0" r="0" b="2540"/>
            <wp:docPr id="3883573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94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BC5D6" w14:textId="0D1013CF" w:rsidR="00DA022B" w:rsidRPr="00964929" w:rsidRDefault="00B31732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4929">
        <w:rPr>
          <w:rFonts w:ascii="Times New Roman" w:hAnsi="Times New Roman" w:cs="Times New Roman"/>
          <w:sz w:val="24"/>
          <w:szCs w:val="24"/>
        </w:rPr>
        <w:t>Figure S</w:t>
      </w:r>
      <w:r w:rsidR="00C6528A">
        <w:rPr>
          <w:rFonts w:ascii="Times New Roman" w:hAnsi="Times New Roman" w:cs="Times New Roman"/>
          <w:sz w:val="24"/>
          <w:szCs w:val="24"/>
        </w:rPr>
        <w:t>3</w:t>
      </w:r>
      <w:r w:rsidRPr="00964929">
        <w:rPr>
          <w:rFonts w:ascii="Times New Roman" w:hAnsi="Times New Roman" w:cs="Times New Roman"/>
          <w:sz w:val="24"/>
          <w:szCs w:val="24"/>
        </w:rPr>
        <w:t>.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 Spatial distribution pattern of sALFF and between-group differences. (a) Spatial distribution of mean sALFF in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MDD-SA, MDD-NSA, and HC groups and ANOVA results among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DA022B" w:rsidRPr="00964929">
        <w:rPr>
          <w:rFonts w:ascii="Times New Roman" w:hAnsi="Times New Roman" w:cs="Times New Roman"/>
          <w:sz w:val="24"/>
          <w:szCs w:val="24"/>
        </w:rPr>
        <w:t>three group</w:t>
      </w:r>
      <w:r w:rsidR="00B633D9" w:rsidRPr="00964929">
        <w:rPr>
          <w:rFonts w:ascii="Times New Roman" w:hAnsi="Times New Roman" w:cs="Times New Roman"/>
          <w:sz w:val="24"/>
          <w:szCs w:val="24"/>
        </w:rPr>
        <w:t>s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. (b) Post hoc results </w:t>
      </w:r>
      <w:r w:rsidR="001F531B" w:rsidRPr="00964929">
        <w:rPr>
          <w:rFonts w:ascii="Times New Roman" w:hAnsi="Times New Roman" w:cs="Times New Roman"/>
          <w:sz w:val="24"/>
          <w:szCs w:val="24"/>
        </w:rPr>
        <w:t>among the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 MDD-SA, MDD-NSA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 and </w:t>
      </w:r>
      <w:r w:rsidR="00DA022B" w:rsidRPr="00964929">
        <w:rPr>
          <w:rFonts w:ascii="Times New Roman" w:hAnsi="Times New Roman" w:cs="Times New Roman"/>
          <w:sz w:val="24"/>
          <w:szCs w:val="24"/>
        </w:rPr>
        <w:t>HC group</w:t>
      </w:r>
      <w:r w:rsidR="001F531B" w:rsidRPr="00964929">
        <w:rPr>
          <w:rFonts w:ascii="Times New Roman" w:hAnsi="Times New Roman" w:cs="Times New Roman"/>
          <w:sz w:val="24"/>
          <w:szCs w:val="24"/>
        </w:rPr>
        <w:t>s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. The spatial distribution pattern and between-group differences of sALFF maps were highly consistent with that of the dALFF variability. SA, prior suicide attempt; NSA, </w:t>
      </w:r>
      <w:r w:rsidR="001F531B" w:rsidRPr="00964929">
        <w:rPr>
          <w:rFonts w:ascii="Times New Roman" w:hAnsi="Times New Roman" w:cs="Times New Roman"/>
          <w:sz w:val="24"/>
          <w:szCs w:val="24"/>
        </w:rPr>
        <w:t>no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 prior suicide attempt; HC, healthy control; sALFF, static amplitude of low-frequency fluctuations.</w:t>
      </w:r>
    </w:p>
    <w:p w14:paraId="1A31A7AB" w14:textId="77777777" w:rsidR="00154300" w:rsidRPr="00964929" w:rsidRDefault="00154300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DFA0796" w14:textId="77777777" w:rsidR="00154300" w:rsidRPr="00964929" w:rsidRDefault="00154300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9FA478D" w14:textId="1778DFE7" w:rsidR="00EB2314" w:rsidRPr="00964929" w:rsidRDefault="00D87FCE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D3D458" wp14:editId="133269E7">
            <wp:extent cx="6400800" cy="3978275"/>
            <wp:effectExtent l="0" t="0" r="0" b="3175"/>
            <wp:docPr id="1902607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14665" w14:textId="45F86AC2" w:rsidR="00187C89" w:rsidRPr="00964929" w:rsidRDefault="00B31732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4929">
        <w:rPr>
          <w:rFonts w:ascii="Times New Roman" w:hAnsi="Times New Roman" w:cs="Times New Roman"/>
          <w:sz w:val="24"/>
          <w:szCs w:val="24"/>
        </w:rPr>
        <w:t>Figure S</w:t>
      </w:r>
      <w:r w:rsidR="00C6528A">
        <w:rPr>
          <w:rFonts w:ascii="Times New Roman" w:hAnsi="Times New Roman" w:cs="Times New Roman"/>
          <w:sz w:val="24"/>
          <w:szCs w:val="24"/>
        </w:rPr>
        <w:t>4</w:t>
      </w:r>
      <w:r w:rsidRPr="00964929">
        <w:rPr>
          <w:rFonts w:ascii="Times New Roman" w:hAnsi="Times New Roman" w:cs="Times New Roman"/>
          <w:sz w:val="24"/>
          <w:szCs w:val="24"/>
        </w:rPr>
        <w:t>. Results calculated with widow size of 40 TRs. (a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) Spatial distribution of dALFF variability in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MDD-SA, MDD-NSA, and HC groups and ANOVA results among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DA022B" w:rsidRPr="00964929">
        <w:rPr>
          <w:rFonts w:ascii="Times New Roman" w:hAnsi="Times New Roman" w:cs="Times New Roman"/>
          <w:sz w:val="24"/>
          <w:szCs w:val="24"/>
        </w:rPr>
        <w:t>three group</w:t>
      </w:r>
      <w:r w:rsidR="00B633D9" w:rsidRPr="00964929">
        <w:rPr>
          <w:rFonts w:ascii="Times New Roman" w:hAnsi="Times New Roman" w:cs="Times New Roman"/>
          <w:sz w:val="24"/>
          <w:szCs w:val="24"/>
        </w:rPr>
        <w:t>s</w:t>
      </w:r>
      <w:r w:rsidR="00DA022B" w:rsidRPr="00964929">
        <w:rPr>
          <w:rFonts w:ascii="Times New Roman" w:hAnsi="Times New Roman" w:cs="Times New Roman"/>
          <w:sz w:val="24"/>
          <w:szCs w:val="24"/>
        </w:rPr>
        <w:t>. (b</w:t>
      </w:r>
      <w:r w:rsidR="001F531B" w:rsidRPr="00964929">
        <w:rPr>
          <w:rFonts w:ascii="Times New Roman" w:hAnsi="Times New Roman" w:cs="Times New Roman"/>
          <w:sz w:val="24"/>
          <w:szCs w:val="24"/>
        </w:rPr>
        <w:t>) Post hoc results among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DA022B" w:rsidRPr="00964929">
        <w:rPr>
          <w:rFonts w:ascii="Times New Roman" w:hAnsi="Times New Roman" w:cs="Times New Roman"/>
          <w:sz w:val="24"/>
          <w:szCs w:val="24"/>
        </w:rPr>
        <w:t>MDD-SA, MDD-NSA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 and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 HC group</w:t>
      </w:r>
      <w:r w:rsidR="001F531B" w:rsidRPr="00964929">
        <w:rPr>
          <w:rFonts w:ascii="Times New Roman" w:hAnsi="Times New Roman" w:cs="Times New Roman"/>
          <w:sz w:val="24"/>
          <w:szCs w:val="24"/>
        </w:rPr>
        <w:t>s</w:t>
      </w:r>
      <w:r w:rsidR="00DA022B" w:rsidRPr="00964929">
        <w:rPr>
          <w:rFonts w:ascii="Times New Roman" w:hAnsi="Times New Roman" w:cs="Times New Roman"/>
          <w:sz w:val="24"/>
          <w:szCs w:val="24"/>
        </w:rPr>
        <w:t xml:space="preserve">. Results calculated with widow size of 40 TRs were highly similar to our main findings. SA, prior suicide attempt; NSA, </w:t>
      </w:r>
      <w:r w:rsidR="001F531B" w:rsidRPr="00964929">
        <w:rPr>
          <w:rFonts w:ascii="Times New Roman" w:hAnsi="Times New Roman" w:cs="Times New Roman"/>
          <w:sz w:val="24"/>
          <w:szCs w:val="24"/>
        </w:rPr>
        <w:t>no prio</w:t>
      </w:r>
      <w:r w:rsidR="00DA022B" w:rsidRPr="00964929">
        <w:rPr>
          <w:rFonts w:ascii="Times New Roman" w:hAnsi="Times New Roman" w:cs="Times New Roman"/>
          <w:sz w:val="24"/>
          <w:szCs w:val="24"/>
        </w:rPr>
        <w:t>r suicide attempt; HC, healthy control; dALFF, dynamic amplitude of low-frequency fluctuations.</w:t>
      </w:r>
    </w:p>
    <w:p w14:paraId="57A64451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097B709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755A56A" w14:textId="77777777" w:rsidR="00187C89" w:rsidRPr="00964929" w:rsidRDefault="00187C89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ED50442" w14:textId="05E47EAA" w:rsidR="0022233F" w:rsidRPr="00964929" w:rsidRDefault="00D87FCE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1D14B0F" wp14:editId="29DBE36D">
            <wp:extent cx="6400800" cy="3991610"/>
            <wp:effectExtent l="0" t="0" r="0" b="8890"/>
            <wp:docPr id="775892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99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233F" w:rsidRPr="00964929">
        <w:rPr>
          <w:rFonts w:ascii="Times New Roman" w:hAnsi="Times New Roman" w:cs="Times New Roman"/>
          <w:sz w:val="24"/>
          <w:szCs w:val="24"/>
        </w:rPr>
        <w:t>Figure S</w:t>
      </w:r>
      <w:r w:rsidR="00C6528A">
        <w:rPr>
          <w:rFonts w:ascii="Times New Roman" w:hAnsi="Times New Roman" w:cs="Times New Roman"/>
          <w:sz w:val="24"/>
          <w:szCs w:val="24"/>
        </w:rPr>
        <w:t>5</w:t>
      </w:r>
      <w:r w:rsidR="0022233F" w:rsidRPr="00964929">
        <w:rPr>
          <w:rFonts w:ascii="Times New Roman" w:hAnsi="Times New Roman" w:cs="Times New Roman"/>
          <w:sz w:val="24"/>
          <w:szCs w:val="24"/>
        </w:rPr>
        <w:t xml:space="preserve">. Results calculated with widow size of 50 TRs. (a) Spatial distribution of dALFF variability in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22233F" w:rsidRPr="00964929">
        <w:rPr>
          <w:rFonts w:ascii="Times New Roman" w:hAnsi="Times New Roman" w:cs="Times New Roman"/>
          <w:sz w:val="24"/>
          <w:szCs w:val="24"/>
        </w:rPr>
        <w:t>MDD-SA, MDD-NSA, and HC groups and ANOVA results among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 the</w:t>
      </w:r>
      <w:r w:rsidR="0022233F" w:rsidRPr="00964929">
        <w:rPr>
          <w:rFonts w:ascii="Times New Roman" w:hAnsi="Times New Roman" w:cs="Times New Roman"/>
          <w:sz w:val="24"/>
          <w:szCs w:val="24"/>
        </w:rPr>
        <w:t xml:space="preserve"> three group</w:t>
      </w:r>
      <w:r w:rsidR="00B633D9" w:rsidRPr="00964929">
        <w:rPr>
          <w:rFonts w:ascii="Times New Roman" w:hAnsi="Times New Roman" w:cs="Times New Roman"/>
          <w:sz w:val="24"/>
          <w:szCs w:val="24"/>
        </w:rPr>
        <w:t>s</w:t>
      </w:r>
      <w:r w:rsidR="0022233F" w:rsidRPr="00964929">
        <w:rPr>
          <w:rFonts w:ascii="Times New Roman" w:hAnsi="Times New Roman" w:cs="Times New Roman"/>
          <w:sz w:val="24"/>
          <w:szCs w:val="24"/>
        </w:rPr>
        <w:t xml:space="preserve">. (b) Post hoc results </w:t>
      </w:r>
      <w:r w:rsidR="001F531B" w:rsidRPr="00964929">
        <w:rPr>
          <w:rFonts w:ascii="Times New Roman" w:hAnsi="Times New Roman" w:cs="Times New Roman"/>
          <w:sz w:val="24"/>
          <w:szCs w:val="24"/>
        </w:rPr>
        <w:t>among the MDD-SA, MDD-NSA and</w:t>
      </w:r>
      <w:r w:rsidR="0022233F" w:rsidRPr="00964929">
        <w:rPr>
          <w:rFonts w:ascii="Times New Roman" w:hAnsi="Times New Roman" w:cs="Times New Roman"/>
          <w:sz w:val="24"/>
          <w:szCs w:val="24"/>
        </w:rPr>
        <w:t xml:space="preserve"> HC group</w:t>
      </w:r>
      <w:r w:rsidR="001F531B" w:rsidRPr="00964929">
        <w:rPr>
          <w:rFonts w:ascii="Times New Roman" w:hAnsi="Times New Roman" w:cs="Times New Roman"/>
          <w:sz w:val="24"/>
          <w:szCs w:val="24"/>
        </w:rPr>
        <w:t>s</w:t>
      </w:r>
      <w:r w:rsidR="0022233F" w:rsidRPr="00964929">
        <w:rPr>
          <w:rFonts w:ascii="Times New Roman" w:hAnsi="Times New Roman" w:cs="Times New Roman"/>
          <w:sz w:val="24"/>
          <w:szCs w:val="24"/>
        </w:rPr>
        <w:t>. Results calculated with widow size of 50 TRs were also la</w:t>
      </w:r>
      <w:r w:rsidR="001E3D2F" w:rsidRPr="00964929">
        <w:rPr>
          <w:rFonts w:ascii="Times New Roman" w:hAnsi="Times New Roman" w:cs="Times New Roman"/>
          <w:sz w:val="24"/>
          <w:szCs w:val="24"/>
        </w:rPr>
        <w:t>r</w:t>
      </w:r>
      <w:r w:rsidR="0022233F" w:rsidRPr="00964929">
        <w:rPr>
          <w:rFonts w:ascii="Times New Roman" w:hAnsi="Times New Roman" w:cs="Times New Roman"/>
          <w:sz w:val="24"/>
          <w:szCs w:val="24"/>
        </w:rPr>
        <w:t xml:space="preserve">gely consistent with our main findings. SA, prior suicide attempt; NSA, </w:t>
      </w:r>
      <w:r w:rsidR="001F531B" w:rsidRPr="00964929">
        <w:rPr>
          <w:rFonts w:ascii="Times New Roman" w:hAnsi="Times New Roman" w:cs="Times New Roman"/>
          <w:sz w:val="24"/>
          <w:szCs w:val="24"/>
        </w:rPr>
        <w:t>no prio</w:t>
      </w:r>
      <w:r w:rsidR="0022233F" w:rsidRPr="00964929">
        <w:rPr>
          <w:rFonts w:ascii="Times New Roman" w:hAnsi="Times New Roman" w:cs="Times New Roman"/>
          <w:sz w:val="24"/>
          <w:szCs w:val="24"/>
        </w:rPr>
        <w:t>r suicide attempt; HC, healthy control; dALFF, dynamic amplitude of low-frequency fluctuations.</w:t>
      </w:r>
    </w:p>
    <w:p w14:paraId="7D1145AB" w14:textId="77777777" w:rsidR="006E7F0B" w:rsidRPr="00964929" w:rsidRDefault="006E7F0B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AAAAE54" w14:textId="77777777" w:rsidR="006E7F0B" w:rsidRPr="00964929" w:rsidRDefault="006E7F0B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0EE9413" w14:textId="77777777" w:rsidR="006E7F0B" w:rsidRDefault="006E7F0B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B0A97D2" w14:textId="77777777" w:rsidR="00C6528A" w:rsidRPr="00964929" w:rsidRDefault="00C6528A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7AE55D4" w14:textId="5C6B3995" w:rsidR="00187C89" w:rsidRPr="00964929" w:rsidRDefault="00521A4F" w:rsidP="009649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1B3EEB5" wp14:editId="0DDA2D5A">
            <wp:extent cx="6400800" cy="836930"/>
            <wp:effectExtent l="0" t="0" r="0" b="1270"/>
            <wp:docPr id="120329568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F6FF9" w14:textId="0E5AD3B4" w:rsidR="004D20D0" w:rsidRDefault="00B31732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4929">
        <w:rPr>
          <w:rFonts w:ascii="Times New Roman" w:hAnsi="Times New Roman" w:cs="Times New Roman"/>
          <w:sz w:val="24"/>
          <w:szCs w:val="24"/>
        </w:rPr>
        <w:t>Figure S</w:t>
      </w:r>
      <w:r w:rsidR="00C6528A">
        <w:rPr>
          <w:rFonts w:ascii="Times New Roman" w:hAnsi="Times New Roman" w:cs="Times New Roman"/>
          <w:sz w:val="24"/>
          <w:szCs w:val="24"/>
        </w:rPr>
        <w:t>6</w:t>
      </w:r>
      <w:r w:rsidR="001E3D2F" w:rsidRPr="00964929">
        <w:rPr>
          <w:rFonts w:ascii="Times New Roman" w:hAnsi="Times New Roman" w:cs="Times New Roman"/>
          <w:sz w:val="24"/>
          <w:szCs w:val="24"/>
        </w:rPr>
        <w:t xml:space="preserve">. Post hoc analysis </w:t>
      </w:r>
      <w:r w:rsidR="00C75118">
        <w:rPr>
          <w:rFonts w:ascii="Times New Roman" w:hAnsi="Times New Roman" w:cs="Times New Roman"/>
          <w:sz w:val="24"/>
          <w:szCs w:val="24"/>
        </w:rPr>
        <w:t>of</w:t>
      </w:r>
      <w:r w:rsidR="00632083">
        <w:rPr>
          <w:rFonts w:ascii="Times New Roman" w:hAnsi="Times New Roman" w:cs="Times New Roman"/>
          <w:sz w:val="24"/>
          <w:szCs w:val="24"/>
        </w:rPr>
        <w:t xml:space="preserve"> dALFF variability </w:t>
      </w:r>
      <w:r w:rsidR="00C75118">
        <w:rPr>
          <w:rFonts w:ascii="Times New Roman" w:hAnsi="Times New Roman" w:cs="Times New Roman"/>
          <w:sz w:val="24"/>
          <w:szCs w:val="24"/>
        </w:rPr>
        <w:t>between</w:t>
      </w:r>
      <w:r w:rsidR="00632083">
        <w:rPr>
          <w:rFonts w:ascii="Times New Roman" w:hAnsi="Times New Roman" w:cs="Times New Roman"/>
          <w:sz w:val="24"/>
          <w:szCs w:val="24"/>
        </w:rPr>
        <w:t xml:space="preserve"> 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the </w:t>
      </w:r>
      <w:r w:rsidR="001E3D2F" w:rsidRPr="00964929">
        <w:rPr>
          <w:rFonts w:ascii="Times New Roman" w:hAnsi="Times New Roman" w:cs="Times New Roman"/>
          <w:sz w:val="24"/>
          <w:szCs w:val="24"/>
        </w:rPr>
        <w:t>MDD-SA and MDD-NSA</w:t>
      </w:r>
      <w:r w:rsidR="00632083">
        <w:rPr>
          <w:rFonts w:ascii="Times New Roman" w:hAnsi="Times New Roman" w:cs="Times New Roman"/>
          <w:sz w:val="24"/>
          <w:szCs w:val="24"/>
        </w:rPr>
        <w:t xml:space="preserve"> groups</w:t>
      </w:r>
      <w:r w:rsidR="001E3D2F" w:rsidRPr="00964929">
        <w:rPr>
          <w:rFonts w:ascii="Times New Roman" w:hAnsi="Times New Roman" w:cs="Times New Roman"/>
          <w:sz w:val="24"/>
          <w:szCs w:val="24"/>
        </w:rPr>
        <w:t xml:space="preserve"> with age at onset as an additional covariate. The result was highly similar to our main findings.</w:t>
      </w:r>
      <w:r w:rsidR="001F531B" w:rsidRPr="00964929">
        <w:rPr>
          <w:rFonts w:ascii="Times New Roman" w:hAnsi="Times New Roman" w:cs="Times New Roman"/>
          <w:sz w:val="24"/>
          <w:szCs w:val="24"/>
        </w:rPr>
        <w:t xml:space="preserve"> SA, prior suicide attempt; NSA, no prior suicide attempt.</w:t>
      </w:r>
    </w:p>
    <w:p w14:paraId="3F3E1E2D" w14:textId="4D187F89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FE186C8" w14:textId="49FC8298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72AD62F" w14:textId="4167C887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584BBD5" w14:textId="1026BD96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943E9DA" w14:textId="7D6F192C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A25AA0B" w14:textId="01F9219F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D8B7806" w14:textId="7A885EE9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CAE1498" w14:textId="1D58E01D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59A8AA7" w14:textId="44C62BDE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18DBF97" w14:textId="35FBB276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3FA31F6" w14:textId="005B6830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DB8A74B" w14:textId="3FF6C862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9721B2F" w14:textId="2989D422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79BF225" w14:textId="77777777" w:rsidR="00632083" w:rsidRDefault="00632083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179C948" w14:textId="5BD73790" w:rsidR="00632083" w:rsidRDefault="00521A4F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05D281" wp14:editId="14DDB441">
            <wp:extent cx="6400800" cy="841375"/>
            <wp:effectExtent l="0" t="0" r="0" b="0"/>
            <wp:docPr id="14837416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1F335" w14:textId="1AEE8C11" w:rsidR="00632083" w:rsidRDefault="00632083" w:rsidP="00632083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64929">
        <w:rPr>
          <w:rFonts w:ascii="Times New Roman" w:hAnsi="Times New Roman" w:cs="Times New Roman"/>
          <w:sz w:val="24"/>
          <w:szCs w:val="24"/>
        </w:rPr>
        <w:t>Figure S</w:t>
      </w:r>
      <w:r w:rsidR="00C6528A">
        <w:rPr>
          <w:rFonts w:ascii="Times New Roman" w:hAnsi="Times New Roman" w:cs="Times New Roman"/>
          <w:sz w:val="24"/>
          <w:szCs w:val="24"/>
        </w:rPr>
        <w:t>7</w:t>
      </w:r>
      <w:r w:rsidRPr="00964929">
        <w:rPr>
          <w:rFonts w:ascii="Times New Roman" w:hAnsi="Times New Roman" w:cs="Times New Roman"/>
          <w:sz w:val="24"/>
          <w:szCs w:val="24"/>
        </w:rPr>
        <w:t xml:space="preserve">. Post hoc analysis </w:t>
      </w:r>
      <w:r w:rsidR="00C75118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dALFF variability </w:t>
      </w:r>
      <w:r w:rsidR="00C75118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4929">
        <w:rPr>
          <w:rFonts w:ascii="Times New Roman" w:hAnsi="Times New Roman" w:cs="Times New Roman"/>
          <w:sz w:val="24"/>
          <w:szCs w:val="24"/>
        </w:rPr>
        <w:t>the MDD-SA and MDD-NSA</w:t>
      </w:r>
      <w:r>
        <w:rPr>
          <w:rFonts w:ascii="Times New Roman" w:hAnsi="Times New Roman" w:cs="Times New Roman"/>
          <w:sz w:val="24"/>
          <w:szCs w:val="24"/>
        </w:rPr>
        <w:t xml:space="preserve"> groups</w:t>
      </w:r>
      <w:r w:rsidRPr="00964929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disease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duration</w:t>
      </w:r>
      <w:r w:rsidRPr="00964929">
        <w:rPr>
          <w:rFonts w:ascii="Times New Roman" w:hAnsi="Times New Roman" w:cs="Times New Roman"/>
          <w:sz w:val="24"/>
          <w:szCs w:val="24"/>
        </w:rPr>
        <w:t xml:space="preserve"> as an additional covariate. The result was highly similar to our main findings. SA, prior suicide attempt; NSA, no prior suicide attempt.</w:t>
      </w:r>
    </w:p>
    <w:p w14:paraId="320AF73B" w14:textId="77777777" w:rsidR="00C62347" w:rsidRDefault="00C62347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68BC738" w14:textId="77777777" w:rsidR="00C62347" w:rsidRDefault="00C62347" w:rsidP="00573BB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E84035D" w14:textId="70200DBC" w:rsidR="00632083" w:rsidRPr="00632083" w:rsidRDefault="00C62347" w:rsidP="00C62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632083" w:rsidRPr="00632083" w:rsidSect="00C3450A">
      <w:pgSz w:w="12240" w:h="15840" w:code="1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7F795" w14:textId="77777777" w:rsidR="00A73A98" w:rsidRDefault="00A73A98" w:rsidP="00AE0949">
      <w:r>
        <w:separator/>
      </w:r>
    </w:p>
  </w:endnote>
  <w:endnote w:type="continuationSeparator" w:id="0">
    <w:p w14:paraId="7397D4D5" w14:textId="77777777" w:rsidR="00A73A98" w:rsidRDefault="00A73A98" w:rsidP="00AE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3AD2A" w14:textId="77777777" w:rsidR="00A73A98" w:rsidRDefault="00A73A98" w:rsidP="00AE0949">
      <w:r>
        <w:separator/>
      </w:r>
    </w:p>
  </w:footnote>
  <w:footnote w:type="continuationSeparator" w:id="0">
    <w:p w14:paraId="5ED0012C" w14:textId="77777777" w:rsidR="00A73A98" w:rsidRDefault="00A73A98" w:rsidP="00AE0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z2dt059ddwwue9dpdxf993dsvx0awdfdvp&quot;&gt;My EndNote Library&lt;record-ids&gt;&lt;item&gt;478&lt;/item&gt;&lt;/record-ids&gt;&lt;/item&gt;&lt;/Libraries&gt;"/>
  </w:docVars>
  <w:rsids>
    <w:rsidRoot w:val="00AE0949"/>
    <w:rsid w:val="000221F9"/>
    <w:rsid w:val="00035811"/>
    <w:rsid w:val="0003792E"/>
    <w:rsid w:val="000423FB"/>
    <w:rsid w:val="00084AFF"/>
    <w:rsid w:val="00085D64"/>
    <w:rsid w:val="000B3BE5"/>
    <w:rsid w:val="000E7672"/>
    <w:rsid w:val="00154300"/>
    <w:rsid w:val="0016300B"/>
    <w:rsid w:val="00187C89"/>
    <w:rsid w:val="001C0E0C"/>
    <w:rsid w:val="001E3D2F"/>
    <w:rsid w:val="001F531B"/>
    <w:rsid w:val="00222024"/>
    <w:rsid w:val="0022233F"/>
    <w:rsid w:val="002303C7"/>
    <w:rsid w:val="00237305"/>
    <w:rsid w:val="002752FC"/>
    <w:rsid w:val="00300250"/>
    <w:rsid w:val="00303BE5"/>
    <w:rsid w:val="00323564"/>
    <w:rsid w:val="00323C15"/>
    <w:rsid w:val="0034658D"/>
    <w:rsid w:val="003A6C8A"/>
    <w:rsid w:val="003C1E75"/>
    <w:rsid w:val="003D1949"/>
    <w:rsid w:val="003E6208"/>
    <w:rsid w:val="00442D10"/>
    <w:rsid w:val="00485F9C"/>
    <w:rsid w:val="004A049C"/>
    <w:rsid w:val="004A20E4"/>
    <w:rsid w:val="004D20D0"/>
    <w:rsid w:val="004D2EC5"/>
    <w:rsid w:val="004D7847"/>
    <w:rsid w:val="00521A4F"/>
    <w:rsid w:val="00573BBF"/>
    <w:rsid w:val="00594DC5"/>
    <w:rsid w:val="005B47A2"/>
    <w:rsid w:val="005D7BE0"/>
    <w:rsid w:val="005E4947"/>
    <w:rsid w:val="00632083"/>
    <w:rsid w:val="00673BA4"/>
    <w:rsid w:val="00683E93"/>
    <w:rsid w:val="0068413C"/>
    <w:rsid w:val="00687F75"/>
    <w:rsid w:val="006A50FD"/>
    <w:rsid w:val="006C2DA9"/>
    <w:rsid w:val="006C6970"/>
    <w:rsid w:val="006D3754"/>
    <w:rsid w:val="006E7F0B"/>
    <w:rsid w:val="006F0F05"/>
    <w:rsid w:val="006F21C0"/>
    <w:rsid w:val="00746971"/>
    <w:rsid w:val="007764E2"/>
    <w:rsid w:val="00801A07"/>
    <w:rsid w:val="00860248"/>
    <w:rsid w:val="0087094F"/>
    <w:rsid w:val="008814B9"/>
    <w:rsid w:val="008C2065"/>
    <w:rsid w:val="008C2487"/>
    <w:rsid w:val="008C4475"/>
    <w:rsid w:val="009129B3"/>
    <w:rsid w:val="00960414"/>
    <w:rsid w:val="00964929"/>
    <w:rsid w:val="009843D7"/>
    <w:rsid w:val="009C1A91"/>
    <w:rsid w:val="009F2E70"/>
    <w:rsid w:val="00A5238C"/>
    <w:rsid w:val="00A606F5"/>
    <w:rsid w:val="00A73A98"/>
    <w:rsid w:val="00A806E2"/>
    <w:rsid w:val="00AA2B85"/>
    <w:rsid w:val="00AB4462"/>
    <w:rsid w:val="00AE0949"/>
    <w:rsid w:val="00B06F30"/>
    <w:rsid w:val="00B1640A"/>
    <w:rsid w:val="00B243CE"/>
    <w:rsid w:val="00B31732"/>
    <w:rsid w:val="00B34A5B"/>
    <w:rsid w:val="00B633D9"/>
    <w:rsid w:val="00BB6356"/>
    <w:rsid w:val="00BC7225"/>
    <w:rsid w:val="00BD10A7"/>
    <w:rsid w:val="00C258CF"/>
    <w:rsid w:val="00C3450A"/>
    <w:rsid w:val="00C606D9"/>
    <w:rsid w:val="00C62347"/>
    <w:rsid w:val="00C6528A"/>
    <w:rsid w:val="00C75118"/>
    <w:rsid w:val="00CB4884"/>
    <w:rsid w:val="00CC3C81"/>
    <w:rsid w:val="00D7428B"/>
    <w:rsid w:val="00D87FCE"/>
    <w:rsid w:val="00D912A4"/>
    <w:rsid w:val="00DA022B"/>
    <w:rsid w:val="00E04DCF"/>
    <w:rsid w:val="00E2415B"/>
    <w:rsid w:val="00E24D05"/>
    <w:rsid w:val="00E41395"/>
    <w:rsid w:val="00EB2314"/>
    <w:rsid w:val="00EC2D3D"/>
    <w:rsid w:val="00ED23C0"/>
    <w:rsid w:val="00EE3BA6"/>
    <w:rsid w:val="00EE6CFA"/>
    <w:rsid w:val="00EF6C3F"/>
    <w:rsid w:val="00F328D6"/>
    <w:rsid w:val="00F35B22"/>
    <w:rsid w:val="00F35DBE"/>
    <w:rsid w:val="00F36D6A"/>
    <w:rsid w:val="00F46E48"/>
    <w:rsid w:val="00FB6D08"/>
    <w:rsid w:val="00FD40A8"/>
    <w:rsid w:val="00FF6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19EBC"/>
  <w15:docId w15:val="{5759B445-A059-4613-B043-49FC5AFE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E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9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09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09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094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E094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E0949"/>
    <w:rPr>
      <w:sz w:val="18"/>
      <w:szCs w:val="18"/>
    </w:rPr>
  </w:style>
  <w:style w:type="table" w:styleId="a9">
    <w:name w:val="Table Grid"/>
    <w:basedOn w:val="a1"/>
    <w:uiPriority w:val="39"/>
    <w:qFormat/>
    <w:rsid w:val="00EE6CF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C62347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62347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62347"/>
    <w:pPr>
      <w:jc w:val="left"/>
    </w:pPr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62347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6E330-CEBA-43E7-B413-DE99E39B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7</Pages>
  <Words>430</Words>
  <Characters>2454</Characters>
  <Application>Microsoft Office Word</Application>
  <DocSecurity>0</DocSecurity>
  <Lines>20</Lines>
  <Paragraphs>5</Paragraphs>
  <ScaleCrop>false</ScaleCrop>
  <Company>China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zhangning</cp:lastModifiedBy>
  <cp:revision>10</cp:revision>
  <dcterms:created xsi:type="dcterms:W3CDTF">2023-04-16T09:02:00Z</dcterms:created>
  <dcterms:modified xsi:type="dcterms:W3CDTF">2023-04-23T15:39:00Z</dcterms:modified>
</cp:coreProperties>
</file>