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Tab. 3S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BIBLIOGRAPHIC REFERENCES OF THE TOOLS USED IN THE ARTICLES INCLUDED IN THE REVIEW</w:t>
      </w:r>
    </w:p>
    <w:p w:rsidR="00000000" w:rsidDel="00000000" w:rsidP="00000000" w:rsidRDefault="00000000" w:rsidRPr="00000000" w14:paraId="00000003">
      <w:pPr>
        <w:widowControl w:val="0"/>
        <w:spacing w:after="0" w:line="276" w:lineRule="auto"/>
        <w:rPr>
          <w:rFonts w:ascii="Arial" w:cs="Arial" w:eastAsia="Arial" w:hAnsi="Arial"/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0" w:tblpY="0"/>
        <w:tblW w:w="102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60"/>
        <w:gridCol w:w="3240"/>
        <w:gridCol w:w="4575"/>
        <w:tblGridChange w:id="0">
          <w:tblGrid>
            <w:gridCol w:w="2460"/>
            <w:gridCol w:w="3240"/>
            <w:gridCol w:w="4575"/>
          </w:tblGrid>
        </w:tblGridChange>
      </w:tblGrid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Studies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 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Assessment Tools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References </w:t>
            </w:r>
          </w:p>
          <w:p w:rsidR="00000000" w:rsidDel="00000000" w:rsidP="00000000" w:rsidRDefault="00000000" w:rsidRPr="00000000" w14:paraId="00000007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bookmarkStart w:colFirst="0" w:colLast="0" w:name="_heading=h.lnxbz9" w:id="0"/>
            <w:bookmarkEnd w:id="0"/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Bucknell Bossexn et al, 2020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Self-developed questionnaire.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line="259" w:lineRule="auto"/>
              <w:jc w:val="both"/>
              <w:rPr>
                <w:rFonts w:ascii="Arial" w:cs="Arial" w:eastAsia="Arial" w:hAnsi="Arial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none</w:t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Burke et al, 2023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Day-in-the-life methodology and narrative inquiry.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Rule="auto"/>
              <w:jc w:val="both"/>
              <w:rPr>
                <w:rFonts w:ascii="Arial" w:cs="Arial" w:eastAsia="Arial" w:hAnsi="Arial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none</w:t>
            </w:r>
          </w:p>
        </w:tc>
      </w:tr>
      <w:tr>
        <w:trPr>
          <w:cantSplit w:val="0"/>
          <w:trHeight w:val="364.5617675781249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after="20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bookmarkStart w:colFirst="0" w:colLast="0" w:name="_heading=h.1fob9te" w:id="1"/>
            <w:bookmarkEnd w:id="1"/>
            <w:r w:rsidDel="00000000" w:rsidR="00000000" w:rsidRPr="00000000">
              <w:rPr>
                <w:rFonts w:ascii="Arial" w:cs="Arial" w:eastAsia="Arial" w:hAnsi="Arial"/>
                <w:color w:val="1f1f1f"/>
                <w:sz w:val="18"/>
                <w:szCs w:val="18"/>
                <w:highlight w:val="white"/>
                <w:rtl w:val="0"/>
              </w:rPr>
              <w:t xml:space="preserve">Feijoo et al, 2023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Self-developed questionnaire; the Silhouette Test.</w:t>
            </w:r>
          </w:p>
        </w:tc>
        <w:tc>
          <w:tcPr/>
          <w:p w:rsidR="00000000" w:rsidDel="00000000" w:rsidP="00000000" w:rsidRDefault="00000000" w:rsidRPr="00000000" w14:paraId="00000010">
            <w:pPr>
              <w:numPr>
                <w:ilvl w:val="0"/>
                <w:numId w:val="11"/>
              </w:numPr>
              <w:spacing w:line="259" w:lineRule="auto"/>
              <w:ind w:left="720" w:hanging="36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Thompson, M. A., &amp; Gray, J. J. (1995). Development and Validation of a New Body-Image Assessment Scale.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Journal of Personality Assessment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64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(2), 258–269.</w:t>
            </w:r>
          </w:p>
        </w:tc>
      </w:tr>
      <w:tr>
        <w:trPr>
          <w:cantSplit w:val="0"/>
          <w:trHeight w:val="873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after="20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Fortunato et al, 2023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Self-developed questionnaire; the BMSAS; the INCOM; the DERS; the Young Person’s CORE.</w:t>
            </w:r>
          </w:p>
        </w:tc>
        <w:tc>
          <w:tcPr/>
          <w:p w:rsidR="00000000" w:rsidDel="00000000" w:rsidP="00000000" w:rsidRDefault="00000000" w:rsidRPr="00000000" w14:paraId="00000013">
            <w:pPr>
              <w:numPr>
                <w:ilvl w:val="0"/>
                <w:numId w:val="3"/>
              </w:numPr>
              <w:spacing w:after="0" w:afterAutospacing="0" w:line="259" w:lineRule="auto"/>
              <w:ind w:left="720" w:hanging="36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Schou Andreassen, C., Billieux, J., Griffiths, M. D., Kuss, D. J., Demetrovics, Z., Mazzoni, E., &amp; Pallesen, S. (2016). The relationship between addictive use of social media and video games and symptoms of psychiatric disorders: A large-scale cross-sectional study.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Psychology of Addictive Behaviors: Journal of the Society of Psychologists in Addictive Behaviors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30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(2), 252–262. 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3"/>
              </w:numPr>
              <w:spacing w:after="0" w:afterAutospacing="0" w:line="259" w:lineRule="auto"/>
              <w:ind w:left="720" w:hanging="36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Gibbons, F. X., &amp; Buunk, B. P. (1999). Individual differences in social comparison: Development of a scale of social comparison orientation.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Journal of Personality and Social Psychology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76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(1), 129–142. 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3"/>
              </w:numPr>
              <w:spacing w:after="0" w:afterAutospacing="0" w:line="259" w:lineRule="auto"/>
              <w:ind w:left="720" w:hanging="36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Gratz, K. L., &amp; Roemer, L. (2003). Multidimensional Assessment of Emotion Regulation and Dysregulation: Development, Factor Structure, and Initial Validation of the Difficulties in Emotion Regulation Scale.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Journal of Psychopathology and Behavioral Assessment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3"/>
              </w:numPr>
              <w:spacing w:line="259" w:lineRule="auto"/>
              <w:ind w:left="720" w:hanging="36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Twigg, E., Barkham, M., Bewick, B., Mulhern, Connell, J., &amp; Cooper, M. (2009). The Young Person’s CORE: Development of a brief outcome measure for young people.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Counselling and Psychotherapy Research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9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, 160–168. </w:t>
            </w:r>
          </w:p>
        </w:tc>
      </w:tr>
      <w:tr>
        <w:trPr>
          <w:cantSplit w:val="0"/>
          <w:trHeight w:val="3296.434326171875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after="20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1f1f1f"/>
                <w:sz w:val="18"/>
                <w:szCs w:val="18"/>
                <w:highlight w:val="white"/>
                <w:rtl w:val="0"/>
              </w:rPr>
              <w:t xml:space="preserve">Gentzler et al, 2023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Self-developed questionnaire; the Rosenberg self</w:t>
            </w:r>
            <w:r w:rsidDel="00000000" w:rsidR="00000000" w:rsidRPr="00000000">
              <w:rPr>
                <w:rFonts w:ascii="Cambria Math" w:cs="Cambria Math" w:eastAsia="Cambria Math" w:hAnsi="Cambria Math"/>
                <w:sz w:val="18"/>
                <w:szCs w:val="18"/>
                <w:rtl w:val="0"/>
              </w:rPr>
              <w:t xml:space="preserve">‐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esteem scale; the BFI</w:t>
            </w:r>
            <w:r w:rsidDel="00000000" w:rsidR="00000000" w:rsidRPr="00000000">
              <w:rPr>
                <w:rFonts w:ascii="Cambria Math" w:cs="Cambria Math" w:eastAsia="Cambria Math" w:hAnsi="Cambria Math"/>
                <w:sz w:val="18"/>
                <w:szCs w:val="18"/>
                <w:rtl w:val="0"/>
              </w:rPr>
              <w:t xml:space="preserve">‐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Fonts w:ascii="Cambria Math" w:cs="Cambria Math" w:eastAsia="Cambria Math" w:hAnsi="Cambria Math"/>
                <w:sz w:val="18"/>
                <w:szCs w:val="18"/>
                <w:rtl w:val="0"/>
              </w:rPr>
              <w:t xml:space="preserve">‐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XS; a self-developed scale to investigate the negative affective reactions to social media; CDI</w:t>
            </w:r>
            <w:r w:rsidDel="00000000" w:rsidR="00000000" w:rsidRPr="00000000">
              <w:rPr>
                <w:rFonts w:ascii="Cambria Math" w:cs="Cambria Math" w:eastAsia="Cambria Math" w:hAnsi="Cambria Math"/>
                <w:sz w:val="18"/>
                <w:szCs w:val="18"/>
                <w:rtl w:val="0"/>
              </w:rPr>
              <w:t xml:space="preserve">‐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19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afterAutospacing="0" w:line="259" w:lineRule="auto"/>
              <w:ind w:left="720" w:hanging="36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Rosenberg, M. (1965).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Society and the Adolescent Self-Image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. Princeton University Press; JSTOR. 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afterAutospacing="0" w:line="259" w:lineRule="auto"/>
              <w:ind w:left="720" w:hanging="36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Soto, C. J., &amp; John, O. P. (2017). Short and extra-short forms of the Big Five Inventory–2: The BFI-2-S and BFI-2-XS.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Journal of Research in Personality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68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, 69–81. 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Kovacs, M. (2015). Children’s Depression Inventory (CDI and CDI 2). In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The Encyclopedia of Clinical Psychology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(pp. 1–5). John Wiley &amp; Sons, Ltd</w:t>
            </w:r>
          </w:p>
        </w:tc>
      </w:tr>
      <w:tr>
        <w:trPr>
          <w:cantSplit w:val="0"/>
          <w:trHeight w:val="160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Hull et al, 2021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Description of clinical cases.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Rule="auto"/>
              <w:jc w:val="both"/>
              <w:rPr>
                <w:rFonts w:ascii="Arial" w:cs="Arial" w:eastAsia="Arial" w:hAnsi="Arial"/>
                <w:i w:val="1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16.37451171875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after="20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bookmarkStart w:colFirst="0" w:colLast="0" w:name="_heading=h.3znysh7" w:id="2"/>
            <w:bookmarkEnd w:id="2"/>
            <w:r w:rsidDel="00000000" w:rsidR="00000000" w:rsidRPr="00000000">
              <w:rPr>
                <w:rFonts w:ascii="Arial" w:cs="Arial" w:eastAsia="Arial" w:hAnsi="Arial"/>
                <w:color w:val="1f1f1f"/>
                <w:sz w:val="18"/>
                <w:szCs w:val="18"/>
                <w:highlight w:val="white"/>
                <w:rtl w:val="0"/>
              </w:rPr>
              <w:t xml:space="preserve">Ilic-Zivojinovic et al, 2023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Self-developed questionnaire; the Internet Addiction Test; the CES-DC.</w:t>
            </w:r>
          </w:p>
        </w:tc>
        <w:tc>
          <w:tcPr/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spacing w:after="0" w:afterAutospacing="0"/>
              <w:ind w:left="720" w:hanging="36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Young, K. S., &amp; de Abreu, C. N. (2011).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Internet addiction: A handbook and guide to evaluation and treatment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(pp. xvii, 289). John Wiley &amp; Sons, Inc.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spacing w:line="259" w:lineRule="auto"/>
              <w:ind w:left="720" w:hanging="36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Weissman, M. M., Orvaschel, H., &amp; Padian, N. (1980). Children’s symptom and social functioning self-report scales. Comparison of mothers’ and children’s reports.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The Journal of Nervous and Mental Disease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168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(12), 736–740.</w:t>
            </w:r>
          </w:p>
        </w:tc>
      </w:tr>
      <w:tr>
        <w:trPr>
          <w:cantSplit w:val="0"/>
          <w:trHeight w:val="765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after="20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bookmarkStart w:colFirst="0" w:colLast="0" w:name="_heading=h.2et92p0" w:id="3"/>
            <w:bookmarkEnd w:id="3"/>
            <w:r w:rsidDel="00000000" w:rsidR="00000000" w:rsidRPr="00000000">
              <w:rPr>
                <w:rFonts w:ascii="Arial" w:cs="Arial" w:eastAsia="Arial" w:hAnsi="Arial"/>
                <w:color w:val="1f1f1f"/>
                <w:sz w:val="18"/>
                <w:szCs w:val="18"/>
                <w:highlight w:val="white"/>
                <w:rtl w:val="0"/>
              </w:rPr>
              <w:t xml:space="preserve">López-Gil et al, 2023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Self-developed questionnaire; the Social Network Addiction Scale (SNAddS-6S); the Sick, Control, One, Fat, Food (SCOFF) questionnaire </w:t>
            </w:r>
          </w:p>
        </w:tc>
        <w:tc>
          <w:tcPr/>
          <w:p w:rsidR="00000000" w:rsidDel="00000000" w:rsidP="00000000" w:rsidRDefault="00000000" w:rsidRPr="00000000" w14:paraId="00000025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Cuadrado, E., Rojas, R., &amp; Tabernero, C. (2020). Development and Validation of the Social Network Addiction Scale (SNAddS-6S).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European Journal of Investigation in Health, Psychology and Education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(3), 763–778.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Garcia-Campayo, J., Sanz-Carrillo, C., Ibañez, J. A., Lou, S., Solano, V., &amp; Alda, M. (2005). Validation of the Spanish version of the SCOFF questionnaire for the screening of eating disorders in primary care.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Journal of Psychosomatic Research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59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(2), 51–55.</w:t>
            </w:r>
          </w:p>
        </w:tc>
      </w:tr>
      <w:tr>
        <w:trPr>
          <w:cantSplit w:val="0"/>
          <w:trHeight w:val="1036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bookmarkStart w:colFirst="0" w:colLast="0" w:name="_heading=h.17dp8vu" w:id="4"/>
            <w:bookmarkEnd w:id="4"/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Maes et al, 2022</w:t>
            </w:r>
          </w:p>
        </w:tc>
        <w:tc>
          <w:tcPr/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Self-developed questionnaire; the Sociocultural Attitudes Towards Appearance Questionnaire-4 (STATAQ-4); the 9-figure contour scale.</w:t>
            </w:r>
          </w:p>
        </w:tc>
        <w:tc>
          <w:tcPr/>
          <w:p w:rsidR="00000000" w:rsidDel="00000000" w:rsidP="00000000" w:rsidRDefault="00000000" w:rsidRPr="00000000" w14:paraId="00000029">
            <w:pPr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Schaefer, L. M., Burke, N. L., Thompson, J. K., Dedrick, R. F., Heinberg, L. J., Calogero, R. M., Bardone-Cone, A. M., Higgins, M. K., Frederick, D. A., Kelly, M., Anderson, D. A., Schaumberg, K., Nerini, A., Stefanile, C., Dittmar, H., Clark, E., Adams, Z., Macwana, S., Klump, K. L., … Swami, V. (2015). Development and validation of the Sociocultural Attitudes Towards Appearance Questionnaire-4 (SATAQ-4).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Psychological Assessment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27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(1), 54–67. 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Stunkard, A. J., Sorensen, T., &amp; Schulsinger, F. (1983). Use of the Danish Adoption Register for the Study of Obesity and Thinness. Research Publications—Association for Research in Nervous &amp; Mental Disease, 60, 115-120. - References—Scientific Research Publishing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. (s.d.). Recuperato 20 aprile 2024,</w:t>
            </w:r>
          </w:p>
        </w:tc>
      </w:tr>
      <w:tr>
        <w:trPr>
          <w:cantSplit w:val="0"/>
          <w:trHeight w:val="699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bookmarkStart w:colFirst="0" w:colLast="0" w:name="_heading=h.2s8eyo1" w:id="5"/>
            <w:bookmarkEnd w:id="5"/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Marengo et al, 2022</w:t>
            </w:r>
          </w:p>
          <w:p w:rsidR="00000000" w:rsidDel="00000000" w:rsidP="00000000" w:rsidRDefault="00000000" w:rsidRPr="00000000" w14:paraId="0000002C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Self-developed questionnaire; the Italian Bergen Social Media Addiction Scale developed (BSMAS).</w:t>
            </w:r>
          </w:p>
        </w:tc>
        <w:tc>
          <w:tcPr/>
          <w:p w:rsidR="00000000" w:rsidDel="00000000" w:rsidP="00000000" w:rsidRDefault="00000000" w:rsidRPr="00000000" w14:paraId="0000002E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Monacis, L., De Palo, V., Griffiths, M. D., &amp; Sinatra, M. (2017). Social networking addiction, attachment style, and validation of the Italian version of the Bergen Social Media Addiction Scale.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Journal of Behavioral Addictions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(2), 178–186</w:t>
            </w:r>
          </w:p>
        </w:tc>
      </w:tr>
      <w:tr>
        <w:trPr>
          <w:cantSplit w:val="0"/>
          <w:trHeight w:val="375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Muñoz- Rodríguez et al, 2023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Self-developed questionnaire; the CHAID algorithm decision tree.</w:t>
            </w:r>
          </w:p>
        </w:tc>
        <w:tc>
          <w:tcPr/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Arial" w:cs="Arial" w:eastAsia="Arial" w:hAnsi="Arial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none</w:t>
            </w:r>
          </w:p>
        </w:tc>
      </w:tr>
      <w:tr>
        <w:trPr>
          <w:cantSplit w:val="0"/>
          <w:trHeight w:val="160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Nagy et al, 2022</w:t>
            </w:r>
          </w:p>
          <w:p w:rsidR="00000000" w:rsidDel="00000000" w:rsidP="00000000" w:rsidRDefault="00000000" w:rsidRPr="00000000" w14:paraId="00000033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Description of clinical cases.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Arial" w:cs="Arial" w:eastAsia="Arial" w:hAnsi="Arial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none</w:t>
            </w:r>
          </w:p>
        </w:tc>
      </w:tr>
      <w:tr>
        <w:trPr>
          <w:cantSplit w:val="0"/>
          <w:trHeight w:val="264.96093749999994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Pruccoli et al, 2022</w:t>
            </w:r>
          </w:p>
          <w:p w:rsidR="00000000" w:rsidDel="00000000" w:rsidP="00000000" w:rsidRDefault="00000000" w:rsidRPr="00000000" w14:paraId="00000037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Self-developed questionnaire.</w:t>
            </w:r>
          </w:p>
        </w:tc>
        <w:tc>
          <w:tcPr/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Arial" w:cs="Arial" w:eastAsia="Arial" w:hAnsi="Arial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none</w:t>
            </w:r>
          </w:p>
        </w:tc>
      </w:tr>
      <w:tr>
        <w:trPr>
          <w:cantSplit w:val="0"/>
          <w:trHeight w:val="993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bookmarkStart w:colFirst="0" w:colLast="0" w:name="_heading=h.30j0zll" w:id="6"/>
            <w:bookmarkEnd w:id="6"/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Qin et al, 2023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Rule="auto"/>
              <w:jc w:val="both"/>
              <w:rPr>
                <w:rFonts w:ascii="Arial" w:cs="Arial" w:eastAsia="Arial" w:hAnsi="Arial"/>
                <w:color w:val="222222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sz w:val="18"/>
                <w:szCs w:val="18"/>
                <w:rtl w:val="0"/>
              </w:rPr>
              <w:t xml:space="preserve">Self-developed questionnaire.</w:t>
            </w:r>
          </w:p>
        </w:tc>
        <w:tc>
          <w:tcPr/>
          <w:p w:rsidR="00000000" w:rsidDel="00000000" w:rsidP="00000000" w:rsidRDefault="00000000" w:rsidRPr="00000000" w14:paraId="0000003C">
            <w:pPr>
              <w:numPr>
                <w:ilvl w:val="0"/>
                <w:numId w:val="12"/>
              </w:numPr>
              <w:spacing w:after="0" w:line="240" w:lineRule="auto"/>
              <w:ind w:left="720" w:hanging="36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Cao, X., Gong, M., Yu, L., &amp; Dai, B. (2020). Exploring the mechanism of social media addiction: An empirical study from WeChat users.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Internet Research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30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(4), 1305–1328. 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Chen, C., Zhang, K. Z. K., Gong, X., Zhao, S. J., Lee, M. K. O., &amp; Liang, L. (2017). Understanding compulsive smartphone use: An empirical test of a flow-based model.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International Journal of Information Management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37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(5), 438–454.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Kim, D., &amp; Ko, Y. J. (2019). The impact of virtual reality (VR) technology on sport spectators’ flow experience and satisfaction.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Computers in Human Behavior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93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, 346–356.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Nikken, P., &amp; Jansz, J. (2006). Parental mediation of children’s videogame playing: A comparison of the reports by parents and children.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Learning, Media and Technology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31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(2), 181–202. </w:t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Fan, F. (2005a). A Study on the Internet Dependence of College Students: The Revising and Applying of a Measurement.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Psychological development and education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. </w:t>
            </w:r>
          </w:p>
        </w:tc>
      </w:tr>
      <w:tr>
        <w:trPr>
          <w:cantSplit w:val="0"/>
          <w:trHeight w:val="160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bookmarkStart w:colFirst="0" w:colLast="0" w:name="_heading=h.4d34og8" w:id="7"/>
            <w:bookmarkEnd w:id="7"/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Qin et al, 2022</w:t>
            </w:r>
          </w:p>
          <w:p w:rsidR="00000000" w:rsidDel="00000000" w:rsidP="00000000" w:rsidRDefault="00000000" w:rsidRPr="00000000" w14:paraId="00000042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Self-developed questionnaire.</w:t>
            </w:r>
          </w:p>
        </w:tc>
        <w:tc>
          <w:tcPr/>
          <w:p w:rsidR="00000000" w:rsidDel="00000000" w:rsidP="00000000" w:rsidRDefault="00000000" w:rsidRPr="00000000" w14:paraId="00000044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Zhang, K., Min, Q., Liu, Z., &amp; Liu, Z. (2016). Understanding microblog continuance usage intention: An integrated model.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Aslib Journal of Information Management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68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(6), 772–792. 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Lee, S., &amp; Kim, B. G. (2017). The impact of qualities of social network service on the continuance usage intention.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Management Decision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55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(4), 701–729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Nelson, R. R., Todd, P. A., &amp; Wixom, B. H. (2005a). Antecedents of Information and System Quality: An Empirical Examination Within the Context of Data Warehousing.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Journal of Management Information Systems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21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(4), 199–235</w:t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8"/>
              </w:numPr>
              <w:spacing w:after="0" w:line="240" w:lineRule="auto"/>
              <w:ind w:left="720" w:hanging="36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Cao, X., Gong, M., Yu, L., &amp; Dai, B. (2020). Exploring the mechanism of social media addiction: An empirical study from WeChat users.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Internet Research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30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(4), 1305–1328. </w:t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Chen, C., Zhang, K. Z. K., Gong, X., Zhao, S. J., Lee, M. K. O., &amp; Liang, L. (2017). Understanding compulsive smartphone use: An empirical test of a flow-based model.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International Journal of Information Management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37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(5), 438–454.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Novak, T., Hoffman, D., &amp; Yung, Y.-F. (2000). Measuring the Customer Experience in Online Environments: A Structural Modeling Approach.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Marketing Science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19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, 22–42. 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Fan, F. (2005a). A Study on the Internet Dependence of College Students: The Revising and Applying of a Measurement.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Psychological development and education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.</w:t>
            </w:r>
          </w:p>
        </w:tc>
      </w:tr>
      <w:tr>
        <w:trPr>
          <w:cantSplit w:val="0"/>
          <w:trHeight w:val="45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Sagrera et al, 2022 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Self-developed interview.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Rule="auto"/>
              <w:jc w:val="both"/>
              <w:rPr>
                <w:rFonts w:ascii="Arial" w:cs="Arial" w:eastAsia="Arial" w:hAnsi="Arial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none</w:t>
            </w:r>
          </w:p>
        </w:tc>
      </w:tr>
      <w:tr>
        <w:trPr>
          <w:cantSplit w:val="0"/>
          <w:trHeight w:val="930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after="20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bookmarkStart w:colFirst="0" w:colLast="0" w:name="_heading=h.tyjcwt" w:id="8"/>
            <w:bookmarkEnd w:id="8"/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Sarman et al, 2023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bookmarkStart w:colFirst="0" w:colLast="0" w:name="_heading=h.3dy6vkm" w:id="9"/>
            <w:bookmarkEnd w:id="9"/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Self-developed questionnaire; the UCLA Loneliness Scale; the Adolescent Anger Rating Scale.</w:t>
            </w:r>
          </w:p>
        </w:tc>
        <w:tc>
          <w:tcPr/>
          <w:p w:rsidR="00000000" w:rsidDel="00000000" w:rsidP="00000000" w:rsidRDefault="00000000" w:rsidRPr="00000000" w14:paraId="00000050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Russell, D., Peplau, L. A., &amp; Cutrona, C. E. (1980). The revised UCLA Loneliness Scale: Concurrent and discriminant validity evidence.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Journal of Personality and Social Psychology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39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(3), 472–480. 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2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McKinnie Burney, D., &amp; Kromrey, J. (2001). Initial development and score validation of the Adolescent Anger Rating Scale.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Educational and Psychological Measurement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61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(3), 446–460. </w:t>
            </w:r>
          </w:p>
        </w:tc>
      </w:tr>
      <w:tr>
        <w:trPr>
          <w:cantSplit w:val="0"/>
          <w:trHeight w:val="1770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bookmarkStart w:colFirst="0" w:colLast="0" w:name="_heading=h.26in1rg" w:id="10"/>
            <w:bookmarkEnd w:id="10"/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Sha et al, 2021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Smartphone Addiction Scale short version adapted for TikTok; Depression Anxiety Stress Scales 21; forward and backward digit spans.</w:t>
            </w:r>
          </w:p>
        </w:tc>
        <w:tc>
          <w:tcPr/>
          <w:p w:rsidR="00000000" w:rsidDel="00000000" w:rsidP="00000000" w:rsidRDefault="00000000" w:rsidRPr="00000000" w14:paraId="00000054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Kwon, M., Kim, D.-J., Cho, H., &amp; Yang, S. (2013). The Smartphone Addiction Scale: Development and Validation of a Short Version for Adolescents.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PLOS ONE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8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(12), e83558. </w:t>
            </w:r>
          </w:p>
          <w:p w:rsidR="00000000" w:rsidDel="00000000" w:rsidP="00000000" w:rsidRDefault="00000000" w:rsidRPr="00000000" w14:paraId="00000055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Ng, F., Trauer, T., Dodd, S., Callaly, T., Campbell, S., &amp; Berk, M. (2007). The validity of the 21-item version of the Depression Anxiety Stress Scales as a routine clinical outcome measure.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Acta Neuropsychiatrica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19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(5), 304–310.</w:t>
            </w:r>
          </w:p>
        </w:tc>
      </w:tr>
      <w:tr>
        <w:trPr>
          <w:cantSplit w:val="0"/>
          <w:trHeight w:val="49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56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bookmarkStart w:colFirst="0" w:colLast="0" w:name="_heading=h.1t3h5sf" w:id="11"/>
            <w:bookmarkEnd w:id="11"/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Soriano-Ayala et al, 2022</w:t>
            </w:r>
          </w:p>
          <w:p w:rsidR="00000000" w:rsidDel="00000000" w:rsidP="00000000" w:rsidRDefault="00000000" w:rsidRPr="00000000" w14:paraId="00000057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Study 1: adapted and abbreviated version of the scientific scale of Graff et al (2013).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9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Graff, K. A., Murnen, S. K., &amp; Krause, A. K. (2013). Low-cut shirts and high-heeled shoes: Increased sexualization across time in magazine depictions of girls.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Sex Roles: A Journal of Research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69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(11–12), 571–582. </w:t>
            </w:r>
          </w:p>
          <w:p w:rsidR="00000000" w:rsidDel="00000000" w:rsidP="00000000" w:rsidRDefault="00000000" w:rsidRPr="00000000" w14:paraId="0000005A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Braun, V., &amp; Clarke, V. (2006). Using thematic analysis in psychology.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Qualitative Research in Psychology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(2), 77–101.</w:t>
            </w:r>
          </w:p>
        </w:tc>
      </w:tr>
      <w:tr>
        <w:trPr>
          <w:cantSplit w:val="0"/>
          <w:trHeight w:val="56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Study 2: self-developed semi-structured interview; thematic analysis of contents.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7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bookmarkStart w:colFirst="0" w:colLast="0" w:name="_heading=h.3rdcrjn" w:id="12"/>
            <w:bookmarkEnd w:id="12"/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Wu et al, 2021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Self-developed questionnaire; the Satisfaction with Life scale; the Positive Affect and Negative Affect Scale for Children.</w:t>
            </w:r>
          </w:p>
        </w:tc>
        <w:tc>
          <w:tcPr/>
          <w:p w:rsidR="00000000" w:rsidDel="00000000" w:rsidP="00000000" w:rsidRDefault="00000000" w:rsidRPr="00000000" w14:paraId="00000060">
            <w:pPr>
              <w:numPr>
                <w:ilvl w:val="0"/>
                <w:numId w:val="7"/>
              </w:numPr>
              <w:spacing w:after="0" w:afterAutospacing="0"/>
              <w:ind w:left="720" w:hanging="36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Diener, E., Emmons, R. A., Larsen, R. J., &amp; Griffin, S. (1985). The Satisfaction With Life Scale.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Journal of Personality Assessment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49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(1), 71–75. </w:t>
            </w:r>
          </w:p>
          <w:p w:rsidR="00000000" w:rsidDel="00000000" w:rsidP="00000000" w:rsidRDefault="00000000" w:rsidRPr="00000000" w14:paraId="00000061">
            <w:pPr>
              <w:numPr>
                <w:ilvl w:val="0"/>
                <w:numId w:val="7"/>
              </w:numPr>
              <w:ind w:left="720" w:hanging="36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Laurent, J., Catanzaro, S. J., Joiner Jr., T. E., Rudolph, K. D., Potter, K. I., Lambert, S., Osborne, L., &amp; Gathright, T. (1999). A measure of positive and negative affect for children: Scale development and preliminary validation.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Psychological Assessment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11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(3), 326–338. </w:t>
            </w:r>
          </w:p>
        </w:tc>
      </w:tr>
    </w:tbl>
    <w:p w:rsidR="00000000" w:rsidDel="00000000" w:rsidP="00000000" w:rsidRDefault="00000000" w:rsidRPr="00000000" w14:paraId="00000062">
      <w:pPr>
        <w:tabs>
          <w:tab w:val="left" w:leader="none" w:pos="9540"/>
        </w:tabs>
        <w:spacing w:after="200"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tabs>
          <w:tab w:val="left" w:leader="none" w:pos="9540"/>
        </w:tabs>
        <w:spacing w:after="200"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JOURNAL: </w:t>
      </w:r>
      <w:hyperlink r:id="rId7">
        <w:r w:rsidDel="00000000" w:rsidR="00000000" w:rsidRPr="00000000">
          <w:rPr>
            <w:rFonts w:ascii="Arial" w:cs="Arial" w:eastAsia="Arial" w:hAnsi="Arial"/>
            <w:b w:val="1"/>
            <w:rtl w:val="0"/>
          </w:rPr>
          <w:t xml:space="preserve">European Child &amp; Adolescent Psychiatry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ARTICLE TITLE: Scrolling through Adolescence: a systematic review of the Impact of TikTok on adolescent mental health</w:t>
      </w:r>
    </w:p>
    <w:p w:rsidR="00000000" w:rsidDel="00000000" w:rsidP="00000000" w:rsidRDefault="00000000" w:rsidRPr="00000000" w14:paraId="00000065">
      <w:pPr>
        <w:spacing w:after="0" w:lin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Giulia Conte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1a</w:t>
      </w:r>
      <w:r w:rsidDel="00000000" w:rsidR="00000000" w:rsidRPr="00000000">
        <w:rPr>
          <w:rFonts w:ascii="Arial" w:cs="Arial" w:eastAsia="Arial" w:hAnsi="Arial"/>
          <w:rtl w:val="0"/>
        </w:rPr>
        <w:t xml:space="preserve">, Giorgia Di Iorio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1a</w:t>
      </w:r>
      <w:r w:rsidDel="00000000" w:rsidR="00000000" w:rsidRPr="00000000">
        <w:rPr>
          <w:rFonts w:ascii="Arial" w:cs="Arial" w:eastAsia="Arial" w:hAnsi="Arial"/>
          <w:rtl w:val="0"/>
        </w:rPr>
        <w:t xml:space="preserve">, Dario Esposito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rtl w:val="0"/>
        </w:rPr>
        <w:t xml:space="preserve">, Sara Romano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rtl w:val="0"/>
        </w:rPr>
        <w:t xml:space="preserve">, Fabiola Panvino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rtl w:val="0"/>
        </w:rPr>
        <w:t xml:space="preserve">, Susanna Maggi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rtl w:val="0"/>
        </w:rPr>
        <w:t xml:space="preserve">, Benedetta Altomonte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rtl w:val="0"/>
        </w:rPr>
        <w:t xml:space="preserve">, Maria Pia Casini 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rtl w:val="0"/>
        </w:rPr>
        <w:t xml:space="preserve">, Mauro Ferrara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1,</w:t>
      </w:r>
      <w:r w:rsidDel="00000000" w:rsidR="00000000" w:rsidRPr="00000000">
        <w:rPr>
          <w:rFonts w:ascii="Arial" w:cs="Arial" w:eastAsia="Arial" w:hAnsi="Arial"/>
          <w:rtl w:val="0"/>
        </w:rPr>
        <w:t xml:space="preserve">, Arianna Terrinoni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1*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 these authors contributed equally to this work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240" w:lineRule="auto"/>
        <w:jc w:val="both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Department of Human Neuroscience, Unit of Child and Adolescent Neuropsychiatry, Sapienza University of Rome, Via dei Sabelli 108, 00185 Rome, Italy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 </w:t>
      </w:r>
    </w:p>
    <w:p w:rsidR="00000000" w:rsidDel="00000000" w:rsidP="00000000" w:rsidRDefault="00000000" w:rsidRPr="00000000" w14:paraId="0000006D">
      <w:pPr>
        <w:spacing w:after="0" w:lin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240" w:lineRule="auto"/>
        <w:jc w:val="both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Corresponding author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: </w:t>
      </w:r>
    </w:p>
    <w:p w:rsidR="00000000" w:rsidDel="00000000" w:rsidP="00000000" w:rsidRDefault="00000000" w:rsidRPr="00000000" w14:paraId="0000006F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Arianna Terrinoni, MD</w:t>
      </w:r>
    </w:p>
    <w:p w:rsidR="00000000" w:rsidDel="00000000" w:rsidP="00000000" w:rsidRDefault="00000000" w:rsidRPr="00000000" w14:paraId="00000070">
      <w:pPr>
        <w:spacing w:after="0" w:line="276" w:lineRule="auto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E-mail: a.terrinoni@policlinicoumberto1.it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Cambria Math">
    <w:embedRegular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Aptos" w:cs="Aptos" w:eastAsia="Aptos" w:hAnsi="Aptos"/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e" w:default="1">
    <w:name w:val="Normal"/>
    <w:qFormat w:val="1"/>
    <w:rsid w:val="00E8119E"/>
  </w:style>
  <w:style w:type="paragraph" w:styleId="Titolo1">
    <w:name w:val="heading 1"/>
    <w:basedOn w:val="Normale"/>
    <w:next w:val="Normale"/>
    <w:link w:val="Titolo1Carattere"/>
    <w:uiPriority w:val="9"/>
    <w:qFormat w:val="1"/>
    <w:rsid w:val="00E8119E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kern w:val="2"/>
      <w:sz w:val="40"/>
      <w:szCs w:val="40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 w:val="1"/>
    <w:unhideWhenUsed w:val="1"/>
    <w:qFormat w:val="1"/>
    <w:rsid w:val="00E8119E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kern w:val="2"/>
      <w:sz w:val="32"/>
      <w:szCs w:val="3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 w:val="1"/>
    <w:unhideWhenUsed w:val="1"/>
    <w:qFormat w:val="1"/>
    <w:rsid w:val="00E8119E"/>
    <w:pPr>
      <w:keepNext w:val="1"/>
      <w:keepLines w:val="1"/>
      <w:spacing w:after="80" w:before="160"/>
      <w:outlineLvl w:val="2"/>
    </w:pPr>
    <w:rPr>
      <w:rFonts w:asciiTheme="minorHAnsi" w:cstheme="majorBidi" w:eastAsiaTheme="majorEastAsia" w:hAnsiTheme="minorHAnsi"/>
      <w:color w:val="0f4761" w:themeColor="accent1" w:themeShade="0000BF"/>
      <w:kern w:val="2"/>
      <w:sz w:val="28"/>
      <w:szCs w:val="28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 w:val="1"/>
    <w:unhideWhenUsed w:val="1"/>
    <w:qFormat w:val="1"/>
    <w:rsid w:val="00E8119E"/>
    <w:pPr>
      <w:keepNext w:val="1"/>
      <w:keepLines w:val="1"/>
      <w:spacing w:after="40" w:before="80"/>
      <w:outlineLvl w:val="3"/>
    </w:pPr>
    <w:rPr>
      <w:rFonts w:asciiTheme="minorHAnsi" w:cstheme="majorBidi" w:eastAsiaTheme="majorEastAsia" w:hAnsiTheme="minorHAnsi"/>
      <w:i w:val="1"/>
      <w:iCs w:val="1"/>
      <w:color w:val="0f4761" w:themeColor="accent1" w:themeShade="0000BF"/>
      <w:kern w:val="2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 w:val="1"/>
    <w:unhideWhenUsed w:val="1"/>
    <w:qFormat w:val="1"/>
    <w:rsid w:val="00E8119E"/>
    <w:pPr>
      <w:keepNext w:val="1"/>
      <w:keepLines w:val="1"/>
      <w:spacing w:after="40" w:before="80"/>
      <w:outlineLvl w:val="4"/>
    </w:pPr>
    <w:rPr>
      <w:rFonts w:asciiTheme="minorHAnsi" w:cstheme="majorBidi" w:eastAsiaTheme="majorEastAsia" w:hAnsiTheme="minorHAnsi"/>
      <w:color w:val="0f4761" w:themeColor="accent1" w:themeShade="0000BF"/>
      <w:kern w:val="2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 w:val="1"/>
    <w:unhideWhenUsed w:val="1"/>
    <w:qFormat w:val="1"/>
    <w:rsid w:val="00E8119E"/>
    <w:pPr>
      <w:keepNext w:val="1"/>
      <w:keepLines w:val="1"/>
      <w:spacing w:after="0" w:before="40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  <w:kern w:val="2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 w:val="1"/>
    <w:unhideWhenUsed w:val="1"/>
    <w:qFormat w:val="1"/>
    <w:rsid w:val="00E8119E"/>
    <w:pPr>
      <w:keepNext w:val="1"/>
      <w:keepLines w:val="1"/>
      <w:spacing w:after="0" w:before="40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 w:val="1"/>
    <w:unhideWhenUsed w:val="1"/>
    <w:qFormat w:val="1"/>
    <w:rsid w:val="00E8119E"/>
    <w:pPr>
      <w:keepNext w:val="1"/>
      <w:keepLines w:val="1"/>
      <w:spacing w:after="0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 w:val="1"/>
    <w:unhideWhenUsed w:val="1"/>
    <w:qFormat w:val="1"/>
    <w:rsid w:val="00E8119E"/>
    <w:pPr>
      <w:keepNext w:val="1"/>
      <w:keepLines w:val="1"/>
      <w:spacing w:after="0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lang w:eastAsia="en-US"/>
    </w:rPr>
  </w:style>
  <w:style w:type="character" w:styleId="Carpredefinitoparagrafo" w:default="1">
    <w:name w:val="Default Paragraph Font"/>
    <w:uiPriority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 w:val="1"/>
    <w:rsid w:val="00E8119E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  <w:lang w:eastAsia="en-US"/>
    </w:rPr>
  </w:style>
  <w:style w:type="character" w:styleId="Titolo1Carattere" w:customStyle="1">
    <w:name w:val="Titolo 1 Carattere"/>
    <w:basedOn w:val="Carpredefinitoparagrafo"/>
    <w:link w:val="Titolo1"/>
    <w:uiPriority w:val="9"/>
    <w:rsid w:val="00E8119E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rsid w:val="00E8119E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rsid w:val="00E8119E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rsid w:val="00E8119E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rsid w:val="00E8119E"/>
    <w:rPr>
      <w:rFonts w:cstheme="majorBidi" w:eastAsiaTheme="majorEastAsia"/>
      <w:color w:val="0f4761" w:themeColor="accent1" w:themeShade="0000BF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rsid w:val="00E8119E"/>
    <w:rPr>
      <w:rFonts w:cstheme="majorBidi" w:eastAsiaTheme="majorEastAsia"/>
      <w:i w:val="1"/>
      <w:iCs w:val="1"/>
      <w:color w:val="595959" w:themeColor="text1" w:themeTint="0000A6"/>
    </w:rPr>
  </w:style>
  <w:style w:type="character" w:styleId="Titolo7Carattere" w:customStyle="1">
    <w:name w:val="Titolo 7 Carattere"/>
    <w:basedOn w:val="Carpredefinitoparagrafo"/>
    <w:link w:val="Titolo7"/>
    <w:uiPriority w:val="9"/>
    <w:semiHidden w:val="1"/>
    <w:rsid w:val="00E8119E"/>
    <w:rPr>
      <w:rFonts w:cstheme="majorBidi" w:eastAsiaTheme="majorEastAsia"/>
      <w:color w:val="595959" w:themeColor="text1" w:themeTint="0000A6"/>
    </w:rPr>
  </w:style>
  <w:style w:type="character" w:styleId="Titolo8Carattere" w:customStyle="1">
    <w:name w:val="Titolo 8 Carattere"/>
    <w:basedOn w:val="Carpredefinitoparagrafo"/>
    <w:link w:val="Titolo8"/>
    <w:uiPriority w:val="9"/>
    <w:semiHidden w:val="1"/>
    <w:rsid w:val="00E8119E"/>
    <w:rPr>
      <w:rFonts w:cstheme="majorBidi" w:eastAsiaTheme="majorEastAsia"/>
      <w:i w:val="1"/>
      <w:iCs w:val="1"/>
      <w:color w:val="272727" w:themeColor="text1" w:themeTint="0000D8"/>
    </w:rPr>
  </w:style>
  <w:style w:type="character" w:styleId="Titolo9Carattere" w:customStyle="1">
    <w:name w:val="Titolo 9 Carattere"/>
    <w:basedOn w:val="Carpredefinitoparagrafo"/>
    <w:link w:val="Titolo9"/>
    <w:uiPriority w:val="9"/>
    <w:semiHidden w:val="1"/>
    <w:rsid w:val="00E8119E"/>
    <w:rPr>
      <w:rFonts w:cstheme="majorBidi" w:eastAsiaTheme="majorEastAsia"/>
      <w:color w:val="272727" w:themeColor="text1" w:themeTint="0000D8"/>
    </w:rPr>
  </w:style>
  <w:style w:type="character" w:styleId="TitoloCarattere" w:customStyle="1">
    <w:name w:val="Titolo Carattere"/>
    <w:basedOn w:val="Carpredefinitoparagrafo"/>
    <w:link w:val="Titolo"/>
    <w:uiPriority w:val="10"/>
    <w:rsid w:val="00E8119E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 w:val="1"/>
    <w:rPr>
      <w:rFonts w:ascii="Aptos" w:cs="Aptos" w:eastAsia="Aptos" w:hAnsi="Aptos"/>
      <w:color w:val="595959"/>
      <w:sz w:val="28"/>
      <w:szCs w:val="28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E8119E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 w:val="1"/>
    <w:rsid w:val="00E8119E"/>
    <w:pPr>
      <w:spacing w:before="160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lang w:eastAsia="en-US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E8119E"/>
    <w:rPr>
      <w:i w:val="1"/>
      <w:iCs w:val="1"/>
      <w:color w:val="404040" w:themeColor="text1" w:themeTint="0000BF"/>
    </w:rPr>
  </w:style>
  <w:style w:type="paragraph" w:styleId="Paragrafoelenco">
    <w:name w:val="List Paragraph"/>
    <w:basedOn w:val="Normale"/>
    <w:uiPriority w:val="34"/>
    <w:qFormat w:val="1"/>
    <w:rsid w:val="00E8119E"/>
    <w:pPr>
      <w:ind w:left="720"/>
      <w:contextualSpacing w:val="1"/>
    </w:pPr>
    <w:rPr>
      <w:rFonts w:asciiTheme="minorHAnsi" w:cstheme="minorBidi" w:eastAsiaTheme="minorHAnsi" w:hAnsiTheme="minorHAnsi"/>
      <w:kern w:val="2"/>
      <w:lang w:eastAsia="en-US"/>
    </w:rPr>
  </w:style>
  <w:style w:type="character" w:styleId="Enfasiintensa">
    <w:name w:val="Intense Emphasis"/>
    <w:basedOn w:val="Carpredefinitoparagrafo"/>
    <w:uiPriority w:val="21"/>
    <w:qFormat w:val="1"/>
    <w:rsid w:val="00E8119E"/>
    <w:rPr>
      <w:i w:val="1"/>
      <w:iCs w:val="1"/>
      <w:color w:val="0f4761" w:themeColor="accent1" w:themeShade="0000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rsid w:val="00E8119E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lang w:eastAsia="en-US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E8119E"/>
    <w:rPr>
      <w:i w:val="1"/>
      <w:iCs w:val="1"/>
      <w:color w:val="0f4761" w:themeColor="accent1" w:themeShade="0000BF"/>
    </w:rPr>
  </w:style>
  <w:style w:type="character" w:styleId="Riferimentointenso">
    <w:name w:val="Intense Reference"/>
    <w:basedOn w:val="Carpredefinitoparagrafo"/>
    <w:uiPriority w:val="32"/>
    <w:qFormat w:val="1"/>
    <w:rsid w:val="00E8119E"/>
    <w:rPr>
      <w:b w:val="1"/>
      <w:bCs w:val="1"/>
      <w:smallCaps w:val="1"/>
      <w:color w:val="0f4761" w:themeColor="accent1" w:themeShade="0000BF"/>
      <w:spacing w:val="5"/>
    </w:rPr>
  </w:style>
  <w:style w:type="table" w:styleId="a" w:customStyle="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Collegamentoipertestuale">
    <w:name w:val="Hyperlink"/>
    <w:basedOn w:val="Carpredefinitoparagrafo"/>
    <w:uiPriority w:val="99"/>
    <w:unhideWhenUsed w:val="1"/>
    <w:rsid w:val="00F22BB5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F22BB5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/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link.springer.com/journal/787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wNz3XvUC/pdFOk/OQ5vLNWWRJQ==">CgMxLjAyCGgubG54Yno5MgloLjFmb2I5dGUyCWguM3pueXNoNzIJaC4yZXQ5MnAwMgloLjE3ZHA4dnUyCWguMnM4ZXlvMTIJaC4zMGowemxsMgloLjRkMzRvZzgyCGgudHlqY3d0MgloLjNkeTZ2a20yCWguMjZpbjFyZzIJaC4xdDNoNXNmMgloLjNyZGNyam44AHIhMVFZTVczV2tLWHJEXzRRWTBBcHlHQ2FOWW53VHVxRE8w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2024-02-13T18:13:00Z</dcterms:created>
  <dc:creator>Giorgia Di Iorio</dc:creator>
</cp:coreProperties>
</file>