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9287" w14:textId="77777777" w:rsidR="001C216E" w:rsidRPr="002A6228" w:rsidRDefault="001C216E" w:rsidP="002A62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F67CE8" w14:textId="77777777" w:rsidR="005602BE" w:rsidRPr="002A6228" w:rsidRDefault="005602BE" w:rsidP="002A622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A6228">
        <w:rPr>
          <w:rFonts w:ascii="Times New Roman" w:hAnsi="Times New Roman" w:cs="Times New Roman"/>
          <w:i/>
          <w:iCs/>
          <w:sz w:val="24"/>
          <w:szCs w:val="24"/>
        </w:rPr>
        <w:t xml:space="preserve">Quality Assessment </w:t>
      </w:r>
    </w:p>
    <w:tbl>
      <w:tblPr>
        <w:tblW w:w="887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1134"/>
        <w:gridCol w:w="1701"/>
        <w:gridCol w:w="1134"/>
        <w:gridCol w:w="850"/>
        <w:gridCol w:w="992"/>
      </w:tblGrid>
      <w:tr w:rsidR="005602BE" w:rsidRPr="002A6228" w14:paraId="38F6987C" w14:textId="77777777" w:rsidTr="005602BE">
        <w:trPr>
          <w:trHeight w:val="20"/>
        </w:trPr>
        <w:tc>
          <w:tcPr>
            <w:tcW w:w="3061" w:type="dxa"/>
            <w:vMerge w:val="restart"/>
            <w:tcBorders>
              <w:top w:val="single" w:sz="4" w:space="0" w:color="auto"/>
              <w:bottom w:val="nil"/>
            </w:tcBorders>
            <w:shd w:val="clear" w:color="FFFFFF" w:fill="FFFFFF"/>
            <w:vAlign w:val="center"/>
            <w:hideMark/>
          </w:tcPr>
          <w:p w14:paraId="44227898" w14:textId="33A8259D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Author</w:t>
            </w:r>
            <w:r w:rsidR="008E2220" w:rsidRPr="002A6228">
              <w:rPr>
                <w:rFonts w:ascii="Times New Roman" w:eastAsia="PMingLiU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s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792E6A" w14:textId="20D19D64" w:rsidR="005602BE" w:rsidRPr="002A6228" w:rsidRDefault="00ED2F38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Risk of Bias</w:t>
            </w:r>
          </w:p>
        </w:tc>
      </w:tr>
      <w:tr w:rsidR="005602BE" w:rsidRPr="002A6228" w14:paraId="3F1BD791" w14:textId="77777777" w:rsidTr="005602BE">
        <w:trPr>
          <w:trHeight w:val="20"/>
        </w:trPr>
        <w:tc>
          <w:tcPr>
            <w:tcW w:w="306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744B02D" w14:textId="77777777" w:rsidR="005602BE" w:rsidRPr="002A6228" w:rsidRDefault="005602BE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279419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Selection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69768B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Comparability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F5AF2D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Exposure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4E34C7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Score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4B918F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Risk of Bias</w:t>
            </w:r>
          </w:p>
        </w:tc>
      </w:tr>
      <w:tr w:rsidR="005602BE" w:rsidRPr="002A6228" w14:paraId="0CE427F8" w14:textId="77777777" w:rsidTr="00D3017B">
        <w:trPr>
          <w:trHeight w:val="20"/>
        </w:trPr>
        <w:tc>
          <w:tcPr>
            <w:tcW w:w="3061" w:type="dxa"/>
            <w:tcBorders>
              <w:top w:val="single" w:sz="4" w:space="0" w:color="auto"/>
            </w:tcBorders>
            <w:vAlign w:val="center"/>
            <w:hideMark/>
          </w:tcPr>
          <w:p w14:paraId="2A29AD7E" w14:textId="4566267D" w:rsidR="005602BE" w:rsidRPr="002A6228" w:rsidRDefault="002B03CF" w:rsidP="002A6228">
            <w:pPr>
              <w:widowControl/>
              <w:spacing w:line="480" w:lineRule="auto"/>
              <w:jc w:val="left"/>
              <w:rPr>
                <w:rFonts w:ascii="Times New Roman" w:eastAsia="PMingLiU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Babinski</w:t>
            </w:r>
            <w:r w:rsidR="00AB6EE8"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 xml:space="preserve"> et al. </w:t>
            </w:r>
            <w:r w:rsidR="004E1EE8" w:rsidRPr="002A6228">
              <w:rPr>
                <w:rFonts w:ascii="Times New Roman" w:eastAsia="PMingLiU" w:hAnsi="Times New Roman" w:cs="Times New Roman"/>
                <w:noProof/>
                <w:color w:val="000000"/>
                <w:kern w:val="0"/>
                <w:sz w:val="24"/>
                <w:szCs w:val="24"/>
                <w:lang w:eastAsia="zh-TW"/>
              </w:rPr>
              <w:t>[1]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F1901F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32A478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DC53B4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83FE80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2FC753BC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5602BE" w:rsidRPr="002A6228" w14:paraId="43DC1295" w14:textId="77777777" w:rsidTr="00D3017B">
        <w:trPr>
          <w:trHeight w:val="20"/>
        </w:trPr>
        <w:tc>
          <w:tcPr>
            <w:tcW w:w="3061" w:type="dxa"/>
            <w:vAlign w:val="center"/>
            <w:hideMark/>
          </w:tcPr>
          <w:p w14:paraId="27DE1250" w14:textId="639B4A80" w:rsidR="005602BE" w:rsidRPr="002A6228" w:rsidRDefault="000A4574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Bethune</w:t>
            </w:r>
            <w:r w:rsidR="00AB6EE8"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 xml:space="preserve"> et al.</w:t>
            </w:r>
            <w:r w:rsidR="004E1EE8" w:rsidRPr="002A6228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4"/>
                <w:szCs w:val="24"/>
              </w:rPr>
              <w:t xml:space="preserve"> [2]</w:t>
            </w:r>
          </w:p>
        </w:tc>
        <w:tc>
          <w:tcPr>
            <w:tcW w:w="1134" w:type="dxa"/>
            <w:noWrap/>
            <w:vAlign w:val="center"/>
            <w:hideMark/>
          </w:tcPr>
          <w:p w14:paraId="0D7149E7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4E2CD74B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294C30D0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6AF969DC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7D5F1601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5602BE" w:rsidRPr="002A6228" w14:paraId="779DD29C" w14:textId="77777777" w:rsidTr="00D3017B">
        <w:trPr>
          <w:trHeight w:val="20"/>
        </w:trPr>
        <w:tc>
          <w:tcPr>
            <w:tcW w:w="3061" w:type="dxa"/>
            <w:vAlign w:val="center"/>
            <w:hideMark/>
          </w:tcPr>
          <w:p w14:paraId="416D6BD6" w14:textId="3575D592" w:rsidR="005602BE" w:rsidRPr="002A6228" w:rsidRDefault="00A06839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hAnsi="Times New Roman" w:cs="Times New Roman"/>
                <w:noProof/>
                <w:sz w:val="24"/>
                <w:szCs w:val="24"/>
              </w:rPr>
              <w:t>Cardoos</w:t>
            </w:r>
            <w:r w:rsidR="00AB6EE8"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 xml:space="preserve"> et al.</w:t>
            </w:r>
            <w:r w:rsidR="004E1EE8" w:rsidRPr="002A6228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4"/>
                <w:szCs w:val="24"/>
              </w:rPr>
              <w:t xml:space="preserve"> [3]</w:t>
            </w:r>
          </w:p>
        </w:tc>
        <w:tc>
          <w:tcPr>
            <w:tcW w:w="1134" w:type="dxa"/>
            <w:noWrap/>
            <w:vAlign w:val="center"/>
            <w:hideMark/>
          </w:tcPr>
          <w:p w14:paraId="1DCECEDB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21E2606E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49A30A2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2A487412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38999960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5602BE" w:rsidRPr="002A6228" w14:paraId="278FA2E2" w14:textId="77777777" w:rsidTr="00D3017B">
        <w:trPr>
          <w:trHeight w:val="20"/>
        </w:trPr>
        <w:tc>
          <w:tcPr>
            <w:tcW w:w="3061" w:type="dxa"/>
            <w:vAlign w:val="center"/>
            <w:hideMark/>
          </w:tcPr>
          <w:p w14:paraId="7CA5A999" w14:textId="52ED7312" w:rsidR="005602BE" w:rsidRPr="002A6228" w:rsidRDefault="000F7BF5" w:rsidP="002A6228">
            <w:pPr>
              <w:widowControl/>
              <w:spacing w:line="480" w:lineRule="auto"/>
              <w:jc w:val="left"/>
              <w:rPr>
                <w:rFonts w:ascii="Times New Roman" w:eastAsia="PMingLiU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Chan</w:t>
            </w:r>
            <w:r w:rsidR="00AB6EE8"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 xml:space="preserve"> et al.</w:t>
            </w:r>
            <w:r w:rsidR="004E1EE8" w:rsidRPr="002A6228">
              <w:rPr>
                <w:rFonts w:ascii="Times New Roman" w:eastAsia="PMingLiU" w:hAnsi="Times New Roman" w:cs="Times New Roman"/>
                <w:noProof/>
                <w:color w:val="000000"/>
                <w:kern w:val="0"/>
                <w:sz w:val="24"/>
                <w:szCs w:val="24"/>
                <w:lang w:eastAsia="zh-TW"/>
              </w:rPr>
              <w:t xml:space="preserve"> [4]</w:t>
            </w:r>
          </w:p>
        </w:tc>
        <w:tc>
          <w:tcPr>
            <w:tcW w:w="1134" w:type="dxa"/>
            <w:noWrap/>
            <w:vAlign w:val="center"/>
            <w:hideMark/>
          </w:tcPr>
          <w:p w14:paraId="7A684764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0D87CE6D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2E06F242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5B888C77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20819DCE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5602BE" w:rsidRPr="002A6228" w14:paraId="7ED4D433" w14:textId="77777777" w:rsidTr="00D3017B">
        <w:trPr>
          <w:trHeight w:val="20"/>
        </w:trPr>
        <w:tc>
          <w:tcPr>
            <w:tcW w:w="3061" w:type="dxa"/>
            <w:vAlign w:val="center"/>
            <w:hideMark/>
          </w:tcPr>
          <w:p w14:paraId="4C6870AC" w14:textId="4C8454F6" w:rsidR="005602BE" w:rsidRPr="002A6228" w:rsidRDefault="00D10600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Chronis</w:t>
            </w:r>
            <w:r w:rsidR="00AB6EE8"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 xml:space="preserve"> et al.</w:t>
            </w:r>
            <w:r w:rsidR="004E1EE8" w:rsidRPr="002A6228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4"/>
                <w:szCs w:val="24"/>
              </w:rPr>
              <w:t xml:space="preserve"> [5]</w:t>
            </w:r>
          </w:p>
        </w:tc>
        <w:tc>
          <w:tcPr>
            <w:tcW w:w="1134" w:type="dxa"/>
            <w:noWrap/>
            <w:vAlign w:val="center"/>
            <w:hideMark/>
          </w:tcPr>
          <w:p w14:paraId="5DB755A4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5D5D68A4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63844347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6415E39E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36CA02A9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5602BE" w:rsidRPr="002A6228" w14:paraId="79FE43D4" w14:textId="77777777" w:rsidTr="00D3017B">
        <w:trPr>
          <w:trHeight w:val="20"/>
        </w:trPr>
        <w:tc>
          <w:tcPr>
            <w:tcW w:w="3061" w:type="dxa"/>
            <w:vAlign w:val="center"/>
          </w:tcPr>
          <w:p w14:paraId="50BAD082" w14:textId="582075D9" w:rsidR="005602BE" w:rsidRPr="002A6228" w:rsidRDefault="00D555FD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Duh-Leong</w:t>
            </w:r>
            <w:r w:rsidR="00AB6EE8"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 xml:space="preserve"> et al.</w:t>
            </w:r>
            <w:r w:rsidR="004E1EE8" w:rsidRPr="002A6228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4"/>
                <w:szCs w:val="24"/>
              </w:rPr>
              <w:t xml:space="preserve"> [6]</w:t>
            </w:r>
          </w:p>
        </w:tc>
        <w:tc>
          <w:tcPr>
            <w:tcW w:w="1134" w:type="dxa"/>
            <w:noWrap/>
            <w:vAlign w:val="center"/>
            <w:hideMark/>
          </w:tcPr>
          <w:p w14:paraId="29DDFC38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4421C6E3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ED7C46F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697CB97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586A1D98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5602BE" w:rsidRPr="002A6228" w14:paraId="27212500" w14:textId="77777777" w:rsidTr="00D3017B">
        <w:trPr>
          <w:trHeight w:val="20"/>
        </w:trPr>
        <w:tc>
          <w:tcPr>
            <w:tcW w:w="3061" w:type="dxa"/>
            <w:vAlign w:val="center"/>
            <w:hideMark/>
          </w:tcPr>
          <w:p w14:paraId="2A7D26A2" w14:textId="45988CFD" w:rsidR="005602BE" w:rsidRPr="002A6228" w:rsidRDefault="00314E2F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Dvorsky</w:t>
            </w:r>
            <w:r w:rsidR="00AB6EE8"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 xml:space="preserve"> et al.</w:t>
            </w:r>
            <w:r w:rsidR="004E1EE8" w:rsidRPr="002A6228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24"/>
                <w:szCs w:val="24"/>
              </w:rPr>
              <w:t xml:space="preserve"> [7]</w:t>
            </w:r>
          </w:p>
        </w:tc>
        <w:tc>
          <w:tcPr>
            <w:tcW w:w="1134" w:type="dxa"/>
            <w:noWrap/>
            <w:vAlign w:val="center"/>
            <w:hideMark/>
          </w:tcPr>
          <w:p w14:paraId="1E3FF031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15EE4B64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71CEE8A8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29C0711D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56C03795" w14:textId="77777777" w:rsidR="005602BE" w:rsidRPr="002A6228" w:rsidRDefault="005602BE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BA6B2B" w:rsidRPr="002A6228" w14:paraId="00474201" w14:textId="77777777" w:rsidTr="00D3017B">
        <w:trPr>
          <w:trHeight w:val="20"/>
        </w:trPr>
        <w:tc>
          <w:tcPr>
            <w:tcW w:w="3061" w:type="dxa"/>
            <w:hideMark/>
          </w:tcPr>
          <w:p w14:paraId="2C213618" w14:textId="473376A5" w:rsidR="00BA6B2B" w:rsidRPr="002A6228" w:rsidRDefault="004E1EE8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Friedman, et al. [8]</w:t>
            </w:r>
          </w:p>
        </w:tc>
        <w:tc>
          <w:tcPr>
            <w:tcW w:w="1134" w:type="dxa"/>
            <w:noWrap/>
            <w:vAlign w:val="center"/>
            <w:hideMark/>
          </w:tcPr>
          <w:p w14:paraId="112509A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14:paraId="54F09B85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2D8B123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4B4673BD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14:paraId="68D2F67F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46CF56AF" w14:textId="77777777" w:rsidTr="00D3017B">
        <w:trPr>
          <w:trHeight w:val="20"/>
        </w:trPr>
        <w:tc>
          <w:tcPr>
            <w:tcW w:w="3061" w:type="dxa"/>
            <w:hideMark/>
          </w:tcPr>
          <w:p w14:paraId="48BBC800" w14:textId="030E77D1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Gaye, et al. [9]</w:t>
            </w:r>
          </w:p>
        </w:tc>
        <w:tc>
          <w:tcPr>
            <w:tcW w:w="1134" w:type="dxa"/>
            <w:noWrap/>
            <w:vAlign w:val="center"/>
            <w:hideMark/>
          </w:tcPr>
          <w:p w14:paraId="66F4853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4DA74F58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269BBDEF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3FD240EE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0011D2C4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5F5A00CD" w14:textId="77777777" w:rsidTr="00D3017B">
        <w:trPr>
          <w:trHeight w:val="20"/>
        </w:trPr>
        <w:tc>
          <w:tcPr>
            <w:tcW w:w="3061" w:type="dxa"/>
            <w:hideMark/>
          </w:tcPr>
          <w:p w14:paraId="1B3D5B3C" w14:textId="0A6A28E2" w:rsidR="00BA6B2B" w:rsidRPr="002A6228" w:rsidRDefault="004E1EE8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Granot [10]</w:t>
            </w:r>
          </w:p>
        </w:tc>
        <w:tc>
          <w:tcPr>
            <w:tcW w:w="1134" w:type="dxa"/>
            <w:noWrap/>
            <w:vAlign w:val="center"/>
            <w:hideMark/>
          </w:tcPr>
          <w:p w14:paraId="1BE1BDE1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3E3E133E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6E74F555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7F4A67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1FA3860A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BA6B2B" w:rsidRPr="002A6228" w14:paraId="79AE032C" w14:textId="77777777" w:rsidTr="00D3017B">
        <w:trPr>
          <w:trHeight w:val="20"/>
        </w:trPr>
        <w:tc>
          <w:tcPr>
            <w:tcW w:w="3061" w:type="dxa"/>
            <w:hideMark/>
          </w:tcPr>
          <w:p w14:paraId="1ADDAA24" w14:textId="0914D5AD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Houghton, et al. [11]</w:t>
            </w:r>
          </w:p>
        </w:tc>
        <w:tc>
          <w:tcPr>
            <w:tcW w:w="1134" w:type="dxa"/>
            <w:noWrap/>
            <w:vAlign w:val="center"/>
            <w:hideMark/>
          </w:tcPr>
          <w:p w14:paraId="44D4EF9C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37F906E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678B37A4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62E27959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25564551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3D5AE241" w14:textId="77777777" w:rsidTr="00D3017B">
        <w:trPr>
          <w:trHeight w:val="20"/>
        </w:trPr>
        <w:tc>
          <w:tcPr>
            <w:tcW w:w="3061" w:type="dxa"/>
            <w:hideMark/>
          </w:tcPr>
          <w:p w14:paraId="23BCAB84" w14:textId="5D0300D9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nb-NO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Jensen, et al. [12]</w:t>
            </w:r>
          </w:p>
        </w:tc>
        <w:tc>
          <w:tcPr>
            <w:tcW w:w="1134" w:type="dxa"/>
            <w:noWrap/>
            <w:vAlign w:val="center"/>
            <w:hideMark/>
          </w:tcPr>
          <w:p w14:paraId="180CBC99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3BAC04A9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13BA162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77AB0C35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780044C3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7C4F7F88" w14:textId="77777777" w:rsidTr="00D3017B">
        <w:trPr>
          <w:trHeight w:val="20"/>
        </w:trPr>
        <w:tc>
          <w:tcPr>
            <w:tcW w:w="3061" w:type="dxa"/>
            <w:hideMark/>
          </w:tcPr>
          <w:p w14:paraId="62A6A35D" w14:textId="38779809" w:rsidR="00BA6B2B" w:rsidRPr="002A6228" w:rsidRDefault="004E1EE8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Jia, et al. [13]</w:t>
            </w:r>
          </w:p>
        </w:tc>
        <w:tc>
          <w:tcPr>
            <w:tcW w:w="1134" w:type="dxa"/>
            <w:noWrap/>
            <w:vAlign w:val="center"/>
            <w:hideMark/>
          </w:tcPr>
          <w:p w14:paraId="2DD61921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098EC183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44A26CBF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2632B108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01BE4AFD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BA6B2B" w:rsidRPr="002A6228" w14:paraId="5905A6F6" w14:textId="77777777" w:rsidTr="00D3017B">
        <w:trPr>
          <w:trHeight w:val="20"/>
        </w:trPr>
        <w:tc>
          <w:tcPr>
            <w:tcW w:w="3061" w:type="dxa"/>
            <w:hideMark/>
          </w:tcPr>
          <w:p w14:paraId="10DC8A62" w14:textId="54271E57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2A6228">
              <w:rPr>
                <w:rFonts w:ascii="Times New Roman" w:hAnsi="Times New Roman" w:cs="Times New Roman"/>
                <w:noProof/>
                <w:sz w:val="24"/>
                <w:szCs w:val="24"/>
              </w:rPr>
              <w:t>Kaypakli, et al. [14]</w:t>
            </w:r>
          </w:p>
        </w:tc>
        <w:tc>
          <w:tcPr>
            <w:tcW w:w="1134" w:type="dxa"/>
            <w:noWrap/>
            <w:vAlign w:val="center"/>
            <w:hideMark/>
          </w:tcPr>
          <w:p w14:paraId="77B5937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0BE7091C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395538BC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156E5BA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45BF5AA8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BA6B2B" w:rsidRPr="002A6228" w14:paraId="7E52B813" w14:textId="77777777" w:rsidTr="00D3017B">
        <w:trPr>
          <w:trHeight w:val="20"/>
        </w:trPr>
        <w:tc>
          <w:tcPr>
            <w:tcW w:w="3061" w:type="dxa"/>
            <w:hideMark/>
          </w:tcPr>
          <w:p w14:paraId="48E31398" w14:textId="4A6753EF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Laslo-Roth, et al. [15]</w:t>
            </w:r>
          </w:p>
        </w:tc>
        <w:tc>
          <w:tcPr>
            <w:tcW w:w="1134" w:type="dxa"/>
            <w:noWrap/>
            <w:vAlign w:val="center"/>
            <w:hideMark/>
          </w:tcPr>
          <w:p w14:paraId="4A737B18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4B462F7E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E98E491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2A8568D1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5B12E11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014EAAF9" w14:textId="77777777" w:rsidTr="00D3017B">
        <w:trPr>
          <w:trHeight w:val="20"/>
        </w:trPr>
        <w:tc>
          <w:tcPr>
            <w:tcW w:w="3061" w:type="dxa"/>
            <w:hideMark/>
          </w:tcPr>
          <w:p w14:paraId="76BDD926" w14:textId="4B3C99B1" w:rsidR="00BA6B2B" w:rsidRPr="002A6228" w:rsidRDefault="004E1EE8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Martin [16]</w:t>
            </w:r>
          </w:p>
        </w:tc>
        <w:tc>
          <w:tcPr>
            <w:tcW w:w="1134" w:type="dxa"/>
            <w:noWrap/>
            <w:vAlign w:val="center"/>
            <w:hideMark/>
          </w:tcPr>
          <w:p w14:paraId="6C407F83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0168B669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292A8A53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60096420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6352FA0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10D550BC" w14:textId="77777777" w:rsidTr="00D3017B">
        <w:trPr>
          <w:trHeight w:val="20"/>
        </w:trPr>
        <w:tc>
          <w:tcPr>
            <w:tcW w:w="3061" w:type="dxa"/>
            <w:hideMark/>
          </w:tcPr>
          <w:p w14:paraId="605AB8EE" w14:textId="6C21FEEF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Melnick, et al. [17]</w:t>
            </w:r>
          </w:p>
        </w:tc>
        <w:tc>
          <w:tcPr>
            <w:tcW w:w="1134" w:type="dxa"/>
            <w:noWrap/>
            <w:vAlign w:val="center"/>
            <w:hideMark/>
          </w:tcPr>
          <w:p w14:paraId="13756B10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1A990E2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7CC15ACA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20C4E90D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3D2D6054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4A568AB0" w14:textId="77777777" w:rsidTr="00D3017B">
        <w:trPr>
          <w:trHeight w:val="20"/>
        </w:trPr>
        <w:tc>
          <w:tcPr>
            <w:tcW w:w="3061" w:type="dxa"/>
            <w:hideMark/>
          </w:tcPr>
          <w:p w14:paraId="6286E415" w14:textId="3558AB1B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Mikami, et al. [18]</w:t>
            </w:r>
          </w:p>
        </w:tc>
        <w:tc>
          <w:tcPr>
            <w:tcW w:w="1134" w:type="dxa"/>
            <w:noWrap/>
            <w:vAlign w:val="center"/>
            <w:hideMark/>
          </w:tcPr>
          <w:p w14:paraId="6BE8E4C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609D7664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13D3BAEA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3CB65BA7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3AE6FBCC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71124C06" w14:textId="77777777" w:rsidTr="00D3017B">
        <w:trPr>
          <w:trHeight w:val="20"/>
        </w:trPr>
        <w:tc>
          <w:tcPr>
            <w:tcW w:w="3061" w:type="dxa"/>
            <w:hideMark/>
          </w:tcPr>
          <w:p w14:paraId="75136A03" w14:textId="63495EAA" w:rsidR="00BA6B2B" w:rsidRPr="002A6228" w:rsidRDefault="004E1EE8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Mikami, et al. [19]</w:t>
            </w:r>
          </w:p>
        </w:tc>
        <w:tc>
          <w:tcPr>
            <w:tcW w:w="1134" w:type="dxa"/>
            <w:noWrap/>
            <w:vAlign w:val="center"/>
            <w:hideMark/>
          </w:tcPr>
          <w:p w14:paraId="04D6DA6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41851E59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2AEA0504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6ECF2545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  <w:hideMark/>
          </w:tcPr>
          <w:p w14:paraId="1BD5B87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4E4E6E70" w14:textId="77777777" w:rsidTr="00D3017B">
        <w:trPr>
          <w:trHeight w:val="20"/>
        </w:trPr>
        <w:tc>
          <w:tcPr>
            <w:tcW w:w="3061" w:type="dxa"/>
            <w:hideMark/>
          </w:tcPr>
          <w:p w14:paraId="65FB751E" w14:textId="73EDA6F1" w:rsidR="00BA6B2B" w:rsidRPr="002A6228" w:rsidRDefault="004E1EE8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Mustafina, et al. [20]</w:t>
            </w:r>
          </w:p>
        </w:tc>
        <w:tc>
          <w:tcPr>
            <w:tcW w:w="1134" w:type="dxa"/>
            <w:noWrap/>
            <w:vAlign w:val="center"/>
            <w:hideMark/>
          </w:tcPr>
          <w:p w14:paraId="7AC8F250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0A04CEE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7582B78E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32C8A68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56A9E1F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BA6B2B" w:rsidRPr="002A6228" w14:paraId="5C91E174" w14:textId="77777777" w:rsidTr="00D3017B">
        <w:trPr>
          <w:trHeight w:val="20"/>
        </w:trPr>
        <w:tc>
          <w:tcPr>
            <w:tcW w:w="3061" w:type="dxa"/>
            <w:hideMark/>
          </w:tcPr>
          <w:p w14:paraId="31EF90E3" w14:textId="5EEE54A7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lastRenderedPageBreak/>
              <w:t>Olczyk, et al. [21]</w:t>
            </w:r>
          </w:p>
        </w:tc>
        <w:tc>
          <w:tcPr>
            <w:tcW w:w="1134" w:type="dxa"/>
            <w:noWrap/>
            <w:vAlign w:val="center"/>
            <w:hideMark/>
          </w:tcPr>
          <w:p w14:paraId="4E9611E8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6E39C905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39E1B98E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2398566D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26386545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BA6B2B" w:rsidRPr="002A6228" w14:paraId="50403FF9" w14:textId="77777777" w:rsidTr="00D3017B">
        <w:trPr>
          <w:trHeight w:val="20"/>
        </w:trPr>
        <w:tc>
          <w:tcPr>
            <w:tcW w:w="3061" w:type="dxa"/>
            <w:hideMark/>
          </w:tcPr>
          <w:p w14:paraId="638313BA" w14:textId="77C08C73" w:rsidR="00BA6B2B" w:rsidRPr="002A6228" w:rsidRDefault="004E1EE8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Rhoads [22]</w:t>
            </w:r>
          </w:p>
        </w:tc>
        <w:tc>
          <w:tcPr>
            <w:tcW w:w="1134" w:type="dxa"/>
            <w:noWrap/>
            <w:vAlign w:val="center"/>
            <w:hideMark/>
          </w:tcPr>
          <w:p w14:paraId="3698B8B0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1BF203E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2E8D08E4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739AE758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18AA16FA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BA6B2B" w:rsidRPr="002A6228" w14:paraId="35022315" w14:textId="77777777" w:rsidTr="00D3017B">
        <w:trPr>
          <w:trHeight w:val="20"/>
        </w:trPr>
        <w:tc>
          <w:tcPr>
            <w:tcW w:w="3061" w:type="dxa"/>
            <w:hideMark/>
          </w:tcPr>
          <w:p w14:paraId="4BE3146A" w14:textId="5F9930EA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228">
              <w:rPr>
                <w:rFonts w:ascii="Times New Roman" w:hAnsi="Times New Roman" w:cs="Times New Roman"/>
                <w:noProof/>
                <w:sz w:val="24"/>
                <w:szCs w:val="24"/>
              </w:rPr>
              <w:t>Tung, et al. [23]</w:t>
            </w:r>
          </w:p>
        </w:tc>
        <w:tc>
          <w:tcPr>
            <w:tcW w:w="1134" w:type="dxa"/>
            <w:noWrap/>
            <w:vAlign w:val="center"/>
            <w:hideMark/>
          </w:tcPr>
          <w:p w14:paraId="619301FE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5FC06528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72F5A158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543BA9CC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14:paraId="0FEDE8A1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3F0EDD5D" w14:textId="77777777" w:rsidTr="00D3017B">
        <w:trPr>
          <w:trHeight w:val="20"/>
        </w:trPr>
        <w:tc>
          <w:tcPr>
            <w:tcW w:w="3061" w:type="dxa"/>
            <w:hideMark/>
          </w:tcPr>
          <w:p w14:paraId="2E08B81E" w14:textId="61F64F3D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Ünver, et al. [24]</w:t>
            </w:r>
          </w:p>
        </w:tc>
        <w:tc>
          <w:tcPr>
            <w:tcW w:w="1134" w:type="dxa"/>
            <w:noWrap/>
            <w:vAlign w:val="center"/>
            <w:hideMark/>
          </w:tcPr>
          <w:p w14:paraId="1F8C286C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5EF782B0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585D7067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13AE10CA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17C6C20B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48BC1F6B" w14:textId="77777777" w:rsidTr="00D3017B">
        <w:trPr>
          <w:trHeight w:val="20"/>
        </w:trPr>
        <w:tc>
          <w:tcPr>
            <w:tcW w:w="3061" w:type="dxa"/>
            <w:hideMark/>
          </w:tcPr>
          <w:p w14:paraId="5680E4CA" w14:textId="562C85C4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Velő, et al. [25]</w:t>
            </w:r>
          </w:p>
        </w:tc>
        <w:tc>
          <w:tcPr>
            <w:tcW w:w="1134" w:type="dxa"/>
            <w:noWrap/>
            <w:vAlign w:val="center"/>
            <w:hideMark/>
          </w:tcPr>
          <w:p w14:paraId="29D5FAB7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14:paraId="11001673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4B69F6B2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3B29D7FE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4F4FF022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78281C44" w14:textId="77777777" w:rsidTr="00D3017B">
        <w:trPr>
          <w:trHeight w:val="20"/>
        </w:trPr>
        <w:tc>
          <w:tcPr>
            <w:tcW w:w="3061" w:type="dxa"/>
            <w:hideMark/>
          </w:tcPr>
          <w:p w14:paraId="740E2841" w14:textId="55873ABA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val="nb-NO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Volpe, et al. [26]</w:t>
            </w:r>
          </w:p>
        </w:tc>
        <w:tc>
          <w:tcPr>
            <w:tcW w:w="1134" w:type="dxa"/>
            <w:noWrap/>
            <w:vAlign w:val="center"/>
            <w:hideMark/>
          </w:tcPr>
          <w:p w14:paraId="5E2B4464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3CEB970E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350ECF0D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1429ECD5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14:paraId="276F6951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</w:tr>
      <w:tr w:rsidR="00BA6B2B" w:rsidRPr="002A6228" w14:paraId="27FDBEB6" w14:textId="77777777" w:rsidTr="00D3017B">
        <w:trPr>
          <w:trHeight w:val="20"/>
        </w:trPr>
        <w:tc>
          <w:tcPr>
            <w:tcW w:w="3061" w:type="dxa"/>
            <w:hideMark/>
          </w:tcPr>
          <w:p w14:paraId="35D166B9" w14:textId="22B3B945" w:rsidR="00BA6B2B" w:rsidRPr="002A6228" w:rsidRDefault="004E1EE8" w:rsidP="002A6228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Wong, et al. [27]</w:t>
            </w:r>
          </w:p>
        </w:tc>
        <w:tc>
          <w:tcPr>
            <w:tcW w:w="1134" w:type="dxa"/>
            <w:noWrap/>
            <w:vAlign w:val="center"/>
            <w:hideMark/>
          </w:tcPr>
          <w:p w14:paraId="3D5E9129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6FF3B672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73AB2A79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88955ED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17B22337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  <w:tr w:rsidR="00BA6B2B" w:rsidRPr="002A6228" w14:paraId="581CE615" w14:textId="77777777" w:rsidTr="00D3017B">
        <w:trPr>
          <w:trHeight w:val="20"/>
        </w:trPr>
        <w:tc>
          <w:tcPr>
            <w:tcW w:w="3061" w:type="dxa"/>
            <w:hideMark/>
          </w:tcPr>
          <w:p w14:paraId="1A2807F7" w14:textId="40DCDA01" w:rsidR="00BA6B2B" w:rsidRPr="002A6228" w:rsidRDefault="004E1EE8" w:rsidP="002A622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noProof/>
                <w:kern w:val="0"/>
                <w:sz w:val="24"/>
                <w:szCs w:val="24"/>
              </w:rPr>
              <w:t>Zhang, et al. [28]</w:t>
            </w:r>
          </w:p>
        </w:tc>
        <w:tc>
          <w:tcPr>
            <w:tcW w:w="1134" w:type="dxa"/>
            <w:noWrap/>
            <w:vAlign w:val="center"/>
            <w:hideMark/>
          </w:tcPr>
          <w:p w14:paraId="0CC64701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2D9EB4A6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C85227D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5A88FB9C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54298695" w14:textId="77777777" w:rsidR="00BA6B2B" w:rsidRPr="002A6228" w:rsidRDefault="00BA6B2B" w:rsidP="002A6228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A622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Fair</w:t>
            </w:r>
          </w:p>
        </w:tc>
      </w:tr>
    </w:tbl>
    <w:p w14:paraId="67B3994E" w14:textId="77777777" w:rsidR="005602BE" w:rsidRPr="002A6228" w:rsidRDefault="005602BE" w:rsidP="002A622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D31D4" w14:textId="77777777" w:rsidR="005602BE" w:rsidRPr="002A6228" w:rsidRDefault="005602BE" w:rsidP="002A622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A622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53D92D1" w14:textId="77777777" w:rsidR="005602BE" w:rsidRPr="002A6228" w:rsidRDefault="005602BE" w:rsidP="004B765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A6228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44C43539" w14:textId="41B19B78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0D7933" w:rsidRPr="000D7933">
        <w:rPr>
          <w:rFonts w:ascii="Times New Roman" w:hAnsi="Times New Roman" w:cs="Times New Roman"/>
          <w:sz w:val="24"/>
          <w:szCs w:val="24"/>
        </w:rPr>
        <w:t>Babinski DE, Waschbusch DA, King S, Joyce AM, Andrade BF (2017) Maternal and paternal parenting and associations with school performance in a sample of children with varying levels of externalizing behavior problems. Sch Ment Health 9(4):322-333. https://doi.org/10.1007/s12310-017-9229-0</w:t>
      </w:r>
    </w:p>
    <w:p w14:paraId="4C588CF2" w14:textId="77777777" w:rsidR="006B394B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6B394B" w:rsidRPr="006B394B">
        <w:rPr>
          <w:rFonts w:ascii="Times New Roman" w:hAnsi="Times New Roman" w:cs="Times New Roman"/>
          <w:sz w:val="24"/>
          <w:szCs w:val="24"/>
        </w:rPr>
        <w:t>Bethune SC, Rogers MA, Smith D, Whitley J, Hone M, McBrearty N (2023) The impact of internalizing symptoms on impairment for children with ADHD: a strength-based perspective. J Atten Disord 27(1):26-37. https://doi.org/10.1177/10870547221115874</w:t>
      </w:r>
      <w:r w:rsidR="006B394B" w:rsidRPr="006B39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38375" w14:textId="2BDAEE46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[3]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4203F4" w:rsidRPr="004203F4">
        <w:rPr>
          <w:rFonts w:ascii="Times New Roman" w:hAnsi="Times New Roman" w:cs="Times New Roman"/>
          <w:sz w:val="24"/>
          <w:szCs w:val="24"/>
        </w:rPr>
        <w:t>Cardoos SL, Hinshaw SP (2011) Friendship as protection from peer victimization for girls with and without ADHD. J Abnorm Child Psychol 39(7):1035-1045. https://doi.org/10.1007/s10802-011-9517-3</w:t>
      </w:r>
    </w:p>
    <w:p w14:paraId="308BDCBC" w14:textId="37EE11A5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[4]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B65738" w:rsidRPr="00B65738">
        <w:rPr>
          <w:rFonts w:ascii="Times New Roman" w:hAnsi="Times New Roman" w:cs="Times New Roman"/>
          <w:sz w:val="24"/>
          <w:szCs w:val="24"/>
        </w:rPr>
        <w:t>Chan ESM, Macias M, Kofler MJ (2022) Does child anxiety exacerbate or protect against parent–child relationship difficulties in children with elevated ADHD symptoms? J Psychopatholog Behav Assess 44(4):924-936. https://doi.org/10.1007/s10862-021-09922-y</w:t>
      </w:r>
    </w:p>
    <w:p w14:paraId="6FC2977D" w14:textId="0A4E3AA1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[5]</w:t>
      </w:r>
      <w:r w:rsidR="00F72ABE">
        <w:rPr>
          <w:rFonts w:ascii="Times New Roman" w:hAnsi="Times New Roman" w:cs="Times New Roman"/>
          <w:sz w:val="24"/>
          <w:szCs w:val="24"/>
        </w:rPr>
        <w:tab/>
      </w:r>
      <w:r w:rsidR="00F72ABE" w:rsidRPr="00F72ABE">
        <w:rPr>
          <w:rFonts w:ascii="Times New Roman" w:hAnsi="Times New Roman" w:cs="Times New Roman"/>
          <w:sz w:val="24"/>
          <w:szCs w:val="24"/>
        </w:rPr>
        <w:t>Chronis AM, Lahey BB, Pelham Jr WE, Williams SH, Baumann BL, Kipp H et al (2007) Maternal depression and early positive parenting predict future conduct problems in young children with attention-deficit/hyperactivity disorder. Dev Psychol 43(1):70-82. https://doi.org/10.1037/0012-1649.43.1.70</w:t>
      </w:r>
    </w:p>
    <w:p w14:paraId="18F09ED1" w14:textId="7ADC174B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[6]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4B7657" w:rsidRPr="004B7657">
        <w:rPr>
          <w:rFonts w:ascii="Times New Roman" w:hAnsi="Times New Roman" w:cs="Times New Roman"/>
          <w:sz w:val="24"/>
          <w:szCs w:val="24"/>
        </w:rPr>
        <w:t>Duh-Leong C, Fuller A, Brown NM (2020) Associations between family and community protective factors and attention-deficit/hyperactivity disorder outcomes among US children. J Dev Behav Pediatr 41(1):1-8. https://doi.org/10.1097/DBP.0000000000000720</w:t>
      </w:r>
    </w:p>
    <w:p w14:paraId="15155212" w14:textId="23EDA792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[7]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B40C8C" w:rsidRPr="00B40C8C">
        <w:rPr>
          <w:rFonts w:ascii="Times New Roman" w:hAnsi="Times New Roman" w:cs="Times New Roman"/>
          <w:sz w:val="24"/>
          <w:szCs w:val="24"/>
        </w:rPr>
        <w:t xml:space="preserve">Dvorsky MR, Langberg JM, Evans SW, Becker SP (2018) The protective effects of </w:t>
      </w:r>
      <w:r w:rsidR="00B40C8C" w:rsidRPr="00B40C8C">
        <w:rPr>
          <w:rFonts w:ascii="Times New Roman" w:hAnsi="Times New Roman" w:cs="Times New Roman"/>
          <w:sz w:val="24"/>
          <w:szCs w:val="24"/>
        </w:rPr>
        <w:lastRenderedPageBreak/>
        <w:t>social factors on the academic functioning of adolescents with ADHD. J Clin Child Adolesc Psychol 47(5):713-726. https://doi.org/10.1080/15374416.2016.1138406</w:t>
      </w:r>
    </w:p>
    <w:p w14:paraId="4CFE869E" w14:textId="3020E1E5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[8]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B476BA" w:rsidRPr="00B476BA">
        <w:rPr>
          <w:rFonts w:ascii="Times New Roman" w:hAnsi="Times New Roman" w:cs="Times New Roman"/>
          <w:sz w:val="24"/>
          <w:szCs w:val="24"/>
        </w:rPr>
        <w:t>Friedman LM, Rapport MD, Orban SA, Eckrich SJ, Calub CA (2018) Applied problem solving in children with ADHD: the mediating roles of working memory and mathematical calculation. J Abnorm Child Psychol 46(3):491-504. https://doi.org/10.1007/s10802-017-0312-7</w:t>
      </w:r>
    </w:p>
    <w:p w14:paraId="2B760223" w14:textId="465CEC10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[9]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4E47EB" w:rsidRPr="004E47EB">
        <w:rPr>
          <w:rFonts w:ascii="Times New Roman" w:hAnsi="Times New Roman" w:cs="Times New Roman"/>
          <w:sz w:val="24"/>
          <w:szCs w:val="24"/>
        </w:rPr>
        <w:t>Gaye F, Groves NB, Chan ESM, Cole AM, Jaisle EM, Soto EF et al (2024) Working memory and math skills in children with and without ADHD. Neuropsychology 38(1):1-16. https://doi.org/10.1037/neu0000920</w:t>
      </w:r>
    </w:p>
    <w:p w14:paraId="345F241D" w14:textId="5F6B8801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[10]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B51017" w:rsidRPr="00B51017">
        <w:rPr>
          <w:rFonts w:ascii="Times New Roman" w:hAnsi="Times New Roman" w:cs="Times New Roman"/>
          <w:sz w:val="24"/>
          <w:szCs w:val="24"/>
        </w:rPr>
        <w:t>Granot D (2016) Socioemotional and behavioural adaptation of students with disabilities: the significance of teacher–student attachment-like relationships. Emot Behav Difficulties 21(4):416-432. https://doi.org/10.1080/13632752.2016.1235324</w:t>
      </w:r>
    </w:p>
    <w:p w14:paraId="664987F0" w14:textId="3B999CD7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[11]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4A5613" w:rsidRPr="004A5613">
        <w:rPr>
          <w:rFonts w:ascii="Times New Roman" w:hAnsi="Times New Roman" w:cs="Times New Roman"/>
          <w:sz w:val="24"/>
          <w:szCs w:val="24"/>
        </w:rPr>
        <w:t>Houghton S, Lawrence D, Hunter SC, Zadow C, Kyron M, Paterson R et al (2020) Loneliness accounts for the association between diagnosed attention deficit-hyperactivity disorder and symptoms of depression among adolescents. J Psychopathol Behav Ass 42(2):237-247. https://doi.org/10.1007/s10862-020-09791-x</w:t>
      </w:r>
    </w:p>
    <w:p w14:paraId="200FBCD8" w14:textId="3E7B9AE0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[12]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964CE2" w:rsidRPr="00964CE2">
        <w:rPr>
          <w:rFonts w:ascii="Times New Roman" w:hAnsi="Times New Roman" w:cs="Times New Roman"/>
          <w:sz w:val="24"/>
          <w:szCs w:val="24"/>
        </w:rPr>
        <w:t>Jensen DA, Høvik MF, Monsen NJN, Eggen TH, Eichele H, Adolfsdottir S et al (2018) Keeping emotions in mind: the influence of working memory capacity on parent-reported symptoms of emotional lability in a sample of children with and without ADHD. Front Psychology 9: 1846. https://doi.org/10.3389/fpsyg.2018.01846</w:t>
      </w:r>
    </w:p>
    <w:p w14:paraId="29D72E30" w14:textId="141B4CDE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[13]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4B3B0D" w:rsidRPr="004B3B0D">
        <w:rPr>
          <w:rFonts w:ascii="Times New Roman" w:hAnsi="Times New Roman" w:cs="Times New Roman"/>
          <w:sz w:val="24"/>
          <w:szCs w:val="24"/>
        </w:rPr>
        <w:t>Jia RM, Mikami AY, Normand S (2021) Social resilience in children with ADHD: parent and teacher factors. J Child Fam Stud 30(4):839-854. https://doi.org/10.1007/s10826-021-01907-5</w:t>
      </w:r>
    </w:p>
    <w:p w14:paraId="4FE8110E" w14:textId="546AA1DF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[14]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544CEF" w:rsidRPr="00544CEF">
        <w:rPr>
          <w:rFonts w:ascii="Times New Roman" w:hAnsi="Times New Roman" w:cs="Times New Roman"/>
          <w:sz w:val="24"/>
          <w:szCs w:val="24"/>
        </w:rPr>
        <w:t xml:space="preserve">Kaypakli GY, Metin Ö, Varmiş DA, Ray P, Çelik GG, Karci CK et al (2020) Technological addictions in attention deficit hyperactivity disorder: are they </w:t>
      </w:r>
      <w:r w:rsidR="00544CEF" w:rsidRPr="00544CEF">
        <w:rPr>
          <w:rFonts w:ascii="Times New Roman" w:hAnsi="Times New Roman" w:cs="Times New Roman"/>
          <w:sz w:val="24"/>
          <w:szCs w:val="24"/>
        </w:rPr>
        <w:lastRenderedPageBreak/>
        <w:t>associated with emotional intelligence? Indian J Psychiatry 62(6):670-677. https://doi.org/10.4103/psychiatry.IndianJPsychiatry_369_19</w:t>
      </w:r>
    </w:p>
    <w:p w14:paraId="768565FF" w14:textId="5C6A319E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[15]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0B76AE" w:rsidRPr="000B76AE">
        <w:rPr>
          <w:rFonts w:ascii="Times New Roman" w:hAnsi="Times New Roman" w:cs="Times New Roman"/>
          <w:sz w:val="24"/>
          <w:szCs w:val="24"/>
        </w:rPr>
        <w:t>Laslo-Roth R, George-Levi S, Rosenstreich E (2021) Protecting children with ADHD against loneliness: familial and individual factors predicting perceived child’s loneliness. Pers Individ Differ 180:110971. https://doi.org/10.1016/j.paid.2021.110971</w:t>
      </w:r>
    </w:p>
    <w:p w14:paraId="250E04A3" w14:textId="02BED3B6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[16]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FF0A87" w:rsidRPr="00FF0A87">
        <w:rPr>
          <w:rFonts w:ascii="Times New Roman" w:hAnsi="Times New Roman" w:cs="Times New Roman"/>
          <w:sz w:val="24"/>
          <w:szCs w:val="24"/>
        </w:rPr>
        <w:t>Martin AJ (2014) Academic buoyancy and academic outcomes: towards a further understanding of students with attention-deficit/hyperactivity disorder (ADHD), students without ADHD, and academic buoyancy itself. Br J Educ Psychol 84(1):86-107. https://doi.org/10.1111/bjep.12007</w:t>
      </w:r>
    </w:p>
    <w:p w14:paraId="6B780C82" w14:textId="5B597B78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[17]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A75BEA" w:rsidRPr="00A75BEA">
        <w:rPr>
          <w:rFonts w:ascii="Times New Roman" w:hAnsi="Times New Roman" w:cs="Times New Roman"/>
          <w:sz w:val="24"/>
          <w:szCs w:val="24"/>
        </w:rPr>
        <w:t>Melnick SM, Hinshaw SP (2000) Emotion regulation and parenting in AD/HD and comparison boys: linkages with social behaviors and peer preference. J Abnorm Child Psychol 28(1):73-86. https://doi.org/10.1023/A:1005174102794</w:t>
      </w:r>
    </w:p>
    <w:p w14:paraId="11E9AAB4" w14:textId="2BD386E7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[18]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B63E97" w:rsidRPr="00B63E97">
        <w:rPr>
          <w:rFonts w:ascii="Times New Roman" w:hAnsi="Times New Roman" w:cs="Times New Roman"/>
          <w:sz w:val="24"/>
          <w:szCs w:val="24"/>
        </w:rPr>
        <w:t>Mikami AY, Hinshaw SP (2003) Buffers of peer rejection among girls with and without ADHD: the role of popularity with adults and goal-directed solitary play. J Abnorm Child Psychol 31(4):381-397. https://doi.org/10.1023/A:1023839517978</w:t>
      </w:r>
    </w:p>
    <w:p w14:paraId="5E8835E8" w14:textId="561D44BE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[19]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6D5D50" w:rsidRPr="006D5D50">
        <w:rPr>
          <w:rFonts w:ascii="Times New Roman" w:hAnsi="Times New Roman" w:cs="Times New Roman"/>
          <w:sz w:val="24"/>
          <w:szCs w:val="24"/>
        </w:rPr>
        <w:t>Mikami AY, Hinshaw SP (2006) Resilient adolescent adjustment among girls: buffers of childhood peer rejection and attention-deficit/hyperactivity disorder. J Abnorm Child Psychol 34(6):825-839. https://doi.org/10.1007/s10802-006-9062-7</w:t>
      </w:r>
    </w:p>
    <w:p w14:paraId="27C1A3D8" w14:textId="452B8F38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[20]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3F0B52" w:rsidRPr="003F0B52">
        <w:rPr>
          <w:rFonts w:ascii="Times New Roman" w:hAnsi="Times New Roman" w:cs="Times New Roman"/>
          <w:sz w:val="24"/>
          <w:szCs w:val="24"/>
        </w:rPr>
        <w:t>Mustafina A, Amitov S, Ma JL-C (2022) Multiple levels of factors protecting against peer rejection in children with attention-deficit/hyperactivity disorder. Sage Open 12(1):21582440221082147. https://doi.org/10.1177/21582440221082147</w:t>
      </w:r>
    </w:p>
    <w:p w14:paraId="318A76FA" w14:textId="2C6A4521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[21]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E7203D" w:rsidRPr="00E7203D">
        <w:rPr>
          <w:rFonts w:ascii="Times New Roman" w:hAnsi="Times New Roman" w:cs="Times New Roman"/>
          <w:sz w:val="24"/>
          <w:szCs w:val="24"/>
        </w:rPr>
        <w:t xml:space="preserve">Olczyk AR, Rosen PJ, Alacha HF, Flynn MM (2023) Indirect effect of ADHD on parenting stress through increased child anxiety and decreased emotional regulatory coping. Eur Child Adolesc Psychiatry 33(5):1407-1417. </w:t>
      </w:r>
      <w:r w:rsidR="00E7203D" w:rsidRPr="00E7203D">
        <w:rPr>
          <w:rFonts w:ascii="Times New Roman" w:hAnsi="Times New Roman" w:cs="Times New Roman"/>
          <w:sz w:val="24"/>
          <w:szCs w:val="24"/>
        </w:rPr>
        <w:lastRenderedPageBreak/>
        <w:t>https://doi.org/10.1007/s00787-023-02246-0</w:t>
      </w:r>
    </w:p>
    <w:p w14:paraId="3F726DAD" w14:textId="081430F1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[22]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BD5250" w:rsidRPr="00BD5250">
        <w:rPr>
          <w:rFonts w:ascii="Times New Roman" w:hAnsi="Times New Roman" w:cs="Times New Roman"/>
          <w:sz w:val="24"/>
          <w:szCs w:val="24"/>
        </w:rPr>
        <w:t>Rhoads LKH (2007) The link between attention-deficit/hyperactivity disorder and oppositional defiant disorder: risk and protective factors. Doctor of Philosophy thesis, University of North Carolina.</w:t>
      </w:r>
    </w:p>
    <w:p w14:paraId="083DFEA5" w14:textId="1C550098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[23]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483B25" w:rsidRPr="00483B25">
        <w:rPr>
          <w:rFonts w:ascii="Times New Roman" w:hAnsi="Times New Roman" w:cs="Times New Roman"/>
          <w:sz w:val="24"/>
          <w:szCs w:val="24"/>
        </w:rPr>
        <w:t>Tung I, Lee SS (2014) Negative parenting behavior and childhood oppositional defiant disorder: differential moderation by positive and negative peer regard. Aggress Behav 40(1):79-90. https://doi.org/10.1002/ab.21497</w:t>
      </w:r>
    </w:p>
    <w:p w14:paraId="2EB930BA" w14:textId="26C7BCEC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[24]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9B6BFF" w:rsidRPr="009B6BFF">
        <w:rPr>
          <w:rFonts w:ascii="Times New Roman" w:hAnsi="Times New Roman" w:cs="Times New Roman" w:hint="eastAsia"/>
          <w:sz w:val="24"/>
          <w:szCs w:val="24"/>
        </w:rPr>
        <w:t>Ü</w:t>
      </w:r>
      <w:r w:rsidR="009B6BFF" w:rsidRPr="009B6BFF">
        <w:rPr>
          <w:rFonts w:ascii="Times New Roman" w:hAnsi="Times New Roman" w:cs="Times New Roman"/>
          <w:sz w:val="24"/>
          <w:szCs w:val="24"/>
        </w:rPr>
        <w:t>nver H, Rodopman Arman A, Nur Akpunar Ş (2022) Metacognitive awareness and emotional resilience in children with attention deficit hyperactivity disorder. Scand J Child Adolesc Psychiatr Psychol 10(1):33-39. https://doi.org/10.2478/sjcapp-2022-0003</w:t>
      </w:r>
    </w:p>
    <w:p w14:paraId="6124EFCB" w14:textId="23D16429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[25]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E96010" w:rsidRPr="00E96010">
        <w:rPr>
          <w:rFonts w:ascii="Times New Roman" w:hAnsi="Times New Roman" w:cs="Times New Roman"/>
          <w:sz w:val="24"/>
          <w:szCs w:val="24"/>
        </w:rPr>
        <w:t>Velő S, Keresztény Á, Ferenczi-Dallos G, Pump L, Móra K, Balázs J (2021) The association between prosocial behaviour and peer relationships with comorbid externalizing disorders and quality of life in treatment-naïve children and adolescents with attention deficit hyperactivity disorder. Brain Sci 11(4): 475. https://doi.org/10.3390/brainsci11040475</w:t>
      </w:r>
    </w:p>
    <w:p w14:paraId="2D769523" w14:textId="01539080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[26]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9A4C89" w:rsidRPr="009A4C89">
        <w:rPr>
          <w:rFonts w:ascii="Times New Roman" w:hAnsi="Times New Roman" w:cs="Times New Roman"/>
          <w:sz w:val="24"/>
          <w:szCs w:val="24"/>
        </w:rPr>
        <w:t>Volpe RJ, DuPaul GJ, DiPerna JC, Jitendra AK, Lutz JG, Tresco K et al (2006) Attention deficit hyperactivity disorder and scholastic achievement: a model of mediation via academic enablers. Sch Psychol Rev 35(1):47-61. https://doi.org/10.1080/02796015.2006.12088001</w:t>
      </w:r>
    </w:p>
    <w:p w14:paraId="72059CBB" w14:textId="3642D5C8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[27]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AF0434" w:rsidRPr="00AF0434">
        <w:rPr>
          <w:rFonts w:ascii="Times New Roman" w:hAnsi="Times New Roman" w:cs="Times New Roman"/>
          <w:sz w:val="24"/>
          <w:szCs w:val="24"/>
        </w:rPr>
        <w:t>Wong IY, Hawes DJ, Dar-Nimrod I (2019) Illness representations among adolescents with attention deficit hyperactivity disorder: associations with quality of life, coping, and treatment adherence. Heliyon 5(10): e02705. https://doi.org/10.1016/j.heliyon.2019.e02705</w:t>
      </w:r>
    </w:p>
    <w:p w14:paraId="0BA0E32D" w14:textId="086173A5" w:rsidR="004E1EE8" w:rsidRPr="002A6228" w:rsidRDefault="004E1EE8" w:rsidP="004B7657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2A6228">
        <w:rPr>
          <w:rFonts w:ascii="Times New Roman" w:hAnsi="Times New Roman" w:cs="Times New Roman"/>
          <w:sz w:val="24"/>
          <w:szCs w:val="24"/>
        </w:rPr>
        <w:t>[28]</w:t>
      </w:r>
      <w:r w:rsidRPr="002A6228">
        <w:rPr>
          <w:rFonts w:ascii="Times New Roman" w:hAnsi="Times New Roman" w:cs="Times New Roman"/>
          <w:sz w:val="24"/>
          <w:szCs w:val="24"/>
        </w:rPr>
        <w:tab/>
      </w:r>
      <w:r w:rsidR="00B01D98" w:rsidRPr="00B01D98">
        <w:rPr>
          <w:rFonts w:ascii="Times New Roman" w:hAnsi="Times New Roman" w:cs="Times New Roman"/>
          <w:sz w:val="24"/>
          <w:szCs w:val="24"/>
        </w:rPr>
        <w:t xml:space="preserve">Zhang X, Li Y, Xiao Y, Yu C, Pei Y, Cao F (2024) Association of positive childhood </w:t>
      </w:r>
      <w:r w:rsidR="00B01D98" w:rsidRPr="00B01D98">
        <w:rPr>
          <w:rFonts w:ascii="Times New Roman" w:hAnsi="Times New Roman" w:cs="Times New Roman"/>
          <w:sz w:val="24"/>
          <w:szCs w:val="24"/>
        </w:rPr>
        <w:lastRenderedPageBreak/>
        <w:t>experiences with flourishing among children with ADHD: a population-based study in the United States. Prev Med 179:107824. https://doi.org/10.1016/j.ypmed.2023.107824</w:t>
      </w:r>
    </w:p>
    <w:p w14:paraId="355C3814" w14:textId="19D08972" w:rsidR="005602BE" w:rsidRPr="002A6228" w:rsidRDefault="005602BE" w:rsidP="004B765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5602BE" w:rsidRPr="002A62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35C1" w14:textId="77777777" w:rsidR="0062686C" w:rsidRDefault="0062686C" w:rsidP="005602BE">
      <w:r>
        <w:separator/>
      </w:r>
    </w:p>
  </w:endnote>
  <w:endnote w:type="continuationSeparator" w:id="0">
    <w:p w14:paraId="55D71A59" w14:textId="77777777" w:rsidR="0062686C" w:rsidRDefault="0062686C" w:rsidP="0056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F622" w14:textId="77777777" w:rsidR="0062686C" w:rsidRDefault="0062686C" w:rsidP="005602BE">
      <w:r>
        <w:separator/>
      </w:r>
    </w:p>
  </w:footnote>
  <w:footnote w:type="continuationSeparator" w:id="0">
    <w:p w14:paraId="45E762EA" w14:textId="77777777" w:rsidR="0062686C" w:rsidRDefault="0062686C" w:rsidP="00560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F2BC" w14:textId="76629E7B" w:rsidR="005602BE" w:rsidRPr="005602BE" w:rsidRDefault="005B6075" w:rsidP="005602BE">
    <w:pPr>
      <w:spacing w:line="48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Online Resource</w:t>
    </w:r>
    <w:r w:rsidR="005602BE" w:rsidRPr="005602BE">
      <w:rPr>
        <w:rFonts w:ascii="Times New Roman" w:hAnsi="Times New Roman" w:cs="Times New Roman"/>
        <w:sz w:val="24"/>
        <w:szCs w:val="24"/>
      </w:rPr>
      <w:t xml:space="preserve"> 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Euro Child &amp;amp; Adolescent Psychiatry&lt;/Style&gt;&lt;LeftDelim&gt;{&lt;/LeftDelim&gt;&lt;RightDelim&gt;}&lt;/RightDelim&gt;&lt;FontName&gt;Aptos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ep05wxue9tw8es5p2p00v72dawarfdfs90&quot;&gt;YvesResilience&lt;record-ids&gt;&lt;item&gt;836&lt;/item&gt;&lt;item&gt;837&lt;/item&gt;&lt;item&gt;1001&lt;/item&gt;&lt;item&gt;1003&lt;/item&gt;&lt;item&gt;1113&lt;/item&gt;&lt;item&gt;1114&lt;/item&gt;&lt;item&gt;1115&lt;/item&gt;&lt;item&gt;1116&lt;/item&gt;&lt;item&gt;1117&lt;/item&gt;&lt;item&gt;1127&lt;/item&gt;&lt;item&gt;1153&lt;/item&gt;&lt;item&gt;1188&lt;/item&gt;&lt;item&gt;1189&lt;/item&gt;&lt;item&gt;1191&lt;/item&gt;&lt;item&gt;1192&lt;/item&gt;&lt;item&gt;1193&lt;/item&gt;&lt;item&gt;1195&lt;/item&gt;&lt;item&gt;1196&lt;/item&gt;&lt;item&gt;1198&lt;/item&gt;&lt;item&gt;1200&lt;/item&gt;&lt;item&gt;1201&lt;/item&gt;&lt;item&gt;1202&lt;/item&gt;&lt;item&gt;1203&lt;/item&gt;&lt;item&gt;1206&lt;/item&gt;&lt;item&gt;1207&lt;/item&gt;&lt;item&gt;1208&lt;/item&gt;&lt;/record-ids&gt;&lt;/item&gt;&lt;/Libraries&gt;"/>
  </w:docVars>
  <w:rsids>
    <w:rsidRoot w:val="005602BE"/>
    <w:rsid w:val="000A4574"/>
    <w:rsid w:val="000B76AE"/>
    <w:rsid w:val="000D7933"/>
    <w:rsid w:val="000F7BF5"/>
    <w:rsid w:val="00166EA7"/>
    <w:rsid w:val="001C216E"/>
    <w:rsid w:val="002A6228"/>
    <w:rsid w:val="002B03CF"/>
    <w:rsid w:val="00314E2F"/>
    <w:rsid w:val="003F0B52"/>
    <w:rsid w:val="004203F4"/>
    <w:rsid w:val="00483B25"/>
    <w:rsid w:val="004A5613"/>
    <w:rsid w:val="004B3B0D"/>
    <w:rsid w:val="004B7657"/>
    <w:rsid w:val="004B7C85"/>
    <w:rsid w:val="004E1EE8"/>
    <w:rsid w:val="004E47EB"/>
    <w:rsid w:val="00544CEF"/>
    <w:rsid w:val="005602BE"/>
    <w:rsid w:val="005B6075"/>
    <w:rsid w:val="00617D01"/>
    <w:rsid w:val="0062686C"/>
    <w:rsid w:val="00650AC9"/>
    <w:rsid w:val="006B394B"/>
    <w:rsid w:val="006D5D50"/>
    <w:rsid w:val="0077241C"/>
    <w:rsid w:val="00777296"/>
    <w:rsid w:val="007D4F09"/>
    <w:rsid w:val="008A71B4"/>
    <w:rsid w:val="008E2220"/>
    <w:rsid w:val="008E23B2"/>
    <w:rsid w:val="00964CE2"/>
    <w:rsid w:val="009A4C89"/>
    <w:rsid w:val="009B6BFF"/>
    <w:rsid w:val="00A06839"/>
    <w:rsid w:val="00A75BEA"/>
    <w:rsid w:val="00AB6EE8"/>
    <w:rsid w:val="00AD31A2"/>
    <w:rsid w:val="00AF0434"/>
    <w:rsid w:val="00B01D98"/>
    <w:rsid w:val="00B32E6A"/>
    <w:rsid w:val="00B40C8C"/>
    <w:rsid w:val="00B42FA7"/>
    <w:rsid w:val="00B476BA"/>
    <w:rsid w:val="00B51017"/>
    <w:rsid w:val="00B63E97"/>
    <w:rsid w:val="00B65738"/>
    <w:rsid w:val="00BA6B2B"/>
    <w:rsid w:val="00BB5ACB"/>
    <w:rsid w:val="00BD5250"/>
    <w:rsid w:val="00C23C6B"/>
    <w:rsid w:val="00C86D86"/>
    <w:rsid w:val="00D10600"/>
    <w:rsid w:val="00D3017B"/>
    <w:rsid w:val="00D555FD"/>
    <w:rsid w:val="00D757B5"/>
    <w:rsid w:val="00E7203D"/>
    <w:rsid w:val="00E95065"/>
    <w:rsid w:val="00E96010"/>
    <w:rsid w:val="00E9643D"/>
    <w:rsid w:val="00ED2F38"/>
    <w:rsid w:val="00F72ABE"/>
    <w:rsid w:val="00FF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5A7E7"/>
  <w15:chartTrackingRefBased/>
  <w15:docId w15:val="{3EB9C9ED-06EA-4820-9157-DC6AB235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2BE"/>
    <w:pPr>
      <w:widowControl w:val="0"/>
      <w:spacing w:after="0" w:line="240" w:lineRule="auto"/>
      <w:jc w:val="both"/>
    </w:pPr>
    <w:rPr>
      <w:sz w:val="21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02B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HK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2B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HK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2B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HK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2B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HK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2B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HK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2B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HK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2B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HK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2B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HK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2B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HK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0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560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560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5602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5602B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02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02B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02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02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02B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K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560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0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60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0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602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02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02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0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602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02BE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a"/>
    <w:link w:val="EndNoteBibliography0"/>
    <w:rsid w:val="005602BE"/>
    <w:rPr>
      <w:rFonts w:ascii="Aptos" w:eastAsia="DengXian" w:hAnsi="Aptos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602BE"/>
    <w:rPr>
      <w:rFonts w:ascii="Aptos" w:eastAsia="DengXian" w:hAnsi="Aptos"/>
      <w:noProof/>
      <w:sz w:val="20"/>
      <w:szCs w:val="22"/>
      <w:lang w:val="en-US"/>
      <w14:ligatures w14:val="none"/>
    </w:rPr>
  </w:style>
  <w:style w:type="paragraph" w:styleId="ae">
    <w:name w:val="header"/>
    <w:basedOn w:val="a"/>
    <w:link w:val="af"/>
    <w:uiPriority w:val="99"/>
    <w:unhideWhenUsed/>
    <w:rsid w:val="005602BE"/>
    <w:pPr>
      <w:tabs>
        <w:tab w:val="center" w:pos="4680"/>
        <w:tab w:val="right" w:pos="9360"/>
      </w:tabs>
    </w:pPr>
  </w:style>
  <w:style w:type="character" w:customStyle="1" w:styleId="af">
    <w:name w:val="頁首 字元"/>
    <w:basedOn w:val="a0"/>
    <w:link w:val="ae"/>
    <w:uiPriority w:val="99"/>
    <w:rsid w:val="005602BE"/>
    <w:rPr>
      <w:sz w:val="21"/>
      <w:szCs w:val="22"/>
      <w:lang w:val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5602BE"/>
    <w:pPr>
      <w:tabs>
        <w:tab w:val="center" w:pos="4680"/>
        <w:tab w:val="right" w:pos="9360"/>
      </w:tabs>
    </w:pPr>
  </w:style>
  <w:style w:type="character" w:customStyle="1" w:styleId="af1">
    <w:name w:val="頁尾 字元"/>
    <w:basedOn w:val="a0"/>
    <w:link w:val="af0"/>
    <w:uiPriority w:val="99"/>
    <w:rsid w:val="005602BE"/>
    <w:rPr>
      <w:sz w:val="21"/>
      <w:szCs w:val="22"/>
      <w:lang w:val="en-US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D757B5"/>
    <w:pPr>
      <w:jc w:val="center"/>
    </w:pPr>
    <w:rPr>
      <w:rFonts w:ascii="Aptos" w:hAnsi="Aptos"/>
      <w:noProof/>
      <w:sz w:val="20"/>
    </w:rPr>
  </w:style>
  <w:style w:type="character" w:customStyle="1" w:styleId="EndNoteBibliographyTitle0">
    <w:name w:val="EndNote Bibliography Title 字元"/>
    <w:basedOn w:val="a0"/>
    <w:link w:val="EndNoteBibliographyTitle"/>
    <w:rsid w:val="00D757B5"/>
    <w:rPr>
      <w:rFonts w:ascii="Aptos" w:hAnsi="Aptos"/>
      <w:noProof/>
      <w:sz w:val="20"/>
      <w:szCs w:val="22"/>
      <w:lang w:val="en-US"/>
      <w14:ligatures w14:val="none"/>
    </w:rPr>
  </w:style>
  <w:style w:type="character" w:styleId="af2">
    <w:name w:val="Hyperlink"/>
    <w:basedOn w:val="a0"/>
    <w:uiPriority w:val="99"/>
    <w:unhideWhenUsed/>
    <w:rsid w:val="00D757B5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75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1126</Words>
  <Characters>7095</Characters>
  <Application>Microsoft Office Word</Application>
  <DocSecurity>0</DocSecurity>
  <Lines>283</Lines>
  <Paragraphs>228</Paragraphs>
  <ScaleCrop>false</ScaleCrop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Ho CHEUNG</dc:creator>
  <cp:keywords/>
  <dc:description/>
  <cp:lastModifiedBy>Cho Ho CHEUNG</cp:lastModifiedBy>
  <cp:revision>53</cp:revision>
  <dcterms:created xsi:type="dcterms:W3CDTF">2024-08-15T09:13:00Z</dcterms:created>
  <dcterms:modified xsi:type="dcterms:W3CDTF">2025-10-20T13:01:00Z</dcterms:modified>
</cp:coreProperties>
</file>