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5DB5" w14:textId="09AA5615" w:rsidR="0061679C" w:rsidRPr="00375870" w:rsidRDefault="00A97EC1" w:rsidP="0061679C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61679C" w:rsidRPr="00375870">
        <w:rPr>
          <w:rFonts w:ascii="Times New Roman" w:hAnsi="Times New Roman" w:cs="Times New Roman"/>
          <w:b/>
          <w:bCs/>
        </w:rPr>
        <w:t>isparities in treatment initiation following diagnosis of</w:t>
      </w:r>
      <w:r w:rsidR="0061679C" w:rsidRPr="00375870">
        <w:rPr>
          <w:rFonts w:ascii="Times New Roman" w:hAnsi="Times New Roman" w:cs="Times New Roman"/>
        </w:rPr>
        <w:t xml:space="preserve"> </w:t>
      </w:r>
      <w:r w:rsidR="0061679C" w:rsidRPr="00375870">
        <w:rPr>
          <w:rFonts w:ascii="Times New Roman" w:hAnsi="Times New Roman" w:cs="Times New Roman"/>
          <w:b/>
          <w:bCs/>
        </w:rPr>
        <w:t>attention-deficit/hyperactivity disorder: A systematic review</w:t>
      </w:r>
    </w:p>
    <w:p w14:paraId="455DEC41" w14:textId="32A480B2" w:rsidR="0061679C" w:rsidRPr="00375870" w:rsidRDefault="0061679C" w:rsidP="0061679C">
      <w:pPr>
        <w:spacing w:after="0" w:line="480" w:lineRule="auto"/>
        <w:rPr>
          <w:rFonts w:ascii="Times New Roman" w:hAnsi="Times New Roman" w:cs="Times New Roman"/>
          <w:vertAlign w:val="superscript"/>
        </w:rPr>
      </w:pPr>
      <w:r w:rsidRPr="00375870">
        <w:rPr>
          <w:rFonts w:ascii="Times New Roman" w:hAnsi="Times New Roman" w:cs="Times New Roman"/>
        </w:rPr>
        <w:t>Philip Wickham,</w:t>
      </w:r>
      <w:r w:rsidRPr="00375870">
        <w:rPr>
          <w:rFonts w:ascii="Times New Roman" w:hAnsi="Times New Roman" w:cs="Times New Roman"/>
          <w:vertAlign w:val="superscript"/>
        </w:rPr>
        <w:t>1</w:t>
      </w:r>
      <w:r w:rsidRPr="00375870">
        <w:rPr>
          <w:rFonts w:ascii="Times New Roman" w:hAnsi="Times New Roman" w:cs="Times New Roman"/>
        </w:rPr>
        <w:t xml:space="preserve"> Saima Orangzeb,</w:t>
      </w:r>
      <w:r w:rsidRPr="00375870">
        <w:rPr>
          <w:rFonts w:ascii="Times New Roman" w:hAnsi="Times New Roman" w:cs="Times New Roman"/>
          <w:vertAlign w:val="superscript"/>
        </w:rPr>
        <w:t>2,3,4</w:t>
      </w:r>
      <w:r w:rsidRPr="00375870">
        <w:rPr>
          <w:rFonts w:ascii="Times New Roman" w:hAnsi="Times New Roman" w:cs="Times New Roman"/>
        </w:rPr>
        <w:t xml:space="preserve"> Jacqueline M. Cohen,</w:t>
      </w:r>
      <w:r w:rsidRPr="00375870">
        <w:rPr>
          <w:rFonts w:ascii="Times New Roman" w:hAnsi="Times New Roman" w:cs="Times New Roman"/>
          <w:vertAlign w:val="superscript"/>
        </w:rPr>
        <w:t>4</w:t>
      </w:r>
      <w:r w:rsidRPr="00375870">
        <w:rPr>
          <w:rFonts w:ascii="Times New Roman" w:hAnsi="Times New Roman" w:cs="Times New Roman"/>
        </w:rPr>
        <w:t xml:space="preserve"> Patricia Li,</w:t>
      </w:r>
      <w:r w:rsidRPr="00375870">
        <w:rPr>
          <w:rFonts w:ascii="Times New Roman" w:hAnsi="Times New Roman" w:cs="Times New Roman"/>
          <w:vertAlign w:val="superscript"/>
        </w:rPr>
        <w:t>5</w:t>
      </w:r>
      <w:r w:rsidRPr="00375870">
        <w:rPr>
          <w:rFonts w:ascii="Times New Roman" w:hAnsi="Times New Roman" w:cs="Times New Roman"/>
        </w:rPr>
        <w:t xml:space="preserve"> Thuy Mai Lu</w:t>
      </w:r>
      <w:r w:rsidR="004B3CF0">
        <w:rPr>
          <w:rFonts w:ascii="Times New Roman" w:hAnsi="Times New Roman" w:cs="Times New Roman"/>
        </w:rPr>
        <w:t>u</w:t>
      </w:r>
      <w:r w:rsidRPr="00375870">
        <w:rPr>
          <w:rFonts w:ascii="Times New Roman" w:hAnsi="Times New Roman" w:cs="Times New Roman"/>
        </w:rPr>
        <w:t>,</w:t>
      </w:r>
      <w:r w:rsidRPr="00375870">
        <w:rPr>
          <w:rFonts w:ascii="Times New Roman" w:hAnsi="Times New Roman" w:cs="Times New Roman"/>
          <w:vertAlign w:val="superscript"/>
        </w:rPr>
        <w:t>6</w:t>
      </w:r>
      <w:r w:rsidRPr="00375870">
        <w:rPr>
          <w:rFonts w:ascii="Times New Roman" w:hAnsi="Times New Roman" w:cs="Times New Roman"/>
        </w:rPr>
        <w:t xml:space="preserve"> Gabriel Côté-Corriveau,</w:t>
      </w:r>
      <w:r w:rsidRPr="00375870">
        <w:rPr>
          <w:rFonts w:ascii="Times New Roman" w:hAnsi="Times New Roman" w:cs="Times New Roman"/>
          <w:vertAlign w:val="superscript"/>
        </w:rPr>
        <w:t>6</w:t>
      </w:r>
      <w:r w:rsidRPr="00375870">
        <w:rPr>
          <w:rFonts w:ascii="Times New Roman" w:hAnsi="Times New Roman" w:cs="Times New Roman"/>
        </w:rPr>
        <w:t xml:space="preserve"> Farzana Uddin,</w:t>
      </w:r>
      <w:r w:rsidRPr="00375870">
        <w:rPr>
          <w:rFonts w:ascii="Times New Roman" w:hAnsi="Times New Roman" w:cs="Times New Roman"/>
          <w:vertAlign w:val="superscript"/>
        </w:rPr>
        <w:t>7</w:t>
      </w:r>
      <w:r w:rsidRPr="00375870">
        <w:rPr>
          <w:rFonts w:ascii="Times New Roman" w:hAnsi="Times New Roman" w:cs="Times New Roman"/>
        </w:rPr>
        <w:t xml:space="preserve"> Ugochinyere Vivian Ukah</w:t>
      </w:r>
      <w:r w:rsidRPr="00375870">
        <w:rPr>
          <w:rFonts w:ascii="Times New Roman" w:hAnsi="Times New Roman" w:cs="Times New Roman"/>
          <w:vertAlign w:val="superscript"/>
        </w:rPr>
        <w:t>1</w:t>
      </w:r>
      <w:r w:rsidR="00EF1F25" w:rsidRPr="00375870">
        <w:rPr>
          <w:rFonts w:ascii="Times New Roman" w:hAnsi="Times New Roman" w:cs="Times New Roman"/>
          <w:vertAlign w:val="superscript"/>
        </w:rPr>
        <w:t>,8</w:t>
      </w:r>
      <w:r w:rsidRPr="00375870">
        <w:rPr>
          <w:rFonts w:ascii="Times New Roman" w:hAnsi="Times New Roman" w:cs="Times New Roman"/>
          <w:vertAlign w:val="superscript"/>
        </w:rPr>
        <w:t>*</w:t>
      </w:r>
    </w:p>
    <w:p w14:paraId="3F3D4B10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  <w:b/>
          <w:color w:val="000000"/>
        </w:rPr>
      </w:pPr>
    </w:p>
    <w:p w14:paraId="2D75694C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  <w:bCs/>
          <w:color w:val="000000"/>
        </w:rPr>
      </w:pPr>
      <w:r w:rsidRPr="00375870">
        <w:rPr>
          <w:rFonts w:ascii="Times New Roman" w:hAnsi="Times New Roman" w:cs="Times New Roman"/>
          <w:b/>
          <w:color w:val="000000"/>
        </w:rPr>
        <w:t>Affiliations</w:t>
      </w:r>
      <w:r w:rsidRPr="00375870">
        <w:rPr>
          <w:rFonts w:ascii="Times New Roman" w:hAnsi="Times New Roman" w:cs="Times New Roman"/>
          <w:bCs/>
          <w:color w:val="000000"/>
        </w:rPr>
        <w:t xml:space="preserve">:  </w:t>
      </w:r>
    </w:p>
    <w:p w14:paraId="0C556333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  <w:bCs/>
          <w:color w:val="000000"/>
        </w:rPr>
      </w:pPr>
      <w:r w:rsidRPr="00375870">
        <w:rPr>
          <w:rFonts w:ascii="Times New Roman" w:hAnsi="Times New Roman" w:cs="Times New Roman"/>
          <w:bCs/>
          <w:color w:val="000000"/>
          <w:vertAlign w:val="superscript"/>
        </w:rPr>
        <w:t>1</w:t>
      </w:r>
      <w:r w:rsidRPr="00375870">
        <w:rPr>
          <w:rFonts w:ascii="Times New Roman" w:hAnsi="Times New Roman" w:cs="Times New Roman"/>
        </w:rPr>
        <w:t>Department of Medicine, McGill University Health Centre, Montreal, Canada</w:t>
      </w:r>
      <w:r w:rsidRPr="00375870">
        <w:rPr>
          <w:rFonts w:ascii="Times New Roman" w:hAnsi="Times New Roman" w:cs="Times New Roman"/>
          <w:bCs/>
          <w:color w:val="000000"/>
        </w:rPr>
        <w:t xml:space="preserve"> </w:t>
      </w:r>
    </w:p>
    <w:p w14:paraId="42CB6628" w14:textId="77777777" w:rsidR="0061679C" w:rsidRPr="00890172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nb-NO"/>
        </w:rPr>
      </w:pPr>
      <w:r w:rsidRPr="00890172">
        <w:rPr>
          <w:rFonts w:ascii="Times New Roman" w:hAnsi="Times New Roman" w:cs="Times New Roman"/>
          <w:bCs/>
          <w:color w:val="000000"/>
          <w:vertAlign w:val="superscript"/>
          <w:lang w:val="nb-NO"/>
        </w:rPr>
        <w:t>2</w:t>
      </w:r>
      <w:r w:rsidRPr="00890172">
        <w:rPr>
          <w:rFonts w:ascii="Times New Roman" w:eastAsia="Times New Roman" w:hAnsi="Times New Roman" w:cs="Times New Roman"/>
          <w:color w:val="000000"/>
          <w:kern w:val="0"/>
          <w:lang w:val="nb-NO"/>
        </w:rPr>
        <w:t>Innlandet Hospital Trust, Hamar, Norway</w:t>
      </w:r>
      <w:r w:rsidRPr="00890172">
        <w:rPr>
          <w:rFonts w:ascii="Times New Roman" w:hAnsi="Times New Roman" w:cs="Times New Roman"/>
          <w:bCs/>
          <w:color w:val="000000"/>
          <w:lang w:val="nb-NO"/>
        </w:rPr>
        <w:t>.</w:t>
      </w:r>
    </w:p>
    <w:p w14:paraId="101AE314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  <w:bCs/>
          <w:color w:val="000000"/>
        </w:rPr>
      </w:pPr>
      <w:r w:rsidRPr="00375870">
        <w:rPr>
          <w:rFonts w:ascii="Times New Roman" w:hAnsi="Times New Roman" w:cs="Times New Roman"/>
          <w:bCs/>
          <w:color w:val="000000"/>
          <w:vertAlign w:val="superscript"/>
        </w:rPr>
        <w:t>3</w:t>
      </w:r>
      <w:r w:rsidRPr="00375870">
        <w:rPr>
          <w:rFonts w:ascii="Times New Roman" w:hAnsi="Times New Roman" w:cs="Times New Roman"/>
          <w:bCs/>
          <w:color w:val="000000"/>
        </w:rPr>
        <w:t>Faculty of Medicine, University of Oslo, Oslo, Norway</w:t>
      </w:r>
    </w:p>
    <w:p w14:paraId="728621DF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  <w:bCs/>
          <w:color w:val="000000"/>
        </w:rPr>
      </w:pPr>
      <w:r w:rsidRPr="00375870">
        <w:rPr>
          <w:rFonts w:ascii="Times New Roman" w:hAnsi="Times New Roman" w:cs="Times New Roman"/>
          <w:bCs/>
          <w:color w:val="000000"/>
          <w:vertAlign w:val="superscript"/>
        </w:rPr>
        <w:t>4</w:t>
      </w:r>
      <w:r w:rsidRPr="00375870">
        <w:rPr>
          <w:rFonts w:ascii="Times New Roman" w:hAnsi="Times New Roman" w:cs="Times New Roman"/>
        </w:rPr>
        <w:t>Department of Chronic Diseases and Centre for Fertility and Health, Norwegian Institute of Public Health, Oslo, Norway</w:t>
      </w:r>
    </w:p>
    <w:p w14:paraId="1ECE5D47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  <w:bCs/>
          <w:color w:val="000000"/>
          <w:vertAlign w:val="superscript"/>
        </w:rPr>
        <w:t>5</w:t>
      </w:r>
      <w:r w:rsidRPr="00375870">
        <w:rPr>
          <w:rFonts w:ascii="Times New Roman" w:hAnsi="Times New Roman" w:cs="Times New Roman"/>
        </w:rPr>
        <w:t>Department of Pediatrics, McGill University, Montreal, Quebec, Canada</w:t>
      </w:r>
    </w:p>
    <w:p w14:paraId="6DDD2A9B" w14:textId="77777777" w:rsidR="0061679C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  <w:vertAlign w:val="superscript"/>
        </w:rPr>
        <w:t>6</w:t>
      </w:r>
      <w:r w:rsidRPr="00375870">
        <w:rPr>
          <w:rFonts w:ascii="Times New Roman" w:hAnsi="Times New Roman" w:cs="Times New Roman"/>
        </w:rPr>
        <w:t>Department of Pediatrics, Sainte-Justine Hospital Research Centre, University of Montreal, Montreal, Quebec, Canada</w:t>
      </w:r>
    </w:p>
    <w:p w14:paraId="381F08F4" w14:textId="77777777" w:rsidR="008B451E" w:rsidRPr="00375870" w:rsidRDefault="0061679C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kern w:val="0"/>
        </w:rPr>
      </w:pPr>
      <w:r w:rsidRPr="00375870">
        <w:rPr>
          <w:rFonts w:ascii="Times New Roman" w:hAnsi="Times New Roman" w:cs="Times New Roman"/>
          <w:vertAlign w:val="superscript"/>
        </w:rPr>
        <w:t>7</w:t>
      </w:r>
      <w:r w:rsidRPr="00375870">
        <w:rPr>
          <w:rFonts w:ascii="Times New Roman" w:eastAsia="Times New Roman" w:hAnsi="Times New Roman" w:cs="Times New Roman"/>
          <w:color w:val="000000"/>
          <w:kern w:val="0"/>
        </w:rPr>
        <w:t>Department of Psychology, Concordia University, Montreal, Quebec, Canada</w:t>
      </w:r>
    </w:p>
    <w:p w14:paraId="58B876E4" w14:textId="40FB68F5" w:rsidR="0061679C" w:rsidRPr="00375870" w:rsidRDefault="008B451E" w:rsidP="0061679C">
      <w:pPr>
        <w:pStyle w:val="ListParagraph"/>
        <w:shd w:val="clear" w:color="auto" w:fill="FFFFFF"/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kern w:val="0"/>
        </w:rPr>
      </w:pPr>
      <w:r w:rsidRPr="00375870">
        <w:rPr>
          <w:rFonts w:ascii="Times New Roman" w:hAnsi="Times New Roman" w:cs="Times New Roman"/>
          <w:vertAlign w:val="superscript"/>
        </w:rPr>
        <w:t>8</w:t>
      </w:r>
      <w:r w:rsidRPr="00375870">
        <w:rPr>
          <w:rFonts w:ascii="Times New Roman" w:eastAsia="Times New Roman" w:hAnsi="Times New Roman" w:cs="Times New Roman"/>
          <w:color w:val="000000"/>
          <w:kern w:val="0"/>
        </w:rPr>
        <w:t xml:space="preserve">Child Health and Human Development Program, Research Institute of the </w:t>
      </w:r>
      <w:r w:rsidRPr="00375870">
        <w:rPr>
          <w:rFonts w:ascii="Times New Roman" w:hAnsi="Times New Roman" w:cs="Times New Roman"/>
        </w:rPr>
        <w:t>McGill University Health Centre</w:t>
      </w:r>
      <w:r w:rsidRPr="00375870">
        <w:rPr>
          <w:rFonts w:ascii="Times New Roman" w:eastAsia="Times New Roman" w:hAnsi="Times New Roman" w:cs="Times New Roman"/>
          <w:color w:val="000000"/>
          <w:kern w:val="0"/>
        </w:rPr>
        <w:t>, Montreal, Quebec, Canada</w:t>
      </w:r>
      <w:r w:rsidR="0061679C" w:rsidRPr="00375870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14:paraId="37B5E8F6" w14:textId="77777777" w:rsidR="0061679C" w:rsidRPr="00375870" w:rsidRDefault="0061679C" w:rsidP="0061679C">
      <w:pPr>
        <w:spacing w:after="0" w:line="480" w:lineRule="auto"/>
        <w:rPr>
          <w:rFonts w:ascii="Times New Roman" w:hAnsi="Times New Roman" w:cs="Times New Roman"/>
        </w:rPr>
      </w:pPr>
    </w:p>
    <w:p w14:paraId="58B700EE" w14:textId="77777777" w:rsidR="0061679C" w:rsidRPr="00375870" w:rsidRDefault="0061679C" w:rsidP="0061679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5870">
        <w:rPr>
          <w:rFonts w:ascii="Times New Roman" w:eastAsia="Calibri" w:hAnsi="Times New Roman" w:cs="Times New Roman"/>
          <w:b/>
          <w:bCs/>
          <w:vertAlign w:val="superscript"/>
        </w:rPr>
        <w:t>*</w:t>
      </w:r>
      <w:r w:rsidRPr="00375870">
        <w:rPr>
          <w:rFonts w:ascii="Times New Roman" w:eastAsia="Calibri" w:hAnsi="Times New Roman" w:cs="Times New Roman"/>
          <w:b/>
          <w:bCs/>
        </w:rPr>
        <w:t>Correspondence</w:t>
      </w:r>
      <w:r w:rsidRPr="00375870">
        <w:rPr>
          <w:rFonts w:ascii="Times New Roman" w:eastAsia="Calibri" w:hAnsi="Times New Roman" w:cs="Times New Roman"/>
        </w:rPr>
        <w:t xml:space="preserve">: Dr. </w:t>
      </w:r>
      <w:r w:rsidRPr="00375870">
        <w:rPr>
          <w:rFonts w:ascii="Times New Roman" w:hAnsi="Times New Roman" w:cs="Times New Roman"/>
        </w:rPr>
        <w:t>Ugochinyere Vivian Ukah</w:t>
      </w:r>
      <w:r w:rsidRPr="00375870">
        <w:rPr>
          <w:rFonts w:ascii="Times New Roman" w:eastAsia="Calibri" w:hAnsi="Times New Roman" w:cs="Times New Roman"/>
        </w:rPr>
        <w:t xml:space="preserve">, RI-MUHC, CORE 2B41, 5252 Blvd. De Maisonneuve Ouest, Montreal, Quebec, H4A 3S9, Canada, Tel: 514-934-1934 </w:t>
      </w:r>
      <w:proofErr w:type="spellStart"/>
      <w:r w:rsidRPr="00375870">
        <w:rPr>
          <w:rFonts w:ascii="Times New Roman" w:eastAsia="Calibri" w:hAnsi="Times New Roman" w:cs="Times New Roman"/>
        </w:rPr>
        <w:t>ext</w:t>
      </w:r>
      <w:proofErr w:type="spellEnd"/>
      <w:r w:rsidRPr="00375870">
        <w:rPr>
          <w:rFonts w:ascii="Times New Roman" w:eastAsia="Calibri" w:hAnsi="Times New Roman" w:cs="Times New Roman"/>
        </w:rPr>
        <w:t xml:space="preserve"> 37009, Email: </w:t>
      </w:r>
      <w:hyperlink r:id="rId8" w:history="1">
        <w:r w:rsidRPr="00375870">
          <w:rPr>
            <w:rStyle w:val="Hyperlink"/>
            <w:rFonts w:ascii="Times New Roman" w:hAnsi="Times New Roman" w:cs="Times New Roman"/>
          </w:rPr>
          <w:t>vivian.ukah@mcgill.ca</w:t>
        </w:r>
      </w:hyperlink>
      <w:r w:rsidRPr="00375870">
        <w:rPr>
          <w:rFonts w:ascii="Times New Roman" w:hAnsi="Times New Roman" w:cs="Times New Roman"/>
        </w:rPr>
        <w:t xml:space="preserve"> </w:t>
      </w:r>
    </w:p>
    <w:p w14:paraId="7FAB82F3" w14:textId="77777777" w:rsidR="0061679C" w:rsidRPr="00375870" w:rsidRDefault="0061679C" w:rsidP="0061679C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1CB91F8" w14:textId="77777777" w:rsidR="0061679C" w:rsidRPr="00375870" w:rsidRDefault="0061679C" w:rsidP="0061679C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 w:rsidRPr="00375870">
        <w:rPr>
          <w:rFonts w:ascii="Times New Roman" w:eastAsia="Calibri" w:hAnsi="Times New Roman" w:cs="Times New Roman"/>
          <w:b/>
          <w:bCs/>
        </w:rPr>
        <w:t>Short title</w:t>
      </w:r>
      <w:r w:rsidRPr="00375870">
        <w:rPr>
          <w:rFonts w:ascii="Times New Roman" w:eastAsia="Calibri" w:hAnsi="Times New Roman" w:cs="Times New Roman"/>
        </w:rPr>
        <w:t>: Disparities in ADHD treatment initiation</w:t>
      </w:r>
    </w:p>
    <w:p w14:paraId="29ABD44D" w14:textId="77777777" w:rsidR="0061679C" w:rsidRPr="00375870" w:rsidRDefault="0061679C" w:rsidP="0061679C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FFC5588" w14:textId="2AA65328" w:rsidR="0061679C" w:rsidRPr="00375870" w:rsidRDefault="0061679C" w:rsidP="0061679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5870">
        <w:rPr>
          <w:rFonts w:ascii="Times New Roman" w:eastAsia="Calibri" w:hAnsi="Times New Roman" w:cs="Times New Roman"/>
          <w:b/>
          <w:bCs/>
        </w:rPr>
        <w:lastRenderedPageBreak/>
        <w:t>Counts</w:t>
      </w:r>
      <w:r w:rsidRPr="00375870">
        <w:rPr>
          <w:rFonts w:ascii="Times New Roman" w:eastAsia="Calibri" w:hAnsi="Times New Roman" w:cs="Times New Roman"/>
        </w:rPr>
        <w:t xml:space="preserve">: Abstract </w:t>
      </w:r>
      <w:r w:rsidR="000D3196">
        <w:rPr>
          <w:rFonts w:ascii="Times New Roman" w:eastAsia="Calibri" w:hAnsi="Times New Roman" w:cs="Times New Roman"/>
        </w:rPr>
        <w:t>245</w:t>
      </w:r>
      <w:r w:rsidRPr="00375870">
        <w:rPr>
          <w:rFonts w:ascii="Times New Roman" w:eastAsia="Calibri" w:hAnsi="Times New Roman" w:cs="Times New Roman"/>
        </w:rPr>
        <w:t xml:space="preserve">, Manuscript </w:t>
      </w:r>
      <w:r w:rsidR="0093362E">
        <w:rPr>
          <w:rFonts w:ascii="Times New Roman" w:eastAsia="Calibri" w:hAnsi="Times New Roman" w:cs="Times New Roman"/>
        </w:rPr>
        <w:t>5</w:t>
      </w:r>
      <w:r w:rsidR="004C5B65">
        <w:rPr>
          <w:rFonts w:ascii="Times New Roman" w:eastAsia="Calibri" w:hAnsi="Times New Roman" w:cs="Times New Roman"/>
        </w:rPr>
        <w:t>644</w:t>
      </w:r>
      <w:r w:rsidR="0093362E">
        <w:rPr>
          <w:rFonts w:ascii="Times New Roman" w:eastAsia="Calibri" w:hAnsi="Times New Roman" w:cs="Times New Roman"/>
        </w:rPr>
        <w:t xml:space="preserve"> </w:t>
      </w:r>
      <w:r w:rsidR="002901A1">
        <w:rPr>
          <w:rFonts w:ascii="Times New Roman" w:eastAsia="Calibri" w:hAnsi="Times New Roman" w:cs="Times New Roman"/>
        </w:rPr>
        <w:t>(</w:t>
      </w:r>
      <w:r w:rsidR="00412A1E">
        <w:rPr>
          <w:rFonts w:ascii="Times New Roman" w:eastAsia="Calibri" w:hAnsi="Times New Roman" w:cs="Times New Roman"/>
        </w:rPr>
        <w:t xml:space="preserve">3540 </w:t>
      </w:r>
      <w:r w:rsidR="0093362E">
        <w:rPr>
          <w:rFonts w:ascii="Times New Roman" w:eastAsia="Calibri" w:hAnsi="Times New Roman" w:cs="Times New Roman"/>
        </w:rPr>
        <w:t>excl</w:t>
      </w:r>
      <w:r w:rsidR="00412A1E">
        <w:rPr>
          <w:rFonts w:ascii="Times New Roman" w:eastAsia="Calibri" w:hAnsi="Times New Roman" w:cs="Times New Roman"/>
        </w:rPr>
        <w:t>u</w:t>
      </w:r>
      <w:r w:rsidR="0093362E">
        <w:rPr>
          <w:rFonts w:ascii="Times New Roman" w:eastAsia="Calibri" w:hAnsi="Times New Roman" w:cs="Times New Roman"/>
        </w:rPr>
        <w:t>ding Abstract, Keywords, and References</w:t>
      </w:r>
      <w:r w:rsidR="002901A1">
        <w:rPr>
          <w:rFonts w:ascii="Times New Roman" w:eastAsia="Calibri" w:hAnsi="Times New Roman" w:cs="Times New Roman"/>
        </w:rPr>
        <w:t>)</w:t>
      </w:r>
      <w:r w:rsidRPr="00375870">
        <w:rPr>
          <w:rFonts w:ascii="Times New Roman" w:eastAsia="Calibri" w:hAnsi="Times New Roman" w:cs="Times New Roman"/>
        </w:rPr>
        <w:t xml:space="preserve">, References </w:t>
      </w:r>
      <w:r w:rsidR="004C5B65">
        <w:rPr>
          <w:rFonts w:ascii="Times New Roman" w:eastAsia="Calibri" w:hAnsi="Times New Roman" w:cs="Times New Roman"/>
        </w:rPr>
        <w:t>63</w:t>
      </w:r>
      <w:r w:rsidRPr="00375870">
        <w:rPr>
          <w:rFonts w:ascii="Times New Roman" w:eastAsia="Calibri" w:hAnsi="Times New Roman" w:cs="Times New Roman"/>
        </w:rPr>
        <w:t>, Figures 5, Supplemental Tables 5, Supplemental Figures 2</w:t>
      </w:r>
      <w:r w:rsidRPr="00375870">
        <w:rPr>
          <w:rFonts w:ascii="Times New Roman" w:hAnsi="Times New Roman" w:cs="Times New Roman"/>
        </w:rPr>
        <w:br w:type="page"/>
      </w:r>
    </w:p>
    <w:p w14:paraId="1DABE20F" w14:textId="0DC66F03" w:rsidR="003B4C6C" w:rsidRPr="00760B0A" w:rsidRDefault="003B4C6C" w:rsidP="00760B0A">
      <w:pPr>
        <w:pStyle w:val="Bibliography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  <w:b/>
          <w:bCs/>
        </w:rPr>
        <w:lastRenderedPageBreak/>
        <w:t>LIST OF TABLES AND FIGURES</w:t>
      </w:r>
    </w:p>
    <w:p w14:paraId="3998ED0B" w14:textId="77777777" w:rsidR="00CD1A4A" w:rsidRPr="00F107EA" w:rsidRDefault="00CD1A4A" w:rsidP="00155905">
      <w:pPr>
        <w:spacing w:line="480" w:lineRule="auto"/>
        <w:rPr>
          <w:rFonts w:ascii="Times New Roman" w:hAnsi="Times New Roman" w:cs="Times New Roman"/>
          <w:b/>
          <w:bCs/>
        </w:rPr>
      </w:pPr>
      <w:r w:rsidRPr="00F107EA">
        <w:rPr>
          <w:rFonts w:ascii="Times New Roman" w:hAnsi="Times New Roman" w:cs="Times New Roman"/>
          <w:b/>
          <w:bCs/>
        </w:rPr>
        <w:t>SUPPLEMENT</w:t>
      </w:r>
    </w:p>
    <w:p w14:paraId="3ACA81C2" w14:textId="77777777" w:rsidR="00CD1A4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eFigure</w:t>
      </w:r>
      <w:proofErr w:type="spellEnd"/>
      <w:r w:rsidRPr="00375870">
        <w:rPr>
          <w:rFonts w:ascii="Times New Roman" w:hAnsi="Times New Roman" w:cs="Times New Roman"/>
        </w:rPr>
        <w:t xml:space="preserve"> 1. PRISMA flow diagram </w:t>
      </w:r>
    </w:p>
    <w:p w14:paraId="05E0C340" w14:textId="77777777" w:rsidR="00CD1A4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eFigure</w:t>
      </w:r>
      <w:proofErr w:type="spellEnd"/>
      <w:r w:rsidRPr="00375870">
        <w:rPr>
          <w:rFonts w:ascii="Times New Roman" w:hAnsi="Times New Roman" w:cs="Times New Roman"/>
        </w:rPr>
        <w:t xml:space="preserve"> 2. Association between insurance status and timing of ADHD treatment initiation after diagnosis</w:t>
      </w:r>
    </w:p>
    <w:p w14:paraId="1AAF2493" w14:textId="450A52C9" w:rsidR="00CD1A4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eTable</w:t>
      </w:r>
      <w:proofErr w:type="spellEnd"/>
      <w:r w:rsidRPr="00375870">
        <w:rPr>
          <w:rFonts w:ascii="Times New Roman" w:hAnsi="Times New Roman" w:cs="Times New Roman"/>
        </w:rPr>
        <w:t xml:space="preserve"> 1. </w:t>
      </w:r>
      <w:r w:rsidR="00B351F4" w:rsidRPr="00375870">
        <w:rPr>
          <w:rFonts w:ascii="Times New Roman" w:hAnsi="Times New Roman" w:cs="Times New Roman"/>
        </w:rPr>
        <w:t>MEDLINE</w:t>
      </w:r>
      <w:r w:rsidRPr="00375870">
        <w:rPr>
          <w:rFonts w:ascii="Times New Roman" w:hAnsi="Times New Roman" w:cs="Times New Roman"/>
        </w:rPr>
        <w:t xml:space="preserve"> search strategy</w:t>
      </w:r>
    </w:p>
    <w:p w14:paraId="4C1AE954" w14:textId="77777777" w:rsidR="00CD1A4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eTable</w:t>
      </w:r>
      <w:proofErr w:type="spellEnd"/>
      <w:r w:rsidRPr="00375870">
        <w:rPr>
          <w:rFonts w:ascii="Times New Roman" w:hAnsi="Times New Roman" w:cs="Times New Roman"/>
        </w:rPr>
        <w:t xml:space="preserve"> 2. Inclusion and exclusion criteria of included studies</w:t>
      </w:r>
    </w:p>
    <w:p w14:paraId="3F7611C2" w14:textId="77777777" w:rsidR="00CD1A4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eTable</w:t>
      </w:r>
      <w:proofErr w:type="spellEnd"/>
      <w:r w:rsidRPr="00375870">
        <w:rPr>
          <w:rFonts w:ascii="Times New Roman" w:hAnsi="Times New Roman" w:cs="Times New Roman"/>
        </w:rPr>
        <w:t xml:space="preserve"> 3. Risk of bias assessment of included studies using the Newcastle–Ottawa scale for cohort and cross-sectional studies</w:t>
      </w:r>
    </w:p>
    <w:p w14:paraId="31FD13A1" w14:textId="2F941BF0" w:rsidR="001C0E6A" w:rsidRPr="00375870" w:rsidRDefault="00CD1A4A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eTable</w:t>
      </w:r>
      <w:proofErr w:type="spellEnd"/>
      <w:r w:rsidRPr="00375870">
        <w:rPr>
          <w:rFonts w:ascii="Times New Roman" w:hAnsi="Times New Roman" w:cs="Times New Roman"/>
        </w:rPr>
        <w:t xml:space="preserve"> 4. Population characteristics of included studies</w:t>
      </w:r>
    </w:p>
    <w:p w14:paraId="14303970" w14:textId="2BF400C1" w:rsidR="000360EB" w:rsidRPr="00375870" w:rsidRDefault="007E5FE8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</w:rPr>
        <w:t>eTable</w:t>
      </w:r>
      <w:proofErr w:type="spellEnd"/>
      <w:r w:rsidRPr="00375870">
        <w:rPr>
          <w:rFonts w:ascii="Times New Roman" w:hAnsi="Times New Roman" w:cs="Times New Roman"/>
        </w:rPr>
        <w:t xml:space="preserve"> 5. Reported outcomes, and diagnostic methods, covariates, and effect estimates of included studies </w:t>
      </w:r>
      <w:r w:rsidR="000360EB" w:rsidRPr="00375870">
        <w:rPr>
          <w:rFonts w:ascii="Times New Roman" w:hAnsi="Times New Roman" w:cs="Times New Roman"/>
        </w:rPr>
        <w:br w:type="page"/>
      </w:r>
    </w:p>
    <w:p w14:paraId="50EFF51F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375870">
        <w:rPr>
          <w:rFonts w:ascii="Times New Roman" w:hAnsi="Times New Roman" w:cs="Times New Roman"/>
          <w:b/>
          <w:bCs/>
        </w:rPr>
        <w:lastRenderedPageBreak/>
        <w:t>SUPPLEMENT</w:t>
      </w:r>
    </w:p>
    <w:p w14:paraId="209B9947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b/>
          <w:bCs/>
        </w:rPr>
        <w:t>eFigure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1.</w:t>
      </w:r>
      <w:r w:rsidRPr="00375870">
        <w:rPr>
          <w:rFonts w:ascii="Times New Roman" w:hAnsi="Times New Roman" w:cs="Times New Roman"/>
        </w:rPr>
        <w:t xml:space="preserve"> PRISMA flow diagram </w:t>
      </w:r>
    </w:p>
    <w:p w14:paraId="0C540BAB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</w:p>
    <w:p w14:paraId="0F504E8E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  <w:noProof/>
        </w:rPr>
        <w:drawing>
          <wp:inline distT="0" distB="0" distL="0" distR="0" wp14:anchorId="50565924" wp14:editId="1BA6AD8C">
            <wp:extent cx="3519158" cy="4598774"/>
            <wp:effectExtent l="0" t="0" r="0" b="0"/>
            <wp:docPr id="1737775634" name="Picture 1" descr="A flowchart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75634" name="Picture 1" descr="A flowchart of data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8" t="13" r="21148" b="-13"/>
                    <a:stretch/>
                  </pic:blipFill>
                  <pic:spPr bwMode="auto">
                    <a:xfrm>
                      <a:off x="0" y="0"/>
                      <a:ext cx="3520536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5870">
        <w:rPr>
          <w:rFonts w:ascii="Times New Roman" w:hAnsi="Times New Roman" w:cs="Times New Roman"/>
        </w:rPr>
        <w:br w:type="page"/>
      </w:r>
    </w:p>
    <w:p w14:paraId="16E2503E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eFigure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2.</w:t>
      </w:r>
      <w:r w:rsidRPr="00375870">
        <w:rPr>
          <w:rFonts w:ascii="Times New Roman" w:hAnsi="Times New Roman" w:cs="Times New Roman"/>
        </w:rPr>
        <w:t xml:space="preserve"> Association between insurance status and timing of ADHD treatment initiation after diagnosis</w:t>
      </w:r>
    </w:p>
    <w:p w14:paraId="032D05E9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  <w:noProof/>
        </w:rPr>
        <w:drawing>
          <wp:inline distT="0" distB="0" distL="0" distR="0" wp14:anchorId="645C83D0" wp14:editId="4C39A5FE">
            <wp:extent cx="6126480" cy="2350770"/>
            <wp:effectExtent l="0" t="0" r="0" b="0"/>
            <wp:docPr id="134296608" name="Picture 7" descr="A graph of a person with a number of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6608" name="Picture 7" descr="A graph of a person with a number of point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75A3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vertAlign w:val="superscript"/>
        </w:rPr>
        <w:t>a</w:t>
      </w:r>
      <w:r w:rsidRPr="00375870">
        <w:rPr>
          <w:rFonts w:ascii="Times New Roman" w:hAnsi="Times New Roman" w:cs="Times New Roman"/>
        </w:rPr>
        <w:t>Adjusted</w:t>
      </w:r>
      <w:proofErr w:type="spellEnd"/>
      <w:r w:rsidRPr="00375870">
        <w:rPr>
          <w:rFonts w:ascii="Times New Roman" w:hAnsi="Times New Roman" w:cs="Times New Roman"/>
        </w:rPr>
        <w:t xml:space="preserve"> for covariates</w:t>
      </w:r>
    </w:p>
    <w:p w14:paraId="03D5DEB0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vertAlign w:val="superscript"/>
        </w:rPr>
        <w:t>b</w:t>
      </w:r>
      <w:r w:rsidRPr="00375870">
        <w:rPr>
          <w:rFonts w:ascii="Times New Roman" w:hAnsi="Times New Roman" w:cs="Times New Roman"/>
        </w:rPr>
        <w:t>Odds</w:t>
      </w:r>
      <w:proofErr w:type="spellEnd"/>
      <w:r w:rsidRPr="00375870">
        <w:rPr>
          <w:rFonts w:ascii="Times New Roman" w:hAnsi="Times New Roman" w:cs="Times New Roman"/>
        </w:rPr>
        <w:t xml:space="preserve"> ratio</w:t>
      </w:r>
    </w:p>
    <w:p w14:paraId="333D1E0A" w14:textId="018164FD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vertAlign w:val="superscript"/>
        </w:rPr>
        <w:t>c</w:t>
      </w:r>
      <w:r w:rsidRPr="00375870">
        <w:rPr>
          <w:rFonts w:ascii="Times New Roman" w:hAnsi="Times New Roman" w:cs="Times New Roman"/>
        </w:rPr>
        <w:t>Hazards</w:t>
      </w:r>
      <w:proofErr w:type="spellEnd"/>
      <w:r w:rsidRPr="00375870">
        <w:rPr>
          <w:rFonts w:ascii="Times New Roman" w:hAnsi="Times New Roman" w:cs="Times New Roman"/>
        </w:rPr>
        <w:t xml:space="preserve"> ratio</w:t>
      </w:r>
      <w:r w:rsidR="00803555" w:rsidRPr="00375870">
        <w:rPr>
          <w:rFonts w:ascii="Times New Roman" w:hAnsi="Times New Roman" w:cs="Times New Roman"/>
        </w:rPr>
        <w:br w:type="page"/>
      </w: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1.</w:t>
      </w:r>
      <w:r w:rsidRPr="00375870">
        <w:rPr>
          <w:rFonts w:ascii="Times New Roman" w:hAnsi="Times New Roman" w:cs="Times New Roman"/>
        </w:rPr>
        <w:t xml:space="preserve"> MEDLINE search strategy</w:t>
      </w:r>
    </w:p>
    <w:p w14:paraId="4AB64491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Ovid MEDLINE(R) ALL &lt;1946 to July 10, 2025&gt;</w:t>
      </w:r>
    </w:p>
    <w:p w14:paraId="4D714DD6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</w:t>
      </w:r>
      <w:r w:rsidRPr="00375870">
        <w:rPr>
          <w:rFonts w:ascii="Times New Roman" w:hAnsi="Times New Roman" w:cs="Times New Roman"/>
        </w:rPr>
        <w:tab/>
        <w:t>Time-to-Treatment/ or Treatment Delay/</w:t>
      </w:r>
      <w:r w:rsidRPr="00375870">
        <w:rPr>
          <w:rFonts w:ascii="Times New Roman" w:hAnsi="Times New Roman" w:cs="Times New Roman"/>
        </w:rPr>
        <w:tab/>
        <w:t>11526</w:t>
      </w:r>
    </w:p>
    <w:p w14:paraId="0EC3D872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2</w:t>
      </w:r>
      <w:r w:rsidRPr="00375870">
        <w:rPr>
          <w:rFonts w:ascii="Times New Roman" w:hAnsi="Times New Roman" w:cs="Times New Roman"/>
        </w:rPr>
        <w:tab/>
        <w:t xml:space="preserve">((earl* or late* or delay* or time* or timing* or access* or </w:t>
      </w:r>
      <w:proofErr w:type="spellStart"/>
      <w:r w:rsidRPr="00375870">
        <w:rPr>
          <w:rFonts w:ascii="Times New Roman" w:hAnsi="Times New Roman" w:cs="Times New Roman"/>
        </w:rPr>
        <w:t>initiat</w:t>
      </w:r>
      <w:proofErr w:type="spellEnd"/>
      <w:r w:rsidRPr="00375870">
        <w:rPr>
          <w:rFonts w:ascii="Times New Roman" w:hAnsi="Times New Roman" w:cs="Times New Roman"/>
        </w:rPr>
        <w:t xml:space="preserve">* or uptake or enrol* or engage* or </w:t>
      </w:r>
      <w:proofErr w:type="spellStart"/>
      <w:r w:rsidRPr="00375870">
        <w:rPr>
          <w:rFonts w:ascii="Times New Roman" w:hAnsi="Times New Roman" w:cs="Times New Roman"/>
        </w:rPr>
        <w:t>utiliz</w:t>
      </w:r>
      <w:proofErr w:type="spellEnd"/>
      <w:r w:rsidRPr="00375870">
        <w:rPr>
          <w:rFonts w:ascii="Times New Roman" w:hAnsi="Times New Roman" w:cs="Times New Roman"/>
        </w:rPr>
        <w:t xml:space="preserve">* or utilis* or </w:t>
      </w:r>
      <w:proofErr w:type="spellStart"/>
      <w:r w:rsidRPr="00375870">
        <w:rPr>
          <w:rFonts w:ascii="Times New Roman" w:hAnsi="Times New Roman" w:cs="Times New Roman"/>
        </w:rPr>
        <w:t>recei</w:t>
      </w:r>
      <w:proofErr w:type="spellEnd"/>
      <w:r w:rsidRPr="00375870">
        <w:rPr>
          <w:rFonts w:ascii="Times New Roman" w:hAnsi="Times New Roman" w:cs="Times New Roman"/>
        </w:rPr>
        <w:t xml:space="preserve">* or use* or </w:t>
      </w:r>
      <w:proofErr w:type="spellStart"/>
      <w:r w:rsidRPr="00375870">
        <w:rPr>
          <w:rFonts w:ascii="Times New Roman" w:hAnsi="Times New Roman" w:cs="Times New Roman"/>
        </w:rPr>
        <w:t>prescri</w:t>
      </w:r>
      <w:proofErr w:type="spellEnd"/>
      <w:r w:rsidRPr="00375870">
        <w:rPr>
          <w:rFonts w:ascii="Times New Roman" w:hAnsi="Times New Roman" w:cs="Times New Roman"/>
        </w:rPr>
        <w:t xml:space="preserve">*) adj3 (treat* or intervention* or care or </w:t>
      </w:r>
      <w:proofErr w:type="spellStart"/>
      <w:r w:rsidRPr="00375870">
        <w:rPr>
          <w:rFonts w:ascii="Times New Roman" w:hAnsi="Times New Roman" w:cs="Times New Roman"/>
        </w:rPr>
        <w:t>servic</w:t>
      </w:r>
      <w:proofErr w:type="spellEnd"/>
      <w:r w:rsidRPr="00375870">
        <w:rPr>
          <w:rFonts w:ascii="Times New Roman" w:hAnsi="Times New Roman" w:cs="Times New Roman"/>
        </w:rPr>
        <w:t xml:space="preserve">* or </w:t>
      </w:r>
      <w:proofErr w:type="spellStart"/>
      <w:r w:rsidRPr="00375870">
        <w:rPr>
          <w:rFonts w:ascii="Times New Roman" w:hAnsi="Times New Roman" w:cs="Times New Roman"/>
        </w:rPr>
        <w:t>therap</w:t>
      </w:r>
      <w:proofErr w:type="spellEnd"/>
      <w:r w:rsidRPr="00375870">
        <w:rPr>
          <w:rFonts w:ascii="Times New Roman" w:hAnsi="Times New Roman" w:cs="Times New Roman"/>
        </w:rPr>
        <w:t xml:space="preserve">* or </w:t>
      </w:r>
      <w:proofErr w:type="spellStart"/>
      <w:r w:rsidRPr="00375870">
        <w:rPr>
          <w:rFonts w:ascii="Times New Roman" w:hAnsi="Times New Roman" w:cs="Times New Roman"/>
        </w:rPr>
        <w:t>medicat</w:t>
      </w:r>
      <w:proofErr w:type="spellEnd"/>
      <w:r w:rsidRPr="00375870">
        <w:rPr>
          <w:rFonts w:ascii="Times New Roman" w:hAnsi="Times New Roman" w:cs="Times New Roman"/>
        </w:rPr>
        <w:t>*)).</w:t>
      </w:r>
      <w:proofErr w:type="spellStart"/>
      <w:r w:rsidRPr="00375870">
        <w:rPr>
          <w:rFonts w:ascii="Times New Roman" w:hAnsi="Times New Roman" w:cs="Times New Roman"/>
        </w:rPr>
        <w:t>tw,kf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1730430</w:t>
      </w:r>
    </w:p>
    <w:p w14:paraId="0A534EC1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3</w:t>
      </w:r>
      <w:r w:rsidRPr="00375870">
        <w:rPr>
          <w:rFonts w:ascii="Times New Roman" w:hAnsi="Times New Roman" w:cs="Times New Roman"/>
        </w:rPr>
        <w:tab/>
        <w:t xml:space="preserve">(earl* or late* or delay* or time* or timing * or access* or </w:t>
      </w:r>
      <w:proofErr w:type="spellStart"/>
      <w:r w:rsidRPr="00375870">
        <w:rPr>
          <w:rFonts w:ascii="Times New Roman" w:hAnsi="Times New Roman" w:cs="Times New Roman"/>
        </w:rPr>
        <w:t>initiat</w:t>
      </w:r>
      <w:proofErr w:type="spellEnd"/>
      <w:r w:rsidRPr="00375870">
        <w:rPr>
          <w:rFonts w:ascii="Times New Roman" w:hAnsi="Times New Roman" w:cs="Times New Roman"/>
        </w:rPr>
        <w:t xml:space="preserve">* or uptake* or enrol* or engage* or </w:t>
      </w:r>
      <w:proofErr w:type="spellStart"/>
      <w:r w:rsidRPr="00375870">
        <w:rPr>
          <w:rFonts w:ascii="Times New Roman" w:hAnsi="Times New Roman" w:cs="Times New Roman"/>
        </w:rPr>
        <w:t>utiliz</w:t>
      </w:r>
      <w:proofErr w:type="spellEnd"/>
      <w:r w:rsidRPr="00375870">
        <w:rPr>
          <w:rFonts w:ascii="Times New Roman" w:hAnsi="Times New Roman" w:cs="Times New Roman"/>
        </w:rPr>
        <w:t xml:space="preserve">* or utilis* or </w:t>
      </w:r>
      <w:proofErr w:type="spellStart"/>
      <w:r w:rsidRPr="00375870">
        <w:rPr>
          <w:rFonts w:ascii="Times New Roman" w:hAnsi="Times New Roman" w:cs="Times New Roman"/>
        </w:rPr>
        <w:t>recei</w:t>
      </w:r>
      <w:proofErr w:type="spellEnd"/>
      <w:r w:rsidRPr="00375870">
        <w:rPr>
          <w:rFonts w:ascii="Times New Roman" w:hAnsi="Times New Roman" w:cs="Times New Roman"/>
        </w:rPr>
        <w:t xml:space="preserve">* or use* or </w:t>
      </w:r>
      <w:proofErr w:type="spellStart"/>
      <w:r w:rsidRPr="00375870">
        <w:rPr>
          <w:rFonts w:ascii="Times New Roman" w:hAnsi="Times New Roman" w:cs="Times New Roman"/>
        </w:rPr>
        <w:t>prescri</w:t>
      </w:r>
      <w:proofErr w:type="spellEnd"/>
      <w:r w:rsidRPr="00375870">
        <w:rPr>
          <w:rFonts w:ascii="Times New Roman" w:hAnsi="Times New Roman" w:cs="Times New Roman"/>
        </w:rPr>
        <w:t>*).</w:t>
      </w:r>
      <w:proofErr w:type="spellStart"/>
      <w:r w:rsidRPr="00375870">
        <w:rPr>
          <w:rFonts w:ascii="Times New Roman" w:hAnsi="Times New Roman" w:cs="Times New Roman"/>
        </w:rPr>
        <w:t>tw,kf</w:t>
      </w:r>
      <w:proofErr w:type="spellEnd"/>
      <w:r w:rsidRPr="00375870">
        <w:rPr>
          <w:rFonts w:ascii="Times New Roman" w:hAnsi="Times New Roman" w:cs="Times New Roman"/>
        </w:rPr>
        <w:t>. and Therapeutics/</w:t>
      </w:r>
      <w:r w:rsidRPr="00375870">
        <w:rPr>
          <w:rFonts w:ascii="Times New Roman" w:hAnsi="Times New Roman" w:cs="Times New Roman"/>
        </w:rPr>
        <w:tab/>
        <w:t>2358</w:t>
      </w:r>
    </w:p>
    <w:p w14:paraId="39010493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4</w:t>
      </w:r>
      <w:r w:rsidRPr="00375870">
        <w:rPr>
          <w:rFonts w:ascii="Times New Roman" w:hAnsi="Times New Roman" w:cs="Times New Roman"/>
        </w:rPr>
        <w:tab/>
        <w:t>1 or 2 or 3</w:t>
      </w:r>
      <w:r w:rsidRPr="00375870">
        <w:rPr>
          <w:rFonts w:ascii="Times New Roman" w:hAnsi="Times New Roman" w:cs="Times New Roman"/>
        </w:rPr>
        <w:tab/>
        <w:t>1738307</w:t>
      </w:r>
    </w:p>
    <w:p w14:paraId="771959A9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5</w:t>
      </w:r>
      <w:r w:rsidRPr="00375870">
        <w:rPr>
          <w:rFonts w:ascii="Times New Roman" w:hAnsi="Times New Roman" w:cs="Times New Roman"/>
        </w:rPr>
        <w:tab/>
        <w:t>attention deficit disorder with hyperactivity/</w:t>
      </w:r>
      <w:r w:rsidRPr="00375870">
        <w:rPr>
          <w:rFonts w:ascii="Times New Roman" w:hAnsi="Times New Roman" w:cs="Times New Roman"/>
        </w:rPr>
        <w:tab/>
        <w:t>37786</w:t>
      </w:r>
    </w:p>
    <w:p w14:paraId="22919591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6</w:t>
      </w:r>
      <w:r w:rsidRPr="00375870">
        <w:rPr>
          <w:rFonts w:ascii="Times New Roman" w:hAnsi="Times New Roman" w:cs="Times New Roman"/>
        </w:rPr>
        <w:tab/>
        <w:t>(attention deficit adj3 disorder*).</w:t>
      </w:r>
      <w:proofErr w:type="spellStart"/>
      <w:r w:rsidRPr="00375870">
        <w:rPr>
          <w:rFonts w:ascii="Times New Roman" w:hAnsi="Times New Roman" w:cs="Times New Roman"/>
        </w:rPr>
        <w:t>ti,kf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19566</w:t>
      </w:r>
    </w:p>
    <w:p w14:paraId="4623A82D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7</w:t>
      </w:r>
      <w:r w:rsidRPr="00375870">
        <w:rPr>
          <w:rFonts w:ascii="Times New Roman" w:hAnsi="Times New Roman" w:cs="Times New Roman"/>
        </w:rPr>
        <w:tab/>
      </w:r>
      <w:proofErr w:type="spellStart"/>
      <w:r w:rsidRPr="00375870">
        <w:rPr>
          <w:rFonts w:ascii="Times New Roman" w:hAnsi="Times New Roman" w:cs="Times New Roman"/>
        </w:rPr>
        <w:t>adhd.ti,kf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18952</w:t>
      </w:r>
    </w:p>
    <w:p w14:paraId="60F7B1A5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8</w:t>
      </w:r>
      <w:r w:rsidRPr="00375870">
        <w:rPr>
          <w:rFonts w:ascii="Times New Roman" w:hAnsi="Times New Roman" w:cs="Times New Roman"/>
        </w:rPr>
        <w:tab/>
        <w:t>Neurodevelopmental Disorders/</w:t>
      </w:r>
      <w:r w:rsidRPr="00375870">
        <w:rPr>
          <w:rFonts w:ascii="Times New Roman" w:hAnsi="Times New Roman" w:cs="Times New Roman"/>
        </w:rPr>
        <w:tab/>
        <w:t>6201</w:t>
      </w:r>
    </w:p>
    <w:p w14:paraId="1966E4FB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9</w:t>
      </w:r>
      <w:r w:rsidRPr="00375870">
        <w:rPr>
          <w:rFonts w:ascii="Times New Roman" w:hAnsi="Times New Roman" w:cs="Times New Roman"/>
        </w:rPr>
        <w:tab/>
        <w:t>neurodevelopmental disorder*.</w:t>
      </w:r>
      <w:proofErr w:type="spellStart"/>
      <w:r w:rsidRPr="00375870">
        <w:rPr>
          <w:rFonts w:ascii="Times New Roman" w:hAnsi="Times New Roman" w:cs="Times New Roman"/>
        </w:rPr>
        <w:t>ti,kf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6696</w:t>
      </w:r>
    </w:p>
    <w:p w14:paraId="1B6B2317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10</w:t>
      </w:r>
      <w:r w:rsidRPr="00375870">
        <w:rPr>
          <w:rFonts w:ascii="Times New Roman" w:hAnsi="Times New Roman" w:cs="Times New Roman"/>
        </w:rPr>
        <w:tab/>
        <w:t xml:space="preserve">exp </w:t>
      </w:r>
      <w:proofErr w:type="gramStart"/>
      <w:r w:rsidRPr="00375870">
        <w:rPr>
          <w:rFonts w:ascii="Times New Roman" w:hAnsi="Times New Roman" w:cs="Times New Roman"/>
        </w:rPr>
        <w:t>infant</w:t>
      </w:r>
      <w:proofErr w:type="gramEnd"/>
      <w:r w:rsidRPr="00375870">
        <w:rPr>
          <w:rFonts w:ascii="Times New Roman" w:hAnsi="Times New Roman" w:cs="Times New Roman"/>
        </w:rPr>
        <w:t>/ or exp child/ or adolescent/ or exp pediatrics/</w:t>
      </w:r>
      <w:r w:rsidRPr="00375870">
        <w:rPr>
          <w:rFonts w:ascii="Times New Roman" w:hAnsi="Times New Roman" w:cs="Times New Roman"/>
        </w:rPr>
        <w:tab/>
        <w:t>4207277</w:t>
      </w:r>
    </w:p>
    <w:p w14:paraId="782DDBC7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11</w:t>
      </w:r>
      <w:r w:rsidRPr="00375870">
        <w:rPr>
          <w:rFonts w:ascii="Times New Roman" w:hAnsi="Times New Roman" w:cs="Times New Roman"/>
        </w:rPr>
        <w:tab/>
        <w:t xml:space="preserve">(child or childhood* or children or pediatric* or paediatric* or </w:t>
      </w:r>
      <w:proofErr w:type="spellStart"/>
      <w:r w:rsidRPr="00375870">
        <w:rPr>
          <w:rFonts w:ascii="Times New Roman" w:hAnsi="Times New Roman" w:cs="Times New Roman"/>
        </w:rPr>
        <w:t>infan</w:t>
      </w:r>
      <w:proofErr w:type="spellEnd"/>
      <w:r w:rsidRPr="00375870">
        <w:rPr>
          <w:rFonts w:ascii="Times New Roman" w:hAnsi="Times New Roman" w:cs="Times New Roman"/>
        </w:rPr>
        <w:t xml:space="preserve">* or baby* or babies or toddler* or boy* or girl* or kid$1 or school* or </w:t>
      </w:r>
      <w:proofErr w:type="spellStart"/>
      <w:r w:rsidRPr="00375870">
        <w:rPr>
          <w:rFonts w:ascii="Times New Roman" w:hAnsi="Times New Roman" w:cs="Times New Roman"/>
        </w:rPr>
        <w:t>juvenil</w:t>
      </w:r>
      <w:proofErr w:type="spellEnd"/>
      <w:r w:rsidRPr="00375870">
        <w:rPr>
          <w:rFonts w:ascii="Times New Roman" w:hAnsi="Times New Roman" w:cs="Times New Roman"/>
        </w:rPr>
        <w:t xml:space="preserve">* or underage* or under age* or teen* or minor$1 or youth$1 or </w:t>
      </w:r>
      <w:proofErr w:type="spellStart"/>
      <w:r w:rsidRPr="00375870">
        <w:rPr>
          <w:rFonts w:ascii="Times New Roman" w:hAnsi="Times New Roman" w:cs="Times New Roman"/>
        </w:rPr>
        <w:t>adolescen</w:t>
      </w:r>
      <w:proofErr w:type="spellEnd"/>
      <w:r w:rsidRPr="00375870">
        <w:rPr>
          <w:rFonts w:ascii="Times New Roman" w:hAnsi="Times New Roman" w:cs="Times New Roman"/>
        </w:rPr>
        <w:t xml:space="preserve">* or </w:t>
      </w:r>
      <w:proofErr w:type="spellStart"/>
      <w:r w:rsidRPr="00375870">
        <w:rPr>
          <w:rFonts w:ascii="Times New Roman" w:hAnsi="Times New Roman" w:cs="Times New Roman"/>
        </w:rPr>
        <w:t>pubescen</w:t>
      </w:r>
      <w:proofErr w:type="spellEnd"/>
      <w:r w:rsidRPr="00375870">
        <w:rPr>
          <w:rFonts w:ascii="Times New Roman" w:hAnsi="Times New Roman" w:cs="Times New Roman"/>
        </w:rPr>
        <w:t>* or puberty).</w:t>
      </w:r>
      <w:proofErr w:type="spellStart"/>
      <w:r w:rsidRPr="00375870">
        <w:rPr>
          <w:rFonts w:ascii="Times New Roman" w:hAnsi="Times New Roman" w:cs="Times New Roman"/>
        </w:rPr>
        <w:t>mp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5458699</w:t>
      </w:r>
    </w:p>
    <w:p w14:paraId="12556ADD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12</w:t>
      </w:r>
      <w:r w:rsidRPr="00375870">
        <w:rPr>
          <w:rFonts w:ascii="Times New Roman" w:hAnsi="Times New Roman" w:cs="Times New Roman"/>
        </w:rPr>
        <w:tab/>
        <w:t>(</w:t>
      </w:r>
      <w:proofErr w:type="spellStart"/>
      <w:r w:rsidRPr="00375870">
        <w:rPr>
          <w:rFonts w:ascii="Times New Roman" w:hAnsi="Times New Roman" w:cs="Times New Roman"/>
        </w:rPr>
        <w:t>infan</w:t>
      </w:r>
      <w:proofErr w:type="spellEnd"/>
      <w:r w:rsidRPr="00375870">
        <w:rPr>
          <w:rFonts w:ascii="Times New Roman" w:hAnsi="Times New Roman" w:cs="Times New Roman"/>
        </w:rPr>
        <w:t xml:space="preserve">* or child* or </w:t>
      </w:r>
      <w:proofErr w:type="spellStart"/>
      <w:r w:rsidRPr="00375870">
        <w:rPr>
          <w:rFonts w:ascii="Times New Roman" w:hAnsi="Times New Roman" w:cs="Times New Roman"/>
        </w:rPr>
        <w:t>adolescen</w:t>
      </w:r>
      <w:proofErr w:type="spellEnd"/>
      <w:r w:rsidRPr="00375870">
        <w:rPr>
          <w:rFonts w:ascii="Times New Roman" w:hAnsi="Times New Roman" w:cs="Times New Roman"/>
        </w:rPr>
        <w:t>* or pediatric* or paediatric*).</w:t>
      </w:r>
      <w:proofErr w:type="spellStart"/>
      <w:r w:rsidRPr="00375870">
        <w:rPr>
          <w:rFonts w:ascii="Times New Roman" w:hAnsi="Times New Roman" w:cs="Times New Roman"/>
        </w:rPr>
        <w:t>jw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815768</w:t>
      </w:r>
    </w:p>
    <w:p w14:paraId="71F166A4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13</w:t>
      </w:r>
      <w:r w:rsidRPr="00375870">
        <w:rPr>
          <w:rFonts w:ascii="Times New Roman" w:hAnsi="Times New Roman" w:cs="Times New Roman"/>
        </w:rPr>
        <w:tab/>
        <w:t>or/10-12</w:t>
      </w:r>
      <w:r w:rsidRPr="00375870">
        <w:rPr>
          <w:rFonts w:ascii="Times New Roman" w:hAnsi="Times New Roman" w:cs="Times New Roman"/>
        </w:rPr>
        <w:tab/>
        <w:t>5554614</w:t>
      </w:r>
    </w:p>
    <w:p w14:paraId="54FB90EC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14</w:t>
      </w:r>
      <w:r w:rsidRPr="00375870">
        <w:rPr>
          <w:rFonts w:ascii="Times New Roman" w:hAnsi="Times New Roman" w:cs="Times New Roman"/>
        </w:rPr>
        <w:tab/>
        <w:t xml:space="preserve">exp health inequities/ or minority health/ or minority groups/ or "Ethnic and Racial Minorities"/ or "Health Disparate Minority and Vulnerable Populations"/ or exp population groups/ or exp ethnicity/ or race factors/ or exp racial groups/ or exp social class/ or exp socioeconomic factors/ or social problems/ or health equity/ or exp poverty/ or exp prejudice/ or social determinants </w:t>
      </w:r>
      <w:r w:rsidRPr="00375870">
        <w:rPr>
          <w:rFonts w:ascii="Times New Roman" w:hAnsi="Times New Roman" w:cs="Times New Roman"/>
        </w:rPr>
        <w:lastRenderedPageBreak/>
        <w:t>of health/ or exp "emigrants and immigrants"/ or health services accessibility/ or Access to Primary Care/ or Right to Health/ or Transportation of Patients/ or Universal Health Care/</w:t>
      </w:r>
      <w:r w:rsidRPr="00375870">
        <w:rPr>
          <w:rFonts w:ascii="Times New Roman" w:hAnsi="Times New Roman" w:cs="Times New Roman"/>
        </w:rPr>
        <w:tab/>
        <w:t>996083</w:t>
      </w:r>
    </w:p>
    <w:p w14:paraId="51F3846D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15</w:t>
      </w:r>
      <w:r w:rsidRPr="00375870">
        <w:rPr>
          <w:rFonts w:ascii="Times New Roman" w:hAnsi="Times New Roman" w:cs="Times New Roman"/>
        </w:rPr>
        <w:tab/>
        <w:t>(</w:t>
      </w:r>
      <w:proofErr w:type="spellStart"/>
      <w:r w:rsidRPr="00375870">
        <w:rPr>
          <w:rFonts w:ascii="Times New Roman" w:hAnsi="Times New Roman" w:cs="Times New Roman"/>
        </w:rPr>
        <w:t>disparit</w:t>
      </w:r>
      <w:proofErr w:type="spellEnd"/>
      <w:r w:rsidRPr="00375870">
        <w:rPr>
          <w:rFonts w:ascii="Times New Roman" w:hAnsi="Times New Roman" w:cs="Times New Roman"/>
        </w:rPr>
        <w:t xml:space="preserve">* or ethnic* or </w:t>
      </w:r>
      <w:proofErr w:type="spellStart"/>
      <w:r w:rsidRPr="00375870">
        <w:rPr>
          <w:rFonts w:ascii="Times New Roman" w:hAnsi="Times New Roman" w:cs="Times New Roman"/>
        </w:rPr>
        <w:t>inequit</w:t>
      </w:r>
      <w:proofErr w:type="spellEnd"/>
      <w:r w:rsidRPr="00375870">
        <w:rPr>
          <w:rFonts w:ascii="Times New Roman" w:hAnsi="Times New Roman" w:cs="Times New Roman"/>
        </w:rPr>
        <w:t xml:space="preserve">* or </w:t>
      </w:r>
      <w:proofErr w:type="spellStart"/>
      <w:r w:rsidRPr="00375870">
        <w:rPr>
          <w:rFonts w:ascii="Times New Roman" w:hAnsi="Times New Roman" w:cs="Times New Roman"/>
        </w:rPr>
        <w:t>inequalit</w:t>
      </w:r>
      <w:proofErr w:type="spellEnd"/>
      <w:r w:rsidRPr="00375870">
        <w:rPr>
          <w:rFonts w:ascii="Times New Roman" w:hAnsi="Times New Roman" w:cs="Times New Roman"/>
        </w:rPr>
        <w:t xml:space="preserve">* or intersectional or race* or racial or racism or racist* or </w:t>
      </w:r>
      <w:proofErr w:type="spellStart"/>
      <w:r w:rsidRPr="00375870">
        <w:rPr>
          <w:rFonts w:ascii="Times New Roman" w:hAnsi="Times New Roman" w:cs="Times New Roman"/>
        </w:rPr>
        <w:t>minorit</w:t>
      </w:r>
      <w:proofErr w:type="spellEnd"/>
      <w:r w:rsidRPr="00375870">
        <w:rPr>
          <w:rFonts w:ascii="Times New Roman" w:hAnsi="Times New Roman" w:cs="Times New Roman"/>
        </w:rPr>
        <w:t xml:space="preserve">* or immigrant* or Socioeconomic* or Socio economic* or poverty or indigen* or discrimination or </w:t>
      </w:r>
      <w:proofErr w:type="spellStart"/>
      <w:r w:rsidRPr="00375870">
        <w:rPr>
          <w:rFonts w:ascii="Times New Roman" w:hAnsi="Times New Roman" w:cs="Times New Roman"/>
        </w:rPr>
        <w:t>equit</w:t>
      </w:r>
      <w:proofErr w:type="spellEnd"/>
      <w:r w:rsidRPr="00375870">
        <w:rPr>
          <w:rFonts w:ascii="Times New Roman" w:hAnsi="Times New Roman" w:cs="Times New Roman"/>
        </w:rPr>
        <w:t xml:space="preserve">* or income or social class or </w:t>
      </w:r>
      <w:proofErr w:type="spellStart"/>
      <w:r w:rsidRPr="00375870">
        <w:rPr>
          <w:rFonts w:ascii="Times New Roman" w:hAnsi="Times New Roman" w:cs="Times New Roman"/>
        </w:rPr>
        <w:t>prejudic</w:t>
      </w:r>
      <w:proofErr w:type="spellEnd"/>
      <w:r w:rsidRPr="00375870">
        <w:rPr>
          <w:rFonts w:ascii="Times New Roman" w:hAnsi="Times New Roman" w:cs="Times New Roman"/>
        </w:rPr>
        <w:t xml:space="preserve">* or social exclusion or </w:t>
      </w:r>
      <w:proofErr w:type="spellStart"/>
      <w:r w:rsidRPr="00375870">
        <w:rPr>
          <w:rFonts w:ascii="Times New Roman" w:hAnsi="Times New Roman" w:cs="Times New Roman"/>
        </w:rPr>
        <w:t>marginali#ed</w:t>
      </w:r>
      <w:proofErr w:type="spellEnd"/>
      <w:r w:rsidRPr="00375870">
        <w:rPr>
          <w:rFonts w:ascii="Times New Roman" w:hAnsi="Times New Roman" w:cs="Times New Roman"/>
        </w:rPr>
        <w:t xml:space="preserve"> or "people of? </w:t>
      </w:r>
      <w:proofErr w:type="spellStart"/>
      <w:r w:rsidRPr="00375870">
        <w:rPr>
          <w:rFonts w:ascii="Times New Roman" w:hAnsi="Times New Roman" w:cs="Times New Roman"/>
        </w:rPr>
        <w:t>colo?r</w:t>
      </w:r>
      <w:proofErr w:type="spellEnd"/>
      <w:r w:rsidRPr="00375870">
        <w:rPr>
          <w:rFonts w:ascii="Times New Roman" w:hAnsi="Times New Roman" w:cs="Times New Roman"/>
        </w:rPr>
        <w:t xml:space="preserve">" or accessibility or </w:t>
      </w:r>
      <w:proofErr w:type="spellStart"/>
      <w:r w:rsidRPr="00375870">
        <w:rPr>
          <w:rFonts w:ascii="Times New Roman" w:hAnsi="Times New Roman" w:cs="Times New Roman"/>
        </w:rPr>
        <w:t>vulnerab</w:t>
      </w:r>
      <w:proofErr w:type="spellEnd"/>
      <w:r w:rsidRPr="00375870">
        <w:rPr>
          <w:rFonts w:ascii="Times New Roman" w:hAnsi="Times New Roman" w:cs="Times New Roman"/>
        </w:rPr>
        <w:t>*).</w:t>
      </w:r>
      <w:proofErr w:type="spellStart"/>
      <w:r w:rsidRPr="00375870">
        <w:rPr>
          <w:rFonts w:ascii="Times New Roman" w:hAnsi="Times New Roman" w:cs="Times New Roman"/>
        </w:rPr>
        <w:t>ti,ab,kf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1441335</w:t>
      </w:r>
    </w:p>
    <w:p w14:paraId="062C2982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16</w:t>
      </w:r>
      <w:r w:rsidRPr="00375870">
        <w:rPr>
          <w:rFonts w:ascii="Times New Roman" w:hAnsi="Times New Roman" w:cs="Times New Roman"/>
        </w:rPr>
        <w:tab/>
        <w:t>(barrier* or wait* time*).</w:t>
      </w:r>
      <w:proofErr w:type="spellStart"/>
      <w:r w:rsidRPr="00375870">
        <w:rPr>
          <w:rFonts w:ascii="Times New Roman" w:hAnsi="Times New Roman" w:cs="Times New Roman"/>
        </w:rPr>
        <w:t>ti,ab,kf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514361</w:t>
      </w:r>
    </w:p>
    <w:p w14:paraId="674126E2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17</w:t>
      </w:r>
      <w:r w:rsidRPr="00375870">
        <w:rPr>
          <w:rFonts w:ascii="Times New Roman" w:hAnsi="Times New Roman" w:cs="Times New Roman"/>
        </w:rPr>
        <w:tab/>
        <w:t xml:space="preserve">(gender* or (boy* and girl*) or </w:t>
      </w:r>
      <w:proofErr w:type="spellStart"/>
      <w:r w:rsidRPr="00375870">
        <w:rPr>
          <w:rFonts w:ascii="Times New Roman" w:hAnsi="Times New Roman" w:cs="Times New Roman"/>
        </w:rPr>
        <w:t>financ</w:t>
      </w:r>
      <w:proofErr w:type="spellEnd"/>
      <w:r w:rsidRPr="00375870">
        <w:rPr>
          <w:rFonts w:ascii="Times New Roman" w:hAnsi="Times New Roman" w:cs="Times New Roman"/>
        </w:rPr>
        <w:t>* or insurance).</w:t>
      </w:r>
      <w:proofErr w:type="spellStart"/>
      <w:r w:rsidRPr="00375870">
        <w:rPr>
          <w:rFonts w:ascii="Times New Roman" w:hAnsi="Times New Roman" w:cs="Times New Roman"/>
        </w:rPr>
        <w:t>mp</w:t>
      </w:r>
      <w:proofErr w:type="spellEnd"/>
      <w:r w:rsidRPr="00375870">
        <w:rPr>
          <w:rFonts w:ascii="Times New Roman" w:hAnsi="Times New Roman" w:cs="Times New Roman"/>
        </w:rPr>
        <w:t>.</w:t>
      </w:r>
      <w:r w:rsidRPr="00375870">
        <w:rPr>
          <w:rFonts w:ascii="Times New Roman" w:hAnsi="Times New Roman" w:cs="Times New Roman"/>
        </w:rPr>
        <w:tab/>
        <w:t>957628</w:t>
      </w:r>
    </w:p>
    <w:p w14:paraId="497D90F4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18</w:t>
      </w:r>
      <w:r w:rsidRPr="00375870">
        <w:rPr>
          <w:rFonts w:ascii="Times New Roman" w:hAnsi="Times New Roman" w:cs="Times New Roman"/>
        </w:rPr>
        <w:tab/>
        <w:t>14 or 15 or 16 or 17</w:t>
      </w:r>
      <w:r w:rsidRPr="00375870">
        <w:rPr>
          <w:rFonts w:ascii="Times New Roman" w:hAnsi="Times New Roman" w:cs="Times New Roman"/>
        </w:rPr>
        <w:tab/>
        <w:t>3146995</w:t>
      </w:r>
    </w:p>
    <w:p w14:paraId="712ECD36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19</w:t>
      </w:r>
      <w:r w:rsidRPr="00375870">
        <w:rPr>
          <w:rFonts w:ascii="Times New Roman" w:hAnsi="Times New Roman" w:cs="Times New Roman"/>
        </w:rPr>
        <w:tab/>
        <w:t>5 or 6 or 7 or 8 or 9</w:t>
      </w:r>
      <w:r w:rsidRPr="00375870">
        <w:rPr>
          <w:rFonts w:ascii="Times New Roman" w:hAnsi="Times New Roman" w:cs="Times New Roman"/>
        </w:rPr>
        <w:tab/>
        <w:t>54035</w:t>
      </w:r>
    </w:p>
    <w:p w14:paraId="2B837207" w14:textId="77777777" w:rsidR="00F737DB" w:rsidRPr="00375870" w:rsidRDefault="00F737DB" w:rsidP="00155905">
      <w:pPr>
        <w:spacing w:after="0"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t>20</w:t>
      </w:r>
      <w:r w:rsidRPr="00375870">
        <w:rPr>
          <w:rFonts w:ascii="Times New Roman" w:hAnsi="Times New Roman" w:cs="Times New Roman"/>
        </w:rPr>
        <w:tab/>
        <w:t>4 and 13 and 18 and 19</w:t>
      </w:r>
      <w:r w:rsidRPr="00375870">
        <w:rPr>
          <w:rFonts w:ascii="Times New Roman" w:hAnsi="Times New Roman" w:cs="Times New Roman"/>
        </w:rPr>
        <w:tab/>
        <w:t>1428</w:t>
      </w:r>
    </w:p>
    <w:p w14:paraId="6CBA2F1D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br w:type="page"/>
      </w: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2.</w:t>
      </w:r>
      <w:r w:rsidRPr="00375870">
        <w:rPr>
          <w:rFonts w:ascii="Times New Roman" w:hAnsi="Times New Roman" w:cs="Times New Roman"/>
        </w:rPr>
        <w:t xml:space="preserve"> Inclusion and exclusion criteria of included studies</w:t>
      </w:r>
    </w:p>
    <w:tbl>
      <w:tblPr>
        <w:tblW w:w="10800" w:type="dxa"/>
        <w:tblInd w:w="-630" w:type="dxa"/>
        <w:tblLook w:val="04A0" w:firstRow="1" w:lastRow="0" w:firstColumn="1" w:lastColumn="0" w:noHBand="0" w:noVBand="1"/>
      </w:tblPr>
      <w:tblGrid>
        <w:gridCol w:w="1800"/>
        <w:gridCol w:w="4500"/>
        <w:gridCol w:w="4500"/>
      </w:tblGrid>
      <w:tr w:rsidR="00F737DB" w:rsidRPr="00375870" w14:paraId="4911D4DF" w14:textId="77777777" w:rsidTr="003B3544">
        <w:trPr>
          <w:trHeight w:val="429"/>
          <w:tblHeader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AE4AB2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Author last name, Publication year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745C5D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Inclusion criteria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08437D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Exclusion criteria</w:t>
            </w:r>
          </w:p>
        </w:tc>
      </w:tr>
      <w:tr w:rsidR="00F737DB" w:rsidRPr="00375870" w14:paraId="11FD73D3" w14:textId="77777777" w:rsidTr="003B3544">
        <w:trPr>
          <w:trHeight w:val="1192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204D45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262626"/>
                <w:kern w:val="0"/>
                <w:lang w:eastAsia="en-CA"/>
                <w14:ligatures w14:val="none"/>
              </w:rPr>
              <w:t>Arya, 2015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413D3E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Newly registered patients aged 6–16 years attending the Child and Adolescent Outpatient Program (OPD) who fulfilled the DSM-IV-TR criteria for ADHD.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D71995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Patients with intellectual disabilities, major sensory-motor handicaps (blindness, hearing problem, paralysis), a physical disorder requiring priority medical management, and parents not willing to give consent.</w:t>
            </w:r>
          </w:p>
        </w:tc>
      </w:tr>
      <w:tr w:rsidR="00F737DB" w:rsidRPr="00375870" w14:paraId="35FA97F5" w14:textId="77777777" w:rsidTr="003B3544">
        <w:trPr>
          <w:trHeight w:val="116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12185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Bannett, 2025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FCA2E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Children aged 3-5 years seen in primary care clinics affiliated with eight academic institutions; seen ≥2 times with at least 6 months of follow-up; received at least one disorder-level ADHD diagnosis between ages 4-5 years.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BF88A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Children not meeting the inclusion criteria (e.g., not seen in primary care, insufficient visits/follow-up, no ADHD diagnosis in the age window).</w:t>
            </w:r>
          </w:p>
        </w:tc>
      </w:tr>
      <w:tr w:rsidR="00F737DB" w:rsidRPr="00375870" w14:paraId="16B41381" w14:textId="77777777" w:rsidTr="003B3544">
        <w:trPr>
          <w:trHeight w:val="98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452F7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Chen, 2011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FBA13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Age &lt;18, New ADHD diagnosis in 2000, No ADHD diagnosis in prior 3 years (1997–1999)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25DC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Children not meeting the inclusion criteria</w:t>
            </w:r>
          </w:p>
        </w:tc>
      </w:tr>
      <w:tr w:rsidR="00F737DB" w:rsidRPr="00375870" w14:paraId="6D606BA7" w14:textId="77777777" w:rsidTr="003B3544">
        <w:trPr>
          <w:trHeight w:val="10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CF38A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Garbe, 2012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7A709" w14:textId="02F2BFA5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Aged 3–17 years with a first diagnosis of ADHD or a prescription for methylphenidate or atomoxetine in 2005, 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continuously insured for at least 12 months before cohort entry.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FDD10" w14:textId="0F9AFDBF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 xml:space="preserve">A history of an ADHD diagnosis or a prescription for methylphenidate or 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atomoxetine in the 12 months before cohort entry.</w:t>
            </w:r>
          </w:p>
        </w:tc>
      </w:tr>
      <w:tr w:rsidR="00F737DB" w:rsidRPr="00375870" w14:paraId="3C9FE621" w14:textId="77777777" w:rsidTr="003B3544">
        <w:trPr>
          <w:trHeight w:val="64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ED26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Gubi, 2022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A0F61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Aged 6–17 years living in the Stockholm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D0043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Adopted individuals, missing data on parental country of origin or income, born abroad with two Swedish-born parents, unaccompanied refugee minors, psychiatric diagnosis prior to study start </w:t>
            </w:r>
          </w:p>
        </w:tc>
      </w:tr>
      <w:tr w:rsidR="00F737DB" w:rsidRPr="00375870" w14:paraId="0CC1F9DA" w14:textId="77777777" w:rsidTr="003B3544">
        <w:trPr>
          <w:trHeight w:val="194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C4705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Hong, 2014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D6C26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Child and adolescent outpatients aged 6 to 17 years, presented within the normal course of care with ADHD symptoms, no previous ADHD diagnoses or treatment, diagnosis made by investigator using DSM-IV-TR or ICD-10 criteria.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AC5C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Severe mental retardation (unable to attend school), epilepsy, or schizophrenia, participation in a different interventional study or investigational drug trial</w:t>
            </w:r>
          </w:p>
        </w:tc>
      </w:tr>
      <w:tr w:rsidR="00F737DB" w:rsidRPr="00375870" w14:paraId="59D9BC4D" w14:textId="77777777" w:rsidTr="003B3544">
        <w:trPr>
          <w:trHeight w:val="134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AC73D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Huang, 2021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A14A0" w14:textId="5D9B4C4D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Aged 3-19 </w:t>
            </w:r>
            <w:r w:rsidRPr="00375870">
              <w:rPr>
                <w:rFonts w:ascii="Times New Roman" w:hAnsi="Times New Roman" w:cs="Times New Roman"/>
              </w:rPr>
              <w:t>years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who received an ADHD diagnosis (ICD-9-CM: 314) from a board-certified psychiatrist. Only included 6</w:t>
            </w:r>
            <w:r w:rsidRPr="00375870">
              <w:rPr>
                <w:rFonts w:ascii="Times New Roman" w:hAnsi="Times New Roman" w:cs="Times New Roman"/>
              </w:rPr>
              <w:t xml:space="preserve"> years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+ children in delayed ini</w:t>
            </w:r>
            <w:r w:rsidR="00B36595"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tia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tion analyses as ADHD meds is only approved for patients 6</w:t>
            </w:r>
            <w:r w:rsidRPr="00375870">
              <w:rPr>
                <w:rFonts w:ascii="Times New Roman" w:hAnsi="Times New Roman" w:cs="Times New Roman"/>
              </w:rPr>
              <w:t xml:space="preserve"> years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and above in Taiwan.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61112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None explicitly stated beyond the inclusion criteria</w:t>
            </w:r>
          </w:p>
        </w:tc>
      </w:tr>
      <w:tr w:rsidR="00F737DB" w:rsidRPr="00375870" w14:paraId="0BCB7D49" w14:textId="77777777" w:rsidTr="003B3544">
        <w:trPr>
          <w:trHeight w:val="9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9AADF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Kasinathan, 2025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CD8C6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Aged 6-12 years seen at Stanford's Developmental-Behavioral Pediatrics (DBP) clinics with an ICD-10 ADHD diagnosis. At least two DBP visits and &gt;1 month of follow-up.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4DA68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Autism spectrum disorder diagnosis prior to or concurrent with first ADHD visit, ADHD diagnosis before age 6, ADHD medication prescription before the diagnostic visit</w:t>
            </w:r>
          </w:p>
        </w:tc>
      </w:tr>
      <w:tr w:rsidR="00F737DB" w:rsidRPr="00375870" w14:paraId="0C42348C" w14:textId="77777777" w:rsidTr="003B3544">
        <w:trPr>
          <w:trHeight w:val="61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20129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Lien, 2015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338BE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Ages 3–5, at least two outpatient visits for ADHD in a six-month period after the initial diagnosis, Born between 2001–2003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4A95E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Children with an ADHD diagnosis who had fewer than two follow-up outpatient visits for the condition </w:t>
            </w:r>
          </w:p>
        </w:tc>
      </w:tr>
      <w:tr w:rsidR="00F737DB" w:rsidRPr="00375870" w14:paraId="72C13578" w14:textId="77777777" w:rsidTr="003B3544">
        <w:trPr>
          <w:trHeight w:val="161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979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Lindemann, 2012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1F5DD" w14:textId="3EA3A39B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Aged 3–17 years in 2005, insured by one of the four statutory health insurance providers in the German </w:t>
            </w:r>
            <w:proofErr w:type="spellStart"/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Pharmacoepidemiological</w:t>
            </w:r>
            <w:proofErr w:type="spellEnd"/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Research Database (</w:t>
            </w:r>
            <w:proofErr w:type="spellStart"/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GePaRD</w:t>
            </w:r>
            <w:proofErr w:type="spellEnd"/>
            <w:r w:rsidR="00F13D5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C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ontinuous insurance period of at least 2 years (1 year before and 1 year after a potential diagnosis).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1E4BF" w14:textId="5643C3EA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ADHD dx marked “ruled out” or “suspected”. Missing information on sex or federal state of residence</w:t>
            </w:r>
            <w:r w:rsidR="00F13D5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Any ICD-10 codes for ADHD or prescriptions for methylphenidate/atomoxetine in the 365 days preceding a new diagnosis in 2005.</w:t>
            </w:r>
          </w:p>
        </w:tc>
      </w:tr>
      <w:tr w:rsidR="00F737DB" w:rsidRPr="00375870" w14:paraId="03954AD8" w14:textId="77777777" w:rsidTr="003B3544">
        <w:trPr>
          <w:trHeight w:val="1552"/>
        </w:trPr>
        <w:tc>
          <w:tcPr>
            <w:tcW w:w="1800" w:type="dxa"/>
            <w:tcBorders>
              <w:top w:val="nil"/>
              <w:left w:val="nil"/>
              <w:right w:val="nil"/>
            </w:tcBorders>
            <w:hideMark/>
          </w:tcPr>
          <w:p w14:paraId="792D44BC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Martin, 2024</w:t>
            </w: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hideMark/>
          </w:tcPr>
          <w:p w14:paraId="58B2E225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Ages 3–30 years at the end of the study period. Born between 1989 and 2013; Living in Wales between 2000 and 2019; at least one year of follow-up data (minimum 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365 noncontinuous days).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br/>
              <w:t xml:space="preserve">Received an ADHD diagnosis during their follow-up period. </w:t>
            </w: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hideMark/>
          </w:tcPr>
          <w:p w14:paraId="619A9D66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 xml:space="preserve"> Individuals with &lt;365 days of data, who only had a record of ADHD diagnosis prior to age 3 and never again, prescribed ADHD 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medication but with no recorded ADHD diagnosis.</w:t>
            </w:r>
          </w:p>
        </w:tc>
      </w:tr>
      <w:tr w:rsidR="00F737DB" w:rsidRPr="00375870" w14:paraId="2A61BB0D" w14:textId="77777777" w:rsidTr="003B3544">
        <w:trPr>
          <w:trHeight w:val="1193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64EC7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Shi, 2021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CFE984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41413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141413"/>
                <w:kern w:val="0"/>
                <w:lang w:eastAsia="en-CA"/>
                <w14:ligatures w14:val="none"/>
              </w:rPr>
              <w:t>1 year of insurance coverage beyond the date of ADHD diagnosis, Born 2006–2012, continuous commercial insurance ≥4 years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3E62D1" w14:textId="77777777" w:rsidR="00F737DB" w:rsidRPr="00375870" w:rsidRDefault="00F737DB" w:rsidP="0015590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Children who did not meet the inclusion criteria (e.g., gaps in insurance coverage).</w:t>
            </w:r>
            <w:r w:rsidRPr="0037587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br/>
              <w:t>Children diagnosed with ADHD before age 3 without subsequent visits were classified as not having ADHD</w:t>
            </w:r>
          </w:p>
        </w:tc>
      </w:tr>
    </w:tbl>
    <w:p w14:paraId="0251B45F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  <w:sectPr w:rsidR="00F737DB" w:rsidRPr="00375870" w:rsidSect="009B3FBF">
          <w:footerReference w:type="even" r:id="rId11"/>
          <w:footerReference w:type="default" r:id="rId12"/>
          <w:type w:val="continuous"/>
          <w:pgSz w:w="12240" w:h="15840"/>
          <w:pgMar w:top="1296" w:right="1296" w:bottom="1296" w:left="1296" w:header="709" w:footer="709" w:gutter="0"/>
          <w:lnNumType w:countBy="1"/>
          <w:cols w:space="708"/>
          <w:docGrid w:linePitch="360"/>
        </w:sectPr>
      </w:pPr>
      <w:r w:rsidRPr="00375870">
        <w:rPr>
          <w:rFonts w:ascii="Times New Roman" w:hAnsi="Times New Roman" w:cs="Times New Roman"/>
        </w:rPr>
        <w:br w:type="page"/>
      </w:r>
    </w:p>
    <w:p w14:paraId="65826B6F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3.</w:t>
      </w:r>
      <w:r w:rsidRPr="00375870">
        <w:rPr>
          <w:rFonts w:ascii="Times New Roman" w:hAnsi="Times New Roman" w:cs="Times New Roman"/>
        </w:rPr>
        <w:t xml:space="preserve"> Risk of bias assessment of included studies using the Newcastle–Ottawa scale for cohort and cross-sectional studies</w:t>
      </w:r>
    </w:p>
    <w:tbl>
      <w:tblPr>
        <w:tblStyle w:val="TableGrid"/>
        <w:tblW w:w="1512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070"/>
        <w:gridCol w:w="990"/>
        <w:gridCol w:w="720"/>
        <w:gridCol w:w="777"/>
        <w:gridCol w:w="859"/>
        <w:gridCol w:w="859"/>
        <w:gridCol w:w="859"/>
        <w:gridCol w:w="1236"/>
        <w:gridCol w:w="720"/>
        <w:gridCol w:w="1260"/>
        <w:gridCol w:w="900"/>
        <w:gridCol w:w="900"/>
        <w:gridCol w:w="2070"/>
        <w:gridCol w:w="900"/>
      </w:tblGrid>
      <w:tr w:rsidR="00F737DB" w:rsidRPr="00375870" w14:paraId="68876DE1" w14:textId="77777777" w:rsidTr="003B3544">
        <w:tc>
          <w:tcPr>
            <w:tcW w:w="2070" w:type="dxa"/>
            <w:vMerge w:val="restart"/>
          </w:tcPr>
          <w:p w14:paraId="576068F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Cohort study questions</w:t>
            </w:r>
          </w:p>
        </w:tc>
        <w:tc>
          <w:tcPr>
            <w:tcW w:w="10080" w:type="dxa"/>
            <w:gridSpan w:val="11"/>
          </w:tcPr>
          <w:p w14:paraId="28A71423" w14:textId="77777777" w:rsidR="00F737DB" w:rsidRPr="00375870" w:rsidRDefault="00F737DB" w:rsidP="0015590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Author last name</w:t>
            </w:r>
          </w:p>
        </w:tc>
        <w:tc>
          <w:tcPr>
            <w:tcW w:w="2070" w:type="dxa"/>
            <w:vMerge w:val="restart"/>
          </w:tcPr>
          <w:p w14:paraId="2CBC3EB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Cross-sectional study questions</w:t>
            </w:r>
          </w:p>
        </w:tc>
        <w:tc>
          <w:tcPr>
            <w:tcW w:w="900" w:type="dxa"/>
          </w:tcPr>
          <w:p w14:paraId="4CBF78B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Author last name</w:t>
            </w:r>
          </w:p>
        </w:tc>
      </w:tr>
      <w:tr w:rsidR="00F737DB" w:rsidRPr="00375870" w14:paraId="5E9B5676" w14:textId="77777777" w:rsidTr="003B3544">
        <w:tc>
          <w:tcPr>
            <w:tcW w:w="2070" w:type="dxa"/>
            <w:vMerge/>
          </w:tcPr>
          <w:p w14:paraId="2E8F49A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A0A2BC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Bannett</w:t>
            </w:r>
          </w:p>
        </w:tc>
        <w:tc>
          <w:tcPr>
            <w:tcW w:w="720" w:type="dxa"/>
          </w:tcPr>
          <w:p w14:paraId="033DE7B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Chen</w:t>
            </w:r>
          </w:p>
        </w:tc>
        <w:tc>
          <w:tcPr>
            <w:tcW w:w="777" w:type="dxa"/>
          </w:tcPr>
          <w:p w14:paraId="78EEB4A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Garbe</w:t>
            </w:r>
          </w:p>
        </w:tc>
        <w:tc>
          <w:tcPr>
            <w:tcW w:w="859" w:type="dxa"/>
          </w:tcPr>
          <w:p w14:paraId="7894BFA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Gubi</w:t>
            </w:r>
          </w:p>
        </w:tc>
        <w:tc>
          <w:tcPr>
            <w:tcW w:w="859" w:type="dxa"/>
          </w:tcPr>
          <w:p w14:paraId="7D899D1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 Hong</w:t>
            </w:r>
          </w:p>
        </w:tc>
        <w:tc>
          <w:tcPr>
            <w:tcW w:w="859" w:type="dxa"/>
          </w:tcPr>
          <w:p w14:paraId="235D894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Huang</w:t>
            </w:r>
          </w:p>
        </w:tc>
        <w:tc>
          <w:tcPr>
            <w:tcW w:w="1236" w:type="dxa"/>
          </w:tcPr>
          <w:p w14:paraId="56691D1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Kasinathan</w:t>
            </w:r>
          </w:p>
        </w:tc>
        <w:tc>
          <w:tcPr>
            <w:tcW w:w="720" w:type="dxa"/>
          </w:tcPr>
          <w:p w14:paraId="198F196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Lien</w:t>
            </w:r>
          </w:p>
        </w:tc>
        <w:tc>
          <w:tcPr>
            <w:tcW w:w="1260" w:type="dxa"/>
          </w:tcPr>
          <w:p w14:paraId="21CEA13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Lindemann</w:t>
            </w:r>
          </w:p>
        </w:tc>
        <w:tc>
          <w:tcPr>
            <w:tcW w:w="900" w:type="dxa"/>
          </w:tcPr>
          <w:p w14:paraId="0F0CA80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Martin</w:t>
            </w:r>
          </w:p>
        </w:tc>
        <w:tc>
          <w:tcPr>
            <w:tcW w:w="900" w:type="dxa"/>
          </w:tcPr>
          <w:p w14:paraId="739712F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Shi</w:t>
            </w:r>
          </w:p>
        </w:tc>
        <w:tc>
          <w:tcPr>
            <w:tcW w:w="2070" w:type="dxa"/>
            <w:vMerge/>
          </w:tcPr>
          <w:p w14:paraId="05BEB82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0ABEC7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Arya</w:t>
            </w:r>
          </w:p>
        </w:tc>
      </w:tr>
      <w:tr w:rsidR="00F737DB" w:rsidRPr="00375870" w14:paraId="29D3E3B9" w14:textId="77777777" w:rsidTr="003B3544">
        <w:tc>
          <w:tcPr>
            <w:tcW w:w="2070" w:type="dxa"/>
          </w:tcPr>
          <w:p w14:paraId="0850E6C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Representativeness of the exposed cohort</w:t>
            </w:r>
          </w:p>
        </w:tc>
        <w:tc>
          <w:tcPr>
            <w:tcW w:w="990" w:type="dxa"/>
          </w:tcPr>
          <w:p w14:paraId="22B2338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2970076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49D8E53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20DD5C6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672F69F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</w:tcPr>
          <w:p w14:paraId="2101BEB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5AFE47F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14:paraId="681BFEF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1511059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49109D7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1D74D03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2565AC5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Representativeness of the cases</w:t>
            </w:r>
          </w:p>
          <w:p w14:paraId="4891934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3CC909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-</w:t>
            </w:r>
          </w:p>
        </w:tc>
      </w:tr>
      <w:tr w:rsidR="00F737DB" w:rsidRPr="00375870" w14:paraId="782B3BAE" w14:textId="77777777" w:rsidTr="003B3544">
        <w:tc>
          <w:tcPr>
            <w:tcW w:w="2070" w:type="dxa"/>
          </w:tcPr>
          <w:p w14:paraId="40D3F52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Selection of the non-exposed cohort</w:t>
            </w:r>
          </w:p>
        </w:tc>
        <w:tc>
          <w:tcPr>
            <w:tcW w:w="990" w:type="dxa"/>
          </w:tcPr>
          <w:p w14:paraId="1E70441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53F1E4C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01E3654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0BB09E8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11BF273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6D506F5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41CB5B2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31754F8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7C78856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36A34D7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31E0726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0A90AF0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Sample size</w:t>
            </w:r>
          </w:p>
          <w:p w14:paraId="6B979DC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28D776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-</w:t>
            </w:r>
          </w:p>
        </w:tc>
      </w:tr>
      <w:tr w:rsidR="00F737DB" w:rsidRPr="00375870" w14:paraId="0FBC9EDF" w14:textId="77777777" w:rsidTr="003B3544">
        <w:tc>
          <w:tcPr>
            <w:tcW w:w="2070" w:type="dxa"/>
          </w:tcPr>
          <w:p w14:paraId="2D9D6D0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Ascertainment of exposure</w:t>
            </w:r>
          </w:p>
        </w:tc>
        <w:tc>
          <w:tcPr>
            <w:tcW w:w="990" w:type="dxa"/>
          </w:tcPr>
          <w:p w14:paraId="0B6DB30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0A7A514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118C4DE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4E94A91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38270CC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4D22F89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51A7130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119164B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11D14EF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25CE4F9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76CF233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0388233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Non-Response rate</w:t>
            </w:r>
          </w:p>
          <w:p w14:paraId="18BBF47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D9D1F0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-</w:t>
            </w:r>
          </w:p>
        </w:tc>
      </w:tr>
      <w:tr w:rsidR="00F737DB" w:rsidRPr="00375870" w14:paraId="5AC2F63B" w14:textId="77777777" w:rsidTr="003B3544">
        <w:tc>
          <w:tcPr>
            <w:tcW w:w="2070" w:type="dxa"/>
          </w:tcPr>
          <w:p w14:paraId="52279B9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Demonstration that outcome of </w:t>
            </w:r>
            <w:r w:rsidRPr="00375870">
              <w:rPr>
                <w:rFonts w:ascii="Times New Roman" w:hAnsi="Times New Roman" w:cs="Times New Roman"/>
                <w:b/>
                <w:bCs/>
              </w:rPr>
              <w:lastRenderedPageBreak/>
              <w:t>interest was not present at start of study</w:t>
            </w:r>
          </w:p>
        </w:tc>
        <w:tc>
          <w:tcPr>
            <w:tcW w:w="990" w:type="dxa"/>
          </w:tcPr>
          <w:p w14:paraId="5487D94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0" w:type="dxa"/>
          </w:tcPr>
          <w:p w14:paraId="7AA6425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574BF87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1888E16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563BE7E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533CB80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5B6CAAF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72E808C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4AA5402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409A5EF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7D3B462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65FE7CF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Ascertainment of the screening/ </w:t>
            </w:r>
            <w:r w:rsidRPr="00375870">
              <w:rPr>
                <w:rFonts w:ascii="Times New Roman" w:hAnsi="Times New Roman" w:cs="Times New Roman"/>
                <w:b/>
                <w:bCs/>
              </w:rPr>
              <w:lastRenderedPageBreak/>
              <w:t>surveillance tool or exposure (max 2 scores)</w:t>
            </w:r>
          </w:p>
        </w:tc>
        <w:tc>
          <w:tcPr>
            <w:tcW w:w="900" w:type="dxa"/>
          </w:tcPr>
          <w:p w14:paraId="6F0CD7E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F737DB" w:rsidRPr="00375870" w14:paraId="70DF0A33" w14:textId="77777777" w:rsidTr="003B3544">
        <w:tc>
          <w:tcPr>
            <w:tcW w:w="2070" w:type="dxa"/>
          </w:tcPr>
          <w:p w14:paraId="046D1C5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Comparability of cohorts on the basis of the design or analysis controlled for confounders (max 2 stars)</w:t>
            </w:r>
          </w:p>
        </w:tc>
        <w:tc>
          <w:tcPr>
            <w:tcW w:w="990" w:type="dxa"/>
          </w:tcPr>
          <w:p w14:paraId="68E3EB9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0AD231D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14:paraId="3CCDBB4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14:paraId="3B95530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14:paraId="6A9FFA8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14:paraId="165B00F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6" w:type="dxa"/>
          </w:tcPr>
          <w:p w14:paraId="3C4090C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13FEA04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14:paraId="2A57549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73547F9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0BB09FA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</w:tcPr>
          <w:p w14:paraId="11EA6A1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Comparability</w:t>
            </w:r>
          </w:p>
        </w:tc>
        <w:tc>
          <w:tcPr>
            <w:tcW w:w="900" w:type="dxa"/>
          </w:tcPr>
          <w:p w14:paraId="68F3ED2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-</w:t>
            </w:r>
          </w:p>
        </w:tc>
      </w:tr>
      <w:tr w:rsidR="00F737DB" w:rsidRPr="00375870" w14:paraId="482EDA02" w14:textId="77777777" w:rsidTr="003B3544">
        <w:tc>
          <w:tcPr>
            <w:tcW w:w="2070" w:type="dxa"/>
          </w:tcPr>
          <w:p w14:paraId="3797367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Assessment of outcome</w:t>
            </w:r>
          </w:p>
        </w:tc>
        <w:tc>
          <w:tcPr>
            <w:tcW w:w="990" w:type="dxa"/>
          </w:tcPr>
          <w:p w14:paraId="3F1181A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1DA8626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5FD4B94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7ED3BB4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1BC50D6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71A0FF1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4865FB4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0B66A7C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7C3FE30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39F5339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0EC8528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361249B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Assessment of Outcome</w:t>
            </w:r>
          </w:p>
        </w:tc>
        <w:tc>
          <w:tcPr>
            <w:tcW w:w="900" w:type="dxa"/>
          </w:tcPr>
          <w:p w14:paraId="76A2374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</w:tr>
      <w:tr w:rsidR="00F737DB" w:rsidRPr="00375870" w14:paraId="37B4D6A7" w14:textId="77777777" w:rsidTr="003B3544">
        <w:tc>
          <w:tcPr>
            <w:tcW w:w="2070" w:type="dxa"/>
          </w:tcPr>
          <w:p w14:paraId="486E624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Was follow-up long enough for outcomes to occur</w:t>
            </w:r>
          </w:p>
        </w:tc>
        <w:tc>
          <w:tcPr>
            <w:tcW w:w="990" w:type="dxa"/>
          </w:tcPr>
          <w:p w14:paraId="4DBE338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14CBE98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6DC9F8C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785A520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3C0A692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9" w:type="dxa"/>
          </w:tcPr>
          <w:p w14:paraId="7670F26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66114A1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40533B6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541BA8D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44298E6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0948219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14:paraId="2F3E5FF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  <w:p w14:paraId="06F4A86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2EE36A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</w:tr>
      <w:tr w:rsidR="00F737DB" w:rsidRPr="00375870" w14:paraId="4E694089" w14:textId="77777777" w:rsidTr="003B3544">
        <w:tc>
          <w:tcPr>
            <w:tcW w:w="2070" w:type="dxa"/>
          </w:tcPr>
          <w:p w14:paraId="2F9BA0E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Adequacy of follow up of </w:t>
            </w:r>
            <w:r w:rsidRPr="00375870">
              <w:rPr>
                <w:rFonts w:ascii="Times New Roman" w:hAnsi="Times New Roman" w:cs="Times New Roman"/>
                <w:b/>
                <w:bCs/>
              </w:rPr>
              <w:lastRenderedPageBreak/>
              <w:t>cohorts (complete/ loss to follow-up)</w:t>
            </w:r>
          </w:p>
        </w:tc>
        <w:tc>
          <w:tcPr>
            <w:tcW w:w="990" w:type="dxa"/>
          </w:tcPr>
          <w:p w14:paraId="0078AEC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20" w:type="dxa"/>
          </w:tcPr>
          <w:p w14:paraId="30D5377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14:paraId="7EBCEAA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3081FC2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05B2C47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3628362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3FB2CBC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14:paraId="4940D8C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14:paraId="57C82BD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3545EA9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14:paraId="56463BE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0" w:type="dxa"/>
          </w:tcPr>
          <w:p w14:paraId="5F75404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030779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7DB" w:rsidRPr="00375870" w14:paraId="00AD60D9" w14:textId="77777777" w:rsidTr="003B3544">
        <w:tc>
          <w:tcPr>
            <w:tcW w:w="2070" w:type="dxa"/>
          </w:tcPr>
          <w:p w14:paraId="36DDAFB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90" w:type="dxa"/>
          </w:tcPr>
          <w:p w14:paraId="71AA170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14:paraId="25425FC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" w:type="dxa"/>
          </w:tcPr>
          <w:p w14:paraId="7E6229D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16EC0C4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14:paraId="78A0AEB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9" w:type="dxa"/>
          </w:tcPr>
          <w:p w14:paraId="475BFDB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6" w:type="dxa"/>
          </w:tcPr>
          <w:p w14:paraId="2F21681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14:paraId="2FA40C6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</w:tcPr>
          <w:p w14:paraId="437DC76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14:paraId="4B56B1E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14:paraId="57F3A05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0" w:type="dxa"/>
          </w:tcPr>
          <w:p w14:paraId="385B170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00" w:type="dxa"/>
          </w:tcPr>
          <w:p w14:paraId="198E3C5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4</w:t>
            </w:r>
          </w:p>
        </w:tc>
      </w:tr>
    </w:tbl>
    <w:p w14:paraId="166921C0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br w:type="page"/>
      </w:r>
    </w:p>
    <w:p w14:paraId="5A409013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4.</w:t>
      </w:r>
      <w:r w:rsidRPr="00375870">
        <w:rPr>
          <w:rFonts w:ascii="Times New Roman" w:hAnsi="Times New Roman" w:cs="Times New Roman"/>
        </w:rPr>
        <w:t xml:space="preserve"> Population characteristics of included studies</w:t>
      </w:r>
    </w:p>
    <w:tbl>
      <w:tblPr>
        <w:tblStyle w:val="TableGrid"/>
        <w:tblW w:w="1557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980"/>
        <w:gridCol w:w="1170"/>
        <w:gridCol w:w="1620"/>
        <w:gridCol w:w="1260"/>
        <w:gridCol w:w="4410"/>
        <w:gridCol w:w="3240"/>
        <w:gridCol w:w="1890"/>
      </w:tblGrid>
      <w:tr w:rsidR="00F737DB" w:rsidRPr="00375870" w14:paraId="7768B8D0" w14:textId="77777777" w:rsidTr="003B11B2">
        <w:trPr>
          <w:trHeight w:val="701"/>
          <w:tblHeader/>
        </w:trPr>
        <w:tc>
          <w:tcPr>
            <w:tcW w:w="1980" w:type="dxa"/>
            <w:hideMark/>
          </w:tcPr>
          <w:p w14:paraId="79E41F9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Author last name/ </w:t>
            </w:r>
            <w:r w:rsidRPr="00375870">
              <w:rPr>
                <w:rFonts w:ascii="Times New Roman" w:hAnsi="Times New Roman" w:cs="Times New Roman"/>
                <w:b/>
                <w:bCs/>
              </w:rPr>
              <w:br/>
              <w:t xml:space="preserve">Journal/ </w:t>
            </w:r>
            <w:r w:rsidRPr="00375870">
              <w:rPr>
                <w:rFonts w:ascii="Times New Roman" w:hAnsi="Times New Roman" w:cs="Times New Roman"/>
                <w:b/>
                <w:bCs/>
              </w:rPr>
              <w:br/>
              <w:t>Publication year</w:t>
            </w:r>
          </w:p>
        </w:tc>
        <w:tc>
          <w:tcPr>
            <w:tcW w:w="1170" w:type="dxa"/>
            <w:noWrap/>
            <w:hideMark/>
          </w:tcPr>
          <w:p w14:paraId="3F9E22E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Country </w:t>
            </w:r>
          </w:p>
        </w:tc>
        <w:tc>
          <w:tcPr>
            <w:tcW w:w="1620" w:type="dxa"/>
            <w:hideMark/>
          </w:tcPr>
          <w:p w14:paraId="30ACDED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Study design/ </w:t>
            </w:r>
            <w:r w:rsidRPr="00375870">
              <w:rPr>
                <w:rFonts w:ascii="Times New Roman" w:hAnsi="Times New Roman" w:cs="Times New Roman"/>
                <w:b/>
                <w:bCs/>
              </w:rPr>
              <w:br/>
              <w:t>Recruitment period</w:t>
            </w:r>
          </w:p>
        </w:tc>
        <w:tc>
          <w:tcPr>
            <w:tcW w:w="1260" w:type="dxa"/>
            <w:noWrap/>
            <w:hideMark/>
          </w:tcPr>
          <w:p w14:paraId="72EDB46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Sample size, N </w:t>
            </w:r>
          </w:p>
        </w:tc>
        <w:tc>
          <w:tcPr>
            <w:tcW w:w="4410" w:type="dxa"/>
            <w:hideMark/>
          </w:tcPr>
          <w:p w14:paraId="242F76A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Population characteristics</w:t>
            </w:r>
          </w:p>
        </w:tc>
        <w:tc>
          <w:tcPr>
            <w:tcW w:w="3240" w:type="dxa"/>
            <w:hideMark/>
          </w:tcPr>
          <w:p w14:paraId="4BE8331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Type of treatment/ intervention</w:t>
            </w:r>
          </w:p>
        </w:tc>
        <w:tc>
          <w:tcPr>
            <w:tcW w:w="1890" w:type="dxa"/>
            <w:hideMark/>
          </w:tcPr>
          <w:p w14:paraId="25FD09A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Exposure examined</w:t>
            </w:r>
          </w:p>
        </w:tc>
      </w:tr>
      <w:tr w:rsidR="00F737DB" w:rsidRPr="00375870" w14:paraId="07EEC2E5" w14:textId="77777777" w:rsidTr="003B11B2">
        <w:trPr>
          <w:trHeight w:val="1286"/>
        </w:trPr>
        <w:tc>
          <w:tcPr>
            <w:tcW w:w="1980" w:type="dxa"/>
            <w:hideMark/>
          </w:tcPr>
          <w:p w14:paraId="0786FFA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Arya/ </w:t>
            </w:r>
            <w:r w:rsidRPr="00375870">
              <w:rPr>
                <w:rFonts w:ascii="Times New Roman" w:hAnsi="Times New Roman" w:cs="Times New Roman"/>
              </w:rPr>
              <w:br/>
              <w:t xml:space="preserve">Asian Journal of Psychiatry/ </w:t>
            </w:r>
            <w:r w:rsidRPr="00375870">
              <w:rPr>
                <w:rFonts w:ascii="Times New Roman" w:hAnsi="Times New Roman" w:cs="Times New Roman"/>
              </w:rPr>
              <w:br/>
              <w:t>2015</w:t>
            </w:r>
          </w:p>
        </w:tc>
        <w:tc>
          <w:tcPr>
            <w:tcW w:w="1170" w:type="dxa"/>
            <w:noWrap/>
            <w:hideMark/>
          </w:tcPr>
          <w:p w14:paraId="610A2EF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620" w:type="dxa"/>
            <w:hideMark/>
          </w:tcPr>
          <w:p w14:paraId="5EB975C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Cross-sectional study/</w:t>
            </w:r>
            <w:r w:rsidRPr="00375870">
              <w:rPr>
                <w:rFonts w:ascii="Times New Roman" w:hAnsi="Times New Roman" w:cs="Times New Roman"/>
              </w:rPr>
              <w:br/>
              <w:t>August 2011 - July 2012</w:t>
            </w:r>
          </w:p>
        </w:tc>
        <w:tc>
          <w:tcPr>
            <w:tcW w:w="1260" w:type="dxa"/>
            <w:hideMark/>
          </w:tcPr>
          <w:p w14:paraId="0BE8334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410" w:type="dxa"/>
            <w:hideMark/>
          </w:tcPr>
          <w:p w14:paraId="6603F86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70.2% male, 29.8% female</w:t>
            </w:r>
          </w:p>
          <w:p w14:paraId="415E019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Age at diagnosis: 85.9% aged 6-12 years, 14.0% aged 13-16 years</w:t>
            </w:r>
          </w:p>
          <w:p w14:paraId="4E705DE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Domicile: 80.7% urban, 19.3% rural</w:t>
            </w:r>
          </w:p>
          <w:p w14:paraId="47CED1B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Income: 49.1% low income (&lt;₹10,000/month)</w:t>
            </w:r>
          </w:p>
        </w:tc>
        <w:tc>
          <w:tcPr>
            <w:tcW w:w="3240" w:type="dxa"/>
            <w:hideMark/>
          </w:tcPr>
          <w:p w14:paraId="645023C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Non-pharmacological: child and adolescent mental health service (CAMHS)</w:t>
            </w:r>
          </w:p>
        </w:tc>
        <w:tc>
          <w:tcPr>
            <w:tcW w:w="1890" w:type="dxa"/>
            <w:hideMark/>
          </w:tcPr>
          <w:p w14:paraId="717A9D3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Sex, urbanicity, socioeconomic status (SES; by monthly income brackets)</w:t>
            </w:r>
          </w:p>
        </w:tc>
      </w:tr>
      <w:tr w:rsidR="00F737DB" w:rsidRPr="00375870" w14:paraId="3387B387" w14:textId="77777777" w:rsidTr="003B11B2">
        <w:trPr>
          <w:trHeight w:val="890"/>
        </w:trPr>
        <w:tc>
          <w:tcPr>
            <w:tcW w:w="1980" w:type="dxa"/>
            <w:hideMark/>
          </w:tcPr>
          <w:p w14:paraId="6DB7723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Bannett/ </w:t>
            </w:r>
            <w:r w:rsidRPr="00375870">
              <w:rPr>
                <w:rFonts w:ascii="Times New Roman" w:hAnsi="Times New Roman" w:cs="Times New Roman"/>
              </w:rPr>
              <w:br/>
              <w:t>JAMA Network Open/</w:t>
            </w:r>
            <w:r w:rsidRPr="00375870">
              <w:rPr>
                <w:rFonts w:ascii="Times New Roman" w:hAnsi="Times New Roman" w:cs="Times New Roman"/>
              </w:rPr>
              <w:br/>
              <w:t>2025</w:t>
            </w:r>
          </w:p>
        </w:tc>
        <w:tc>
          <w:tcPr>
            <w:tcW w:w="1170" w:type="dxa"/>
            <w:noWrap/>
            <w:hideMark/>
          </w:tcPr>
          <w:p w14:paraId="31A60D4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620" w:type="dxa"/>
            <w:hideMark/>
          </w:tcPr>
          <w:p w14:paraId="4A57964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Retrospective cohort study, </w:t>
            </w:r>
            <w:proofErr w:type="spellStart"/>
            <w:r w:rsidRPr="00375870">
              <w:rPr>
                <w:rFonts w:ascii="Times New Roman" w:hAnsi="Times New Roman" w:cs="Times New Roman"/>
              </w:rPr>
              <w:t>PEDSnet</w:t>
            </w:r>
            <w:proofErr w:type="spellEnd"/>
            <w:r w:rsidRPr="00375870">
              <w:rPr>
                <w:rFonts w:ascii="Times New Roman" w:hAnsi="Times New Roman" w:cs="Times New Roman"/>
              </w:rPr>
              <w:t xml:space="preserve"> database/ January 1, 2016 -</w:t>
            </w:r>
            <w:r w:rsidRPr="00375870">
              <w:rPr>
                <w:rFonts w:ascii="Times New Roman" w:hAnsi="Times New Roman" w:cs="Times New Roman"/>
              </w:rPr>
              <w:lastRenderedPageBreak/>
              <w:t>December 31, 2023</w:t>
            </w:r>
          </w:p>
        </w:tc>
        <w:tc>
          <w:tcPr>
            <w:tcW w:w="1260" w:type="dxa"/>
            <w:hideMark/>
          </w:tcPr>
          <w:p w14:paraId="1D2D4B4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9,708</w:t>
            </w:r>
          </w:p>
        </w:tc>
        <w:tc>
          <w:tcPr>
            <w:tcW w:w="4410" w:type="dxa"/>
            <w:hideMark/>
          </w:tcPr>
          <w:p w14:paraId="6DADDE0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Sex: 76.4% male, 23.6% female </w:t>
            </w:r>
          </w:p>
          <w:p w14:paraId="422C6AD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Median age at diagnosis: 5.31 years (IQR 4.86-5.66)</w:t>
            </w:r>
            <w:r w:rsidRPr="00375870">
              <w:rPr>
                <w:rFonts w:ascii="Times New Roman" w:hAnsi="Times New Roman" w:cs="Times New Roman"/>
              </w:rPr>
              <w:br/>
              <w:t xml:space="preserve">Race and ethnicity: 39.0% non-Hispanic White, 31.0% non-Hispanic Black, 18.1% Hispanic, 4.9% non-Hispanic multiple </w:t>
            </w:r>
            <w:r w:rsidRPr="00375870">
              <w:rPr>
                <w:rFonts w:ascii="Times New Roman" w:hAnsi="Times New Roman" w:cs="Times New Roman"/>
              </w:rPr>
              <w:lastRenderedPageBreak/>
              <w:t>Races, 1.3% non-Hispanic Asian, 1.5% non-Hispanic Other, 4.1% Unknown.</w:t>
            </w:r>
            <w:r w:rsidRPr="00375870">
              <w:rPr>
                <w:rFonts w:ascii="Times New Roman" w:hAnsi="Times New Roman" w:cs="Times New Roman"/>
              </w:rPr>
              <w:br/>
              <w:t>Insurance: 52.9% Public, 36.3% Private, 10.8% Other/Unknown</w:t>
            </w:r>
          </w:p>
        </w:tc>
        <w:tc>
          <w:tcPr>
            <w:tcW w:w="3240" w:type="dxa"/>
            <w:hideMark/>
          </w:tcPr>
          <w:p w14:paraId="3D0BBD4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Medication: Stimulants (methylphenidate, amphetamines) and non-stimulants (alpha-agonists, atomoxetine)</w:t>
            </w:r>
          </w:p>
        </w:tc>
        <w:tc>
          <w:tcPr>
            <w:tcW w:w="1890" w:type="dxa"/>
            <w:hideMark/>
          </w:tcPr>
          <w:p w14:paraId="066A353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Sex, race and ethnicity, health insurance plan</w:t>
            </w:r>
          </w:p>
        </w:tc>
      </w:tr>
      <w:tr w:rsidR="00F737DB" w:rsidRPr="00375870" w14:paraId="4525C058" w14:textId="77777777" w:rsidTr="003B11B2">
        <w:trPr>
          <w:trHeight w:val="980"/>
        </w:trPr>
        <w:tc>
          <w:tcPr>
            <w:tcW w:w="1980" w:type="dxa"/>
            <w:hideMark/>
          </w:tcPr>
          <w:p w14:paraId="77FF1F4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Chen/</w:t>
            </w:r>
            <w:r w:rsidRPr="00375870">
              <w:rPr>
                <w:rFonts w:ascii="Times New Roman" w:hAnsi="Times New Roman" w:cs="Times New Roman"/>
              </w:rPr>
              <w:br/>
              <w:t>Journal of Child and Adolescent Psychopharmacology/</w:t>
            </w:r>
            <w:r w:rsidRPr="00375870">
              <w:rPr>
                <w:rFonts w:ascii="Times New Roman" w:hAnsi="Times New Roman" w:cs="Times New Roman"/>
              </w:rPr>
              <w:br/>
              <w:t xml:space="preserve"> 2011</w:t>
            </w:r>
          </w:p>
        </w:tc>
        <w:tc>
          <w:tcPr>
            <w:tcW w:w="1170" w:type="dxa"/>
            <w:noWrap/>
            <w:hideMark/>
          </w:tcPr>
          <w:p w14:paraId="115ED8F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1620" w:type="dxa"/>
            <w:hideMark/>
          </w:tcPr>
          <w:p w14:paraId="7EB5E87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Retrospective cohort study (National Health Insurance Research Database (NHIRD))/ 1997 - 2002</w:t>
            </w:r>
          </w:p>
        </w:tc>
        <w:tc>
          <w:tcPr>
            <w:tcW w:w="1260" w:type="dxa"/>
            <w:noWrap/>
            <w:hideMark/>
          </w:tcPr>
          <w:p w14:paraId="23A4500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10,153</w:t>
            </w:r>
          </w:p>
        </w:tc>
        <w:tc>
          <w:tcPr>
            <w:tcW w:w="4410" w:type="dxa"/>
            <w:hideMark/>
          </w:tcPr>
          <w:p w14:paraId="719E45B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77.4% male, 22.6% female</w:t>
            </w:r>
            <w:r w:rsidRPr="00375870">
              <w:rPr>
                <w:rFonts w:ascii="Times New Roman" w:hAnsi="Times New Roman" w:cs="Times New Roman"/>
              </w:rPr>
              <w:br/>
              <w:t>Age at diagnosis: 27.48% &lt;6 years, 42.06% 6-8 years, 18.51% 9-11 years, 11.95% 12-17 years (for ADHD-only group)</w:t>
            </w:r>
          </w:p>
          <w:p w14:paraId="5FE4D03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SES (by Enrollment Category - EC): EC I (government or public education institutions): 13.8%, EC II (private enterprises): 46.8%, EC III (agriculture and </w:t>
            </w:r>
            <w:r w:rsidRPr="00375870">
              <w:rPr>
                <w:rFonts w:ascii="Times New Roman" w:hAnsi="Times New Roman" w:cs="Times New Roman"/>
              </w:rPr>
              <w:lastRenderedPageBreak/>
              <w:t>private education): 30.2%, EC IV (military and minimum wage): 9.2%</w:t>
            </w:r>
            <w:r w:rsidRPr="00375870">
              <w:rPr>
                <w:rFonts w:ascii="Times New Roman" w:hAnsi="Times New Roman" w:cs="Times New Roman"/>
              </w:rPr>
              <w:br/>
              <w:t>Urbanicity: 37% urban, 58.1% suburban, 4.9% rural</w:t>
            </w:r>
          </w:p>
        </w:tc>
        <w:tc>
          <w:tcPr>
            <w:tcW w:w="3240" w:type="dxa"/>
            <w:hideMark/>
          </w:tcPr>
          <w:p w14:paraId="6814FFA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Medication:</w:t>
            </w:r>
          </w:p>
          <w:p w14:paraId="089FDD6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Methylphenidate</w:t>
            </w:r>
          </w:p>
        </w:tc>
        <w:tc>
          <w:tcPr>
            <w:tcW w:w="1890" w:type="dxa"/>
            <w:hideMark/>
          </w:tcPr>
          <w:p w14:paraId="77FD229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Sex, SES, region, urbanicity</w:t>
            </w:r>
          </w:p>
        </w:tc>
      </w:tr>
      <w:tr w:rsidR="00F737DB" w:rsidRPr="00375870" w14:paraId="251932F6" w14:textId="77777777" w:rsidTr="003B11B2">
        <w:trPr>
          <w:trHeight w:val="1560"/>
        </w:trPr>
        <w:tc>
          <w:tcPr>
            <w:tcW w:w="1980" w:type="dxa"/>
            <w:hideMark/>
          </w:tcPr>
          <w:p w14:paraId="5450CB9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Garbe/ </w:t>
            </w:r>
            <w:r w:rsidRPr="00375870">
              <w:rPr>
                <w:rFonts w:ascii="Times New Roman" w:hAnsi="Times New Roman" w:cs="Times New Roman"/>
              </w:rPr>
              <w:br/>
              <w:t xml:space="preserve">Journal of Child and Adolescent Psychopharmacology/ </w:t>
            </w:r>
            <w:r w:rsidRPr="00375870">
              <w:rPr>
                <w:rFonts w:ascii="Times New Roman" w:hAnsi="Times New Roman" w:cs="Times New Roman"/>
              </w:rPr>
              <w:br/>
              <w:t>2012</w:t>
            </w:r>
          </w:p>
        </w:tc>
        <w:tc>
          <w:tcPr>
            <w:tcW w:w="1170" w:type="dxa"/>
            <w:noWrap/>
            <w:hideMark/>
          </w:tcPr>
          <w:p w14:paraId="3A9FD8C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620" w:type="dxa"/>
            <w:hideMark/>
          </w:tcPr>
          <w:p w14:paraId="214BC0C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Retrospective cohort study (one large German health insurance), 2005 –2008 </w:t>
            </w:r>
          </w:p>
        </w:tc>
        <w:tc>
          <w:tcPr>
            <w:tcW w:w="1260" w:type="dxa"/>
            <w:noWrap/>
            <w:hideMark/>
          </w:tcPr>
          <w:p w14:paraId="722F698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6,210</w:t>
            </w:r>
          </w:p>
        </w:tc>
        <w:tc>
          <w:tcPr>
            <w:tcW w:w="4410" w:type="dxa"/>
            <w:hideMark/>
          </w:tcPr>
          <w:p w14:paraId="1FEF8A8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Sex: 76.8% Male, 23.2% Female. </w:t>
            </w:r>
            <w:r w:rsidRPr="00375870">
              <w:rPr>
                <w:rFonts w:ascii="Times New Roman" w:hAnsi="Times New Roman" w:cs="Times New Roman"/>
              </w:rPr>
              <w:br/>
              <w:t>Age at diagnosis: 3-5 years (8.7%), 6-8 years (36.0%), 9-11 years (32.5%), 12-14 years (17.2%), 15-17 years (5.6%)</w:t>
            </w:r>
          </w:p>
        </w:tc>
        <w:tc>
          <w:tcPr>
            <w:tcW w:w="3240" w:type="dxa"/>
            <w:hideMark/>
          </w:tcPr>
          <w:p w14:paraId="43A3137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Medication:</w:t>
            </w:r>
          </w:p>
          <w:p w14:paraId="622ED10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Methylphenidate or atomoxetine</w:t>
            </w:r>
          </w:p>
        </w:tc>
        <w:tc>
          <w:tcPr>
            <w:tcW w:w="1890" w:type="dxa"/>
            <w:hideMark/>
          </w:tcPr>
          <w:p w14:paraId="39163C6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</w:t>
            </w:r>
          </w:p>
        </w:tc>
      </w:tr>
      <w:tr w:rsidR="00F737DB" w:rsidRPr="00375870" w14:paraId="51F02D26" w14:textId="77777777" w:rsidTr="003B11B2">
        <w:trPr>
          <w:trHeight w:val="980"/>
        </w:trPr>
        <w:tc>
          <w:tcPr>
            <w:tcW w:w="1980" w:type="dxa"/>
            <w:hideMark/>
          </w:tcPr>
          <w:p w14:paraId="52C4C98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Gubi / </w:t>
            </w:r>
            <w:r w:rsidRPr="00375870">
              <w:rPr>
                <w:rFonts w:ascii="Times New Roman" w:hAnsi="Times New Roman" w:cs="Times New Roman"/>
              </w:rPr>
              <w:br/>
              <w:t xml:space="preserve">Epidemiology </w:t>
            </w:r>
            <w:r w:rsidRPr="00375870">
              <w:rPr>
                <w:rFonts w:ascii="Times New Roman" w:hAnsi="Times New Roman" w:cs="Times New Roman"/>
              </w:rPr>
              <w:lastRenderedPageBreak/>
              <w:t>and Psychiatric Sciences/</w:t>
            </w:r>
            <w:r w:rsidRPr="00375870">
              <w:rPr>
                <w:rFonts w:ascii="Times New Roman" w:hAnsi="Times New Roman" w:cs="Times New Roman"/>
              </w:rPr>
              <w:br/>
              <w:t>2022</w:t>
            </w:r>
          </w:p>
        </w:tc>
        <w:tc>
          <w:tcPr>
            <w:tcW w:w="1170" w:type="dxa"/>
            <w:noWrap/>
            <w:hideMark/>
          </w:tcPr>
          <w:p w14:paraId="627428C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Sweden</w:t>
            </w:r>
          </w:p>
        </w:tc>
        <w:tc>
          <w:tcPr>
            <w:tcW w:w="1620" w:type="dxa"/>
            <w:hideMark/>
          </w:tcPr>
          <w:p w14:paraId="1D4DCB0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Retrospective cohort study </w:t>
            </w:r>
            <w:r w:rsidRPr="00375870">
              <w:rPr>
                <w:rFonts w:ascii="Times New Roman" w:hAnsi="Times New Roman" w:cs="Times New Roman"/>
              </w:rPr>
              <w:lastRenderedPageBreak/>
              <w:t xml:space="preserve">(Swedish data registry), 2006 –2015 </w:t>
            </w:r>
          </w:p>
        </w:tc>
        <w:tc>
          <w:tcPr>
            <w:tcW w:w="1260" w:type="dxa"/>
            <w:noWrap/>
            <w:hideMark/>
          </w:tcPr>
          <w:p w14:paraId="4C73099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444,196 for all </w:t>
            </w:r>
            <w:r w:rsidRPr="00375870">
              <w:rPr>
                <w:rFonts w:ascii="Times New Roman" w:hAnsi="Times New Roman" w:cs="Times New Roman"/>
              </w:rPr>
              <w:lastRenderedPageBreak/>
              <w:t>psychiatric diagnosis. No sample specified for ADHD</w:t>
            </w:r>
          </w:p>
        </w:tc>
        <w:tc>
          <w:tcPr>
            <w:tcW w:w="4410" w:type="dxa"/>
            <w:hideMark/>
          </w:tcPr>
          <w:p w14:paraId="7442A55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Sex: ~50% male, ~50% female </w:t>
            </w:r>
          </w:p>
          <w:p w14:paraId="3BCEC8A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Age at diagnosis: Varied significantly between groups; &gt;50% in the 6–8-year age range</w:t>
            </w:r>
          </w:p>
          <w:p w14:paraId="06F3E59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Migration background: Swedish (60.3%), Descendants (31.4%), non-refugee migrants (7.1%), Refugees (1.3%) </w:t>
            </w:r>
            <w:r w:rsidRPr="00375870">
              <w:rPr>
                <w:rFonts w:ascii="Times New Roman" w:hAnsi="Times New Roman" w:cs="Times New Roman"/>
              </w:rPr>
              <w:br/>
              <w:t>Parental income: refugees and migrants were &gt;50% in the lowest quintile.</w:t>
            </w:r>
          </w:p>
        </w:tc>
        <w:tc>
          <w:tcPr>
            <w:tcW w:w="3240" w:type="dxa"/>
            <w:hideMark/>
          </w:tcPr>
          <w:p w14:paraId="55BC8E0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Pharmacological and non-pharmacological.</w:t>
            </w:r>
          </w:p>
          <w:p w14:paraId="3DA276A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CAE5D5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Medication: Antidepressants, ADHD medication, neuroleptics, anxiolytics, sedatives.</w:t>
            </w:r>
          </w:p>
          <w:p w14:paraId="683F1AA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Non-pharmacological: Psychotherapy, parental support, psychoeducation, family therapy, social skills training</w:t>
            </w:r>
          </w:p>
        </w:tc>
        <w:tc>
          <w:tcPr>
            <w:tcW w:w="1890" w:type="dxa"/>
            <w:hideMark/>
          </w:tcPr>
          <w:p w14:paraId="57ED9EC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Parental migration </w:t>
            </w:r>
            <w:r w:rsidRPr="00375870">
              <w:rPr>
                <w:rFonts w:ascii="Times New Roman" w:hAnsi="Times New Roman" w:cs="Times New Roman"/>
              </w:rPr>
              <w:lastRenderedPageBreak/>
              <w:t>background and time in Sweden, maternal region of origin.</w:t>
            </w:r>
          </w:p>
        </w:tc>
      </w:tr>
      <w:tr w:rsidR="00F737DB" w:rsidRPr="00375870" w14:paraId="384DBEB8" w14:textId="77777777" w:rsidTr="003B11B2">
        <w:trPr>
          <w:trHeight w:val="800"/>
        </w:trPr>
        <w:tc>
          <w:tcPr>
            <w:tcW w:w="1980" w:type="dxa"/>
            <w:hideMark/>
          </w:tcPr>
          <w:p w14:paraId="0600FF3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Hong/</w:t>
            </w:r>
            <w:r w:rsidRPr="00375870">
              <w:rPr>
                <w:rFonts w:ascii="Times New Roman" w:hAnsi="Times New Roman" w:cs="Times New Roman"/>
              </w:rPr>
              <w:br/>
              <w:t>BMC Psychiatry/</w:t>
            </w:r>
            <w:r w:rsidRPr="00375870">
              <w:rPr>
                <w:rFonts w:ascii="Times New Roman" w:hAnsi="Times New Roman" w:cs="Times New Roman"/>
              </w:rPr>
              <w:br/>
              <w:t>2014</w:t>
            </w:r>
          </w:p>
        </w:tc>
        <w:tc>
          <w:tcPr>
            <w:tcW w:w="1170" w:type="dxa"/>
            <w:hideMark/>
          </w:tcPr>
          <w:p w14:paraId="6F4CD1B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Central Europe (Czech </w:t>
            </w:r>
            <w:r w:rsidRPr="00375870">
              <w:rPr>
                <w:rFonts w:ascii="Times New Roman" w:hAnsi="Times New Roman" w:cs="Times New Roman"/>
              </w:rPr>
              <w:lastRenderedPageBreak/>
              <w:t>Republic, Hungary, Romania, Slovakia, Turkey) &amp; East Asia (China, South Korea, Taiwan)</w:t>
            </w:r>
          </w:p>
        </w:tc>
        <w:tc>
          <w:tcPr>
            <w:tcW w:w="1620" w:type="dxa"/>
            <w:hideMark/>
          </w:tcPr>
          <w:p w14:paraId="7115BA9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Prospective observational cohort, </w:t>
            </w:r>
            <w:r w:rsidRPr="00375870">
              <w:rPr>
                <w:rFonts w:ascii="Times New Roman" w:hAnsi="Times New Roman" w:cs="Times New Roman"/>
              </w:rPr>
              <w:lastRenderedPageBreak/>
              <w:t>October 2005 to July 2006</w:t>
            </w:r>
          </w:p>
        </w:tc>
        <w:tc>
          <w:tcPr>
            <w:tcW w:w="1260" w:type="dxa"/>
            <w:noWrap/>
            <w:hideMark/>
          </w:tcPr>
          <w:p w14:paraId="69A4D2C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1,068</w:t>
            </w:r>
          </w:p>
        </w:tc>
        <w:tc>
          <w:tcPr>
            <w:tcW w:w="4410" w:type="dxa"/>
            <w:hideMark/>
          </w:tcPr>
          <w:p w14:paraId="7338047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Sex: 82.2% male, 17.8% female </w:t>
            </w:r>
            <w:r w:rsidRPr="00375870">
              <w:rPr>
                <w:rFonts w:ascii="Times New Roman" w:hAnsi="Times New Roman" w:cs="Times New Roman"/>
              </w:rPr>
              <w:br/>
              <w:t>Region: 53% Central Europe, 47% in East Asia</w:t>
            </w:r>
          </w:p>
          <w:p w14:paraId="4710756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Mean Age at diagnosis: 8.40 years (SD 2.41) (No Treatment), 9.12 years (SD 2.52) (Treatment)</w:t>
            </w:r>
          </w:p>
        </w:tc>
        <w:tc>
          <w:tcPr>
            <w:tcW w:w="3240" w:type="dxa"/>
            <w:hideMark/>
          </w:tcPr>
          <w:p w14:paraId="5D754D1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Pharmacological and non-pharmacological.</w:t>
            </w:r>
          </w:p>
          <w:p w14:paraId="781AF5D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D5649C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Medication (45.5% methylphenidate), psychotherapy (psychoeducation and counselling, cognitive behavioural therapy, hypnotherapy, family therapy, or psychodynamic therapy), or both</w:t>
            </w:r>
          </w:p>
        </w:tc>
        <w:tc>
          <w:tcPr>
            <w:tcW w:w="1890" w:type="dxa"/>
            <w:hideMark/>
          </w:tcPr>
          <w:p w14:paraId="3259C0F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Sex, region</w:t>
            </w:r>
          </w:p>
        </w:tc>
      </w:tr>
      <w:tr w:rsidR="00F737DB" w:rsidRPr="00375870" w14:paraId="33563B9B" w14:textId="77777777" w:rsidTr="003B11B2">
        <w:trPr>
          <w:trHeight w:val="1628"/>
        </w:trPr>
        <w:tc>
          <w:tcPr>
            <w:tcW w:w="1980" w:type="dxa"/>
            <w:hideMark/>
          </w:tcPr>
          <w:p w14:paraId="199A68A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Huang/ </w:t>
            </w:r>
            <w:r w:rsidRPr="00375870">
              <w:rPr>
                <w:rFonts w:ascii="Times New Roman" w:hAnsi="Times New Roman" w:cs="Times New Roman"/>
              </w:rPr>
              <w:br/>
              <w:t>Journal of Child and Adolescent Psychopharmacology/</w:t>
            </w:r>
            <w:r w:rsidRPr="00375870">
              <w:rPr>
                <w:rFonts w:ascii="Times New Roman" w:hAnsi="Times New Roman" w:cs="Times New Roman"/>
              </w:rPr>
              <w:br/>
              <w:t xml:space="preserve"> 2021</w:t>
            </w:r>
          </w:p>
        </w:tc>
        <w:tc>
          <w:tcPr>
            <w:tcW w:w="1170" w:type="dxa"/>
            <w:noWrap/>
            <w:hideMark/>
          </w:tcPr>
          <w:p w14:paraId="53AD469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1620" w:type="dxa"/>
            <w:hideMark/>
          </w:tcPr>
          <w:p w14:paraId="39795DE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Retrospective longitudinal cohort, (NHIRD), 2001 - 2011</w:t>
            </w:r>
          </w:p>
        </w:tc>
        <w:tc>
          <w:tcPr>
            <w:tcW w:w="1260" w:type="dxa"/>
            <w:noWrap/>
            <w:hideMark/>
          </w:tcPr>
          <w:p w14:paraId="001535D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188,061</w:t>
            </w:r>
          </w:p>
        </w:tc>
        <w:tc>
          <w:tcPr>
            <w:tcW w:w="4410" w:type="dxa"/>
            <w:hideMark/>
          </w:tcPr>
          <w:p w14:paraId="48BF9D2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79.1% Male, 20.9% Female.</w:t>
            </w:r>
            <w:r w:rsidRPr="00375870">
              <w:rPr>
                <w:rFonts w:ascii="Times New Roman" w:hAnsi="Times New Roman" w:cs="Times New Roman"/>
              </w:rPr>
              <w:br/>
              <w:t>Age at first diagnosis (mean): 8.59 years (SD 3.23).</w:t>
            </w:r>
            <w:r w:rsidRPr="00375870">
              <w:rPr>
                <w:rFonts w:ascii="Times New Roman" w:hAnsi="Times New Roman" w:cs="Times New Roman"/>
              </w:rPr>
              <w:br/>
              <w:t xml:space="preserve">Income distribution (NT$): 20.0% low (&lt;19,100),  48.7% middle, 31.2% high (&gt;42,000) </w:t>
            </w:r>
            <w:r w:rsidRPr="00375870">
              <w:rPr>
                <w:rFonts w:ascii="Times New Roman" w:hAnsi="Times New Roman" w:cs="Times New Roman"/>
              </w:rPr>
              <w:br/>
              <w:t>Urbanization: level 1 (most urbanized, 17.8%), level 2 (30.5%), level 3 (8.7%), level 4 (7.5%), level 5 (most rural; 35.6%)</w:t>
            </w:r>
          </w:p>
        </w:tc>
        <w:tc>
          <w:tcPr>
            <w:tcW w:w="3240" w:type="dxa"/>
            <w:hideMark/>
          </w:tcPr>
          <w:p w14:paraId="79FB9F8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Pharmacological: Immediate-release methylphenidate, extended-release methylphenidate, atomoxetine</w:t>
            </w:r>
          </w:p>
        </w:tc>
        <w:tc>
          <w:tcPr>
            <w:tcW w:w="1890" w:type="dxa"/>
            <w:hideMark/>
          </w:tcPr>
          <w:p w14:paraId="4524E44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Sex, family income, level of urbanization</w:t>
            </w:r>
          </w:p>
        </w:tc>
      </w:tr>
      <w:tr w:rsidR="00F737DB" w:rsidRPr="00375870" w14:paraId="1BBF547B" w14:textId="77777777" w:rsidTr="003B11B2">
        <w:trPr>
          <w:trHeight w:val="449"/>
        </w:trPr>
        <w:tc>
          <w:tcPr>
            <w:tcW w:w="1980" w:type="dxa"/>
            <w:hideMark/>
          </w:tcPr>
          <w:p w14:paraId="0E396B8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Kasinathan/ </w:t>
            </w:r>
            <w:r w:rsidRPr="00375870">
              <w:rPr>
                <w:rFonts w:ascii="Times New Roman" w:hAnsi="Times New Roman" w:cs="Times New Roman"/>
              </w:rPr>
              <w:br/>
            </w:r>
            <w:proofErr w:type="spellStart"/>
            <w:r w:rsidRPr="00375870">
              <w:rPr>
                <w:rFonts w:ascii="Times New Roman" w:hAnsi="Times New Roman" w:cs="Times New Roman"/>
              </w:rPr>
              <w:t>medRxiv</w:t>
            </w:r>
            <w:proofErr w:type="spellEnd"/>
            <w:r w:rsidRPr="00375870">
              <w:rPr>
                <w:rFonts w:ascii="Times New Roman" w:hAnsi="Times New Roman" w:cs="Times New Roman"/>
              </w:rPr>
              <w:t xml:space="preserve"> (Preprint)/ </w:t>
            </w:r>
            <w:r w:rsidRPr="00375870">
              <w:rPr>
                <w:rFonts w:ascii="Times New Roman" w:hAnsi="Times New Roman" w:cs="Times New Roman"/>
              </w:rPr>
              <w:br/>
              <w:t>2025</w:t>
            </w:r>
          </w:p>
        </w:tc>
        <w:tc>
          <w:tcPr>
            <w:tcW w:w="1170" w:type="dxa"/>
            <w:hideMark/>
          </w:tcPr>
          <w:p w14:paraId="4BDFA33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USA </w:t>
            </w:r>
          </w:p>
        </w:tc>
        <w:tc>
          <w:tcPr>
            <w:tcW w:w="1620" w:type="dxa"/>
            <w:hideMark/>
          </w:tcPr>
          <w:p w14:paraId="5D85482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Retrospective cohort study (electronic health record </w:t>
            </w:r>
            <w:r w:rsidRPr="00375870">
              <w:rPr>
                <w:rFonts w:ascii="Times New Roman" w:hAnsi="Times New Roman" w:cs="Times New Roman"/>
              </w:rPr>
              <w:lastRenderedPageBreak/>
              <w:t>(EHR) data from</w:t>
            </w:r>
          </w:p>
          <w:p w14:paraId="5D2DCB7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Stanford’s Developmental-Behavioral</w:t>
            </w:r>
          </w:p>
          <w:p w14:paraId="40E3A97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Pediatrics clinics), January 2016 – June 2024</w:t>
            </w:r>
          </w:p>
        </w:tc>
        <w:tc>
          <w:tcPr>
            <w:tcW w:w="1260" w:type="dxa"/>
            <w:noWrap/>
            <w:hideMark/>
          </w:tcPr>
          <w:p w14:paraId="78E9F3A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823</w:t>
            </w:r>
          </w:p>
        </w:tc>
        <w:tc>
          <w:tcPr>
            <w:tcW w:w="4410" w:type="dxa"/>
            <w:hideMark/>
          </w:tcPr>
          <w:p w14:paraId="4235464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75.7% Male, 24.3% Female.</w:t>
            </w:r>
            <w:r w:rsidRPr="00375870">
              <w:rPr>
                <w:rFonts w:ascii="Times New Roman" w:hAnsi="Times New Roman" w:cs="Times New Roman"/>
              </w:rPr>
              <w:br/>
              <w:t>Mean Age at Diagnosis: 8.2 years (SD=1.5).</w:t>
            </w:r>
            <w:r w:rsidRPr="00375870">
              <w:rPr>
                <w:rFonts w:ascii="Times New Roman" w:hAnsi="Times New Roman" w:cs="Times New Roman"/>
              </w:rPr>
              <w:br/>
            </w:r>
            <w:r w:rsidRPr="00375870">
              <w:rPr>
                <w:rFonts w:ascii="Times New Roman" w:hAnsi="Times New Roman" w:cs="Times New Roman"/>
              </w:rPr>
              <w:lastRenderedPageBreak/>
              <w:t>Race/Ethnicity: White (35.4%), Hispanic (28.7%), Asian (9.5%), Black (1.9%).</w:t>
            </w:r>
          </w:p>
        </w:tc>
        <w:tc>
          <w:tcPr>
            <w:tcW w:w="3240" w:type="dxa"/>
            <w:hideMark/>
          </w:tcPr>
          <w:p w14:paraId="10D6E2C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Pharmacological: stimulants (methylphenidate, amphetamines) and non-</w:t>
            </w:r>
            <w:r w:rsidRPr="00375870">
              <w:rPr>
                <w:rFonts w:ascii="Times New Roman" w:hAnsi="Times New Roman" w:cs="Times New Roman"/>
              </w:rPr>
              <w:lastRenderedPageBreak/>
              <w:t>stimulants (guanfacine, clonidine, atomoxetine)</w:t>
            </w:r>
          </w:p>
        </w:tc>
        <w:tc>
          <w:tcPr>
            <w:tcW w:w="1890" w:type="dxa"/>
            <w:hideMark/>
          </w:tcPr>
          <w:p w14:paraId="1EC58D0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Sex, race and ethnicity, health insurance type</w:t>
            </w:r>
          </w:p>
        </w:tc>
      </w:tr>
      <w:tr w:rsidR="00F737DB" w:rsidRPr="00375870" w14:paraId="5FB1A7D5" w14:textId="77777777" w:rsidTr="003B11B2">
        <w:trPr>
          <w:trHeight w:val="4121"/>
        </w:trPr>
        <w:tc>
          <w:tcPr>
            <w:tcW w:w="1980" w:type="dxa"/>
            <w:hideMark/>
          </w:tcPr>
          <w:p w14:paraId="1618A27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Lien/ </w:t>
            </w:r>
            <w:r w:rsidRPr="00375870">
              <w:rPr>
                <w:rFonts w:ascii="Times New Roman" w:hAnsi="Times New Roman" w:cs="Times New Roman"/>
              </w:rPr>
              <w:br/>
              <w:t>Psychiatric Services/</w:t>
            </w:r>
            <w:r w:rsidRPr="00375870">
              <w:rPr>
                <w:rFonts w:ascii="Times New Roman" w:hAnsi="Times New Roman" w:cs="Times New Roman"/>
              </w:rPr>
              <w:br/>
              <w:t>2015</w:t>
            </w:r>
          </w:p>
        </w:tc>
        <w:tc>
          <w:tcPr>
            <w:tcW w:w="1170" w:type="dxa"/>
            <w:noWrap/>
            <w:hideMark/>
          </w:tcPr>
          <w:p w14:paraId="4A1E6AE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1620" w:type="dxa"/>
            <w:hideMark/>
          </w:tcPr>
          <w:p w14:paraId="0BF8036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Retrospective longitudinal cohort (NHIRD) 2001 -2007</w:t>
            </w:r>
          </w:p>
        </w:tc>
        <w:tc>
          <w:tcPr>
            <w:tcW w:w="1260" w:type="dxa"/>
            <w:hideMark/>
          </w:tcPr>
          <w:p w14:paraId="44A8287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3,583</w:t>
            </w:r>
          </w:p>
        </w:tc>
        <w:tc>
          <w:tcPr>
            <w:tcW w:w="4410" w:type="dxa"/>
            <w:hideMark/>
          </w:tcPr>
          <w:p w14:paraId="02253C1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76% male, 24% female.</w:t>
            </w:r>
            <w:r w:rsidRPr="00375870">
              <w:rPr>
                <w:rFonts w:ascii="Times New Roman" w:hAnsi="Times New Roman" w:cs="Times New Roman"/>
              </w:rPr>
              <w:br/>
              <w:t>Age distribution (mean/median not provided): 31% age 3 at diagnosis, 38% age 4, 31% age 5 (average age of 4).</w:t>
            </w:r>
            <w:r w:rsidRPr="00375870">
              <w:rPr>
                <w:rFonts w:ascii="Times New Roman" w:hAnsi="Times New Roman" w:cs="Times New Roman"/>
              </w:rPr>
              <w:br/>
              <w:t>SES (Premium category): Poverty (2%), Near poverty (22%), Middle income (46%), High income (30%).</w:t>
            </w:r>
          </w:p>
        </w:tc>
        <w:tc>
          <w:tcPr>
            <w:tcW w:w="3240" w:type="dxa"/>
            <w:hideMark/>
          </w:tcPr>
          <w:p w14:paraId="697F168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Pharmacological and non-pharmacological.</w:t>
            </w:r>
          </w:p>
          <w:p w14:paraId="4B90CAA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CBC738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Medication: Methylphenidate (only ADHD medication covered by insurance).</w:t>
            </w:r>
            <w:r w:rsidRPr="00375870">
              <w:rPr>
                <w:rFonts w:ascii="Times New Roman" w:hAnsi="Times New Roman" w:cs="Times New Roman"/>
              </w:rPr>
              <w:br/>
              <w:t xml:space="preserve">Non-Medication: Psychotherapy (e.g., behavior modification, supportive psychosocial psychotherapy, family therapy) or Rehabilitation therapy (e.g., physical exercise, sensory </w:t>
            </w:r>
            <w:r w:rsidRPr="00375870">
              <w:rPr>
                <w:rFonts w:ascii="Times New Roman" w:hAnsi="Times New Roman" w:cs="Times New Roman"/>
              </w:rPr>
              <w:lastRenderedPageBreak/>
              <w:t>integration training, occupational therapy)</w:t>
            </w:r>
          </w:p>
        </w:tc>
        <w:tc>
          <w:tcPr>
            <w:tcW w:w="1890" w:type="dxa"/>
            <w:hideMark/>
          </w:tcPr>
          <w:p w14:paraId="34A9586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SES (based on Taiwan’s National Health Insurance Program (NHIP) insurance premium, urbanicity</w:t>
            </w:r>
          </w:p>
        </w:tc>
      </w:tr>
      <w:tr w:rsidR="00F737DB" w:rsidRPr="00375870" w14:paraId="1095CA0E" w14:textId="77777777" w:rsidTr="003B11B2">
        <w:trPr>
          <w:trHeight w:val="1560"/>
        </w:trPr>
        <w:tc>
          <w:tcPr>
            <w:tcW w:w="1980" w:type="dxa"/>
            <w:hideMark/>
          </w:tcPr>
          <w:p w14:paraId="3D80819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Lindemann/ </w:t>
            </w:r>
            <w:r w:rsidRPr="00375870">
              <w:rPr>
                <w:rFonts w:ascii="Times New Roman" w:hAnsi="Times New Roman" w:cs="Times New Roman"/>
              </w:rPr>
              <w:br/>
              <w:t>Journal of Child and Adolescent Psychopharmacol</w:t>
            </w:r>
            <w:r w:rsidRPr="00375870">
              <w:rPr>
                <w:rFonts w:ascii="Times New Roman" w:hAnsi="Times New Roman" w:cs="Times New Roman"/>
              </w:rPr>
              <w:lastRenderedPageBreak/>
              <w:t xml:space="preserve">ogy/ </w:t>
            </w:r>
            <w:r w:rsidRPr="00375870">
              <w:rPr>
                <w:rFonts w:ascii="Times New Roman" w:hAnsi="Times New Roman" w:cs="Times New Roman"/>
              </w:rPr>
              <w:br/>
              <w:t>2012</w:t>
            </w:r>
          </w:p>
        </w:tc>
        <w:tc>
          <w:tcPr>
            <w:tcW w:w="1170" w:type="dxa"/>
            <w:noWrap/>
            <w:hideMark/>
          </w:tcPr>
          <w:p w14:paraId="05F8C80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Germany</w:t>
            </w:r>
          </w:p>
        </w:tc>
        <w:tc>
          <w:tcPr>
            <w:tcW w:w="1620" w:type="dxa"/>
            <w:hideMark/>
          </w:tcPr>
          <w:p w14:paraId="341DF77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Retrospective cohort study (German Pharmaco-epidemiologic</w:t>
            </w:r>
            <w:r w:rsidRPr="00375870">
              <w:rPr>
                <w:rFonts w:ascii="Times New Roman" w:hAnsi="Times New Roman" w:cs="Times New Roman"/>
              </w:rPr>
              <w:lastRenderedPageBreak/>
              <w:t>al</w:t>
            </w:r>
            <w:r w:rsidRPr="00375870">
              <w:rPr>
                <w:rFonts w:ascii="Times New Roman" w:hAnsi="Times New Roman" w:cs="Times New Roman"/>
              </w:rPr>
              <w:br/>
              <w:t>Research Database (</w:t>
            </w:r>
            <w:proofErr w:type="spellStart"/>
            <w:r w:rsidRPr="00375870">
              <w:rPr>
                <w:rFonts w:ascii="Times New Roman" w:hAnsi="Times New Roman" w:cs="Times New Roman"/>
              </w:rPr>
              <w:t>GePaRD</w:t>
            </w:r>
            <w:proofErr w:type="spellEnd"/>
            <w:r w:rsidRPr="00375870">
              <w:rPr>
                <w:rFonts w:ascii="Times New Roman" w:hAnsi="Times New Roman" w:cs="Times New Roman"/>
              </w:rPr>
              <w:t>)) 2004–2006</w:t>
            </w:r>
          </w:p>
        </w:tc>
        <w:tc>
          <w:tcPr>
            <w:tcW w:w="1260" w:type="dxa"/>
            <w:hideMark/>
          </w:tcPr>
          <w:p w14:paraId="7CABDBB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1,811,747 (for the whole incidence population</w:t>
            </w:r>
            <w:r w:rsidRPr="00375870">
              <w:rPr>
                <w:rFonts w:ascii="Times New Roman" w:hAnsi="Times New Roman" w:cs="Times New Roman"/>
              </w:rPr>
              <w:lastRenderedPageBreak/>
              <w:t>); no sample size stated for new ADHD diagnoses</w:t>
            </w:r>
          </w:p>
        </w:tc>
        <w:tc>
          <w:tcPr>
            <w:tcW w:w="4410" w:type="dxa"/>
            <w:hideMark/>
          </w:tcPr>
          <w:p w14:paraId="6819A20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ADHD incidence more common in males than females (13.5 vs 4.4 per 1,000 person years); peak diagnostic age (years) = 8 (male), 9 (female)</w:t>
            </w:r>
          </w:p>
        </w:tc>
        <w:tc>
          <w:tcPr>
            <w:tcW w:w="3240" w:type="dxa"/>
            <w:hideMark/>
          </w:tcPr>
          <w:p w14:paraId="3A699B3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Drug treatment with methylphenidate or atomoxetine.</w:t>
            </w:r>
          </w:p>
        </w:tc>
        <w:tc>
          <w:tcPr>
            <w:tcW w:w="1890" w:type="dxa"/>
            <w:hideMark/>
          </w:tcPr>
          <w:p w14:paraId="0074816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 </w:t>
            </w:r>
          </w:p>
        </w:tc>
      </w:tr>
      <w:tr w:rsidR="00F737DB" w:rsidRPr="00375870" w14:paraId="1A3CF17F" w14:textId="77777777" w:rsidTr="003B11B2">
        <w:trPr>
          <w:trHeight w:val="1907"/>
        </w:trPr>
        <w:tc>
          <w:tcPr>
            <w:tcW w:w="1980" w:type="dxa"/>
            <w:hideMark/>
          </w:tcPr>
          <w:p w14:paraId="5D7528F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Martin/ </w:t>
            </w:r>
            <w:r w:rsidRPr="00375870">
              <w:rPr>
                <w:rFonts w:ascii="Times New Roman" w:hAnsi="Times New Roman" w:cs="Times New Roman"/>
              </w:rPr>
              <w:br/>
              <w:t xml:space="preserve">Journal of Child Psychology and Psychiatry/ </w:t>
            </w:r>
            <w:r w:rsidRPr="00375870">
              <w:rPr>
                <w:rFonts w:ascii="Times New Roman" w:hAnsi="Times New Roman" w:cs="Times New Roman"/>
              </w:rPr>
              <w:br/>
              <w:t>2024</w:t>
            </w:r>
          </w:p>
        </w:tc>
        <w:tc>
          <w:tcPr>
            <w:tcW w:w="1170" w:type="dxa"/>
            <w:hideMark/>
          </w:tcPr>
          <w:p w14:paraId="72B0912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Wales</w:t>
            </w:r>
          </w:p>
        </w:tc>
        <w:tc>
          <w:tcPr>
            <w:tcW w:w="1620" w:type="dxa"/>
            <w:hideMark/>
          </w:tcPr>
          <w:p w14:paraId="7ABEA25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Retrospective cohort study (Secure </w:t>
            </w:r>
            <w:proofErr w:type="spellStart"/>
            <w:r w:rsidRPr="00375870">
              <w:rPr>
                <w:rFonts w:ascii="Times New Roman" w:hAnsi="Times New Roman" w:cs="Times New Roman"/>
              </w:rPr>
              <w:t>Anonymised</w:t>
            </w:r>
            <w:proofErr w:type="spellEnd"/>
            <w:r w:rsidRPr="00375870">
              <w:rPr>
                <w:rFonts w:ascii="Times New Roman" w:hAnsi="Times New Roman" w:cs="Times New Roman"/>
              </w:rPr>
              <w:t xml:space="preserve"> Information Linkage (SAIL) </w:t>
            </w:r>
            <w:r w:rsidRPr="00375870">
              <w:rPr>
                <w:rFonts w:ascii="Times New Roman" w:hAnsi="Times New Roman" w:cs="Times New Roman"/>
              </w:rPr>
              <w:lastRenderedPageBreak/>
              <w:t xml:space="preserve">databank), 2000-2019 </w:t>
            </w:r>
          </w:p>
        </w:tc>
        <w:tc>
          <w:tcPr>
            <w:tcW w:w="1260" w:type="dxa"/>
            <w:noWrap/>
            <w:hideMark/>
          </w:tcPr>
          <w:p w14:paraId="7E66135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16,458 (14,786 for &lt;18 years)</w:t>
            </w:r>
          </w:p>
        </w:tc>
        <w:tc>
          <w:tcPr>
            <w:tcW w:w="4410" w:type="dxa"/>
            <w:hideMark/>
          </w:tcPr>
          <w:p w14:paraId="2D0175B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Sex: 79.7% male, 20.3% female</w:t>
            </w:r>
          </w:p>
          <w:p w14:paraId="2C0E6186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Mean age at first ADHD diagnosis: Males = 10.9 years, Females = 12.6 years</w:t>
            </w:r>
            <w:r w:rsidRPr="00375870">
              <w:rPr>
                <w:rFonts w:ascii="Times New Roman" w:hAnsi="Times New Roman" w:cs="Times New Roman"/>
              </w:rPr>
              <w:br/>
              <w:t>Ethnicity: White (97.1%), Ethnic minority (2.9%)</w:t>
            </w:r>
            <w:r w:rsidRPr="00375870">
              <w:rPr>
                <w:rFonts w:ascii="Times New Roman" w:hAnsi="Times New Roman" w:cs="Times New Roman"/>
              </w:rPr>
              <w:br/>
              <w:t xml:space="preserve">SES measured by Welsh Index of Multiple Deprivation (WIMD) quintiles: least </w:t>
            </w:r>
            <w:r w:rsidRPr="00375870">
              <w:rPr>
                <w:rFonts w:ascii="Times New Roman" w:hAnsi="Times New Roman" w:cs="Times New Roman"/>
              </w:rPr>
              <w:lastRenderedPageBreak/>
              <w:t>deprived (11.6%), level 2 (13.1%), least deprived (16.6%), least deprived (24.1%), most deprived (34.7%)</w:t>
            </w:r>
          </w:p>
        </w:tc>
        <w:tc>
          <w:tcPr>
            <w:tcW w:w="3240" w:type="dxa"/>
            <w:hideMark/>
          </w:tcPr>
          <w:p w14:paraId="3EC01C4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Medication: Stimulants and non-stimulants</w:t>
            </w:r>
          </w:p>
        </w:tc>
        <w:tc>
          <w:tcPr>
            <w:tcW w:w="1890" w:type="dxa"/>
            <w:hideMark/>
          </w:tcPr>
          <w:p w14:paraId="6B0AD93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Sex</w:t>
            </w:r>
          </w:p>
        </w:tc>
      </w:tr>
      <w:tr w:rsidR="00F737DB" w:rsidRPr="00375870" w14:paraId="7D222EB4" w14:textId="77777777" w:rsidTr="003B11B2">
        <w:trPr>
          <w:trHeight w:val="2159"/>
        </w:trPr>
        <w:tc>
          <w:tcPr>
            <w:tcW w:w="1980" w:type="dxa"/>
            <w:hideMark/>
          </w:tcPr>
          <w:p w14:paraId="2F09640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Shi/</w:t>
            </w:r>
            <w:r w:rsidRPr="00375870">
              <w:rPr>
                <w:rFonts w:ascii="Times New Roman" w:hAnsi="Times New Roman" w:cs="Times New Roman"/>
              </w:rPr>
              <w:br/>
              <w:t>JAMA Network Open/</w:t>
            </w:r>
            <w:r w:rsidRPr="00375870">
              <w:rPr>
                <w:rFonts w:ascii="Times New Roman" w:hAnsi="Times New Roman" w:cs="Times New Roman"/>
              </w:rPr>
              <w:br/>
              <w:t>2021</w:t>
            </w:r>
          </w:p>
        </w:tc>
        <w:tc>
          <w:tcPr>
            <w:tcW w:w="1170" w:type="dxa"/>
            <w:hideMark/>
          </w:tcPr>
          <w:p w14:paraId="164F916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USA </w:t>
            </w:r>
          </w:p>
        </w:tc>
        <w:tc>
          <w:tcPr>
            <w:tcW w:w="1620" w:type="dxa"/>
            <w:hideMark/>
          </w:tcPr>
          <w:p w14:paraId="0588DD2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Retrospective cohort study (</w:t>
            </w:r>
            <w:proofErr w:type="spellStart"/>
            <w:r w:rsidRPr="00375870">
              <w:rPr>
                <w:rFonts w:ascii="Times New Roman" w:hAnsi="Times New Roman" w:cs="Times New Roman"/>
              </w:rPr>
              <w:t>OptumLabs</w:t>
            </w:r>
            <w:proofErr w:type="spellEnd"/>
            <w:r w:rsidRPr="00375870">
              <w:rPr>
                <w:rFonts w:ascii="Times New Roman" w:hAnsi="Times New Roman" w:cs="Times New Roman"/>
              </w:rPr>
              <w:t xml:space="preserve"> Data Warehouse), birth cohort 2006–2012, followed </w:t>
            </w:r>
            <w:r w:rsidRPr="00375870">
              <w:rPr>
                <w:rFonts w:ascii="Times New Roman" w:hAnsi="Times New Roman" w:cs="Times New Roman"/>
              </w:rPr>
              <w:lastRenderedPageBreak/>
              <w:t>through June 30, 2019</w:t>
            </w:r>
          </w:p>
        </w:tc>
        <w:tc>
          <w:tcPr>
            <w:tcW w:w="1260" w:type="dxa"/>
            <w:hideMark/>
          </w:tcPr>
          <w:p w14:paraId="6E97F8E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238,011 (total population), 11,401 (ADHD)</w:t>
            </w:r>
          </w:p>
        </w:tc>
        <w:tc>
          <w:tcPr>
            <w:tcW w:w="4410" w:type="dxa"/>
            <w:hideMark/>
          </w:tcPr>
          <w:p w14:paraId="5733AAE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Sex: 71.9% boys, 28.1% girls </w:t>
            </w:r>
          </w:p>
          <w:p w14:paraId="7431222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Mean age at ADHD diagnosis: 6.5 years (SD 1.9).</w:t>
            </w:r>
            <w:r w:rsidRPr="00375870">
              <w:rPr>
                <w:rFonts w:ascii="Times New Roman" w:hAnsi="Times New Roman" w:cs="Times New Roman"/>
              </w:rPr>
              <w:br/>
              <w:t>Race and ethnicity: White (78.8%), Asian (3.2%), Black (6.0%), Hispanic (9.1%), Other/Unknown (3.0%).</w:t>
            </w:r>
            <w:r w:rsidRPr="00375870">
              <w:rPr>
                <w:rFonts w:ascii="Times New Roman" w:hAnsi="Times New Roman" w:cs="Times New Roman"/>
              </w:rPr>
              <w:br/>
              <w:t>Income: &lt;75k (22.8%), 75k to 124k (27.3%), 125k to 199k (19.2%), ≥200k (19.2%)</w:t>
            </w:r>
          </w:p>
          <w:p w14:paraId="1BF947F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Census region: Midwest (24.6%), Northeast (11.8%), South (50.6%), West (13.1%)</w:t>
            </w:r>
          </w:p>
        </w:tc>
        <w:tc>
          <w:tcPr>
            <w:tcW w:w="3240" w:type="dxa"/>
            <w:hideMark/>
          </w:tcPr>
          <w:p w14:paraId="454B390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Medication (having filled a prescription) and/or behavioral therapy (identified by Current Procedural Terminology codes) </w:t>
            </w:r>
          </w:p>
        </w:tc>
        <w:tc>
          <w:tcPr>
            <w:tcW w:w="1890" w:type="dxa"/>
            <w:hideMark/>
          </w:tcPr>
          <w:p w14:paraId="71D7C15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Sex, race and ethnicity, household income, census region </w:t>
            </w:r>
          </w:p>
        </w:tc>
      </w:tr>
    </w:tbl>
    <w:p w14:paraId="23669D76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</w:p>
    <w:p w14:paraId="32B38B43" w14:textId="77777777" w:rsidR="00F737DB" w:rsidRPr="00375870" w:rsidRDefault="00F737DB" w:rsidP="00155905">
      <w:pPr>
        <w:spacing w:line="480" w:lineRule="auto"/>
        <w:rPr>
          <w:rFonts w:ascii="Times New Roman" w:hAnsi="Times New Roman" w:cs="Times New Roman"/>
        </w:rPr>
      </w:pPr>
      <w:r w:rsidRPr="00375870">
        <w:rPr>
          <w:rFonts w:ascii="Times New Roman" w:hAnsi="Times New Roman" w:cs="Times New Roman"/>
        </w:rPr>
        <w:br w:type="page"/>
      </w:r>
    </w:p>
    <w:p w14:paraId="2CF2698D" w14:textId="77777777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375870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375870">
        <w:rPr>
          <w:rFonts w:ascii="Times New Roman" w:hAnsi="Times New Roman" w:cs="Times New Roman"/>
          <w:b/>
          <w:bCs/>
        </w:rPr>
        <w:t xml:space="preserve"> 5.</w:t>
      </w:r>
      <w:r w:rsidRPr="00375870">
        <w:rPr>
          <w:rFonts w:ascii="Times New Roman" w:hAnsi="Times New Roman" w:cs="Times New Roman"/>
        </w:rPr>
        <w:t xml:space="preserve"> Reported outcomes, and diagnostic methods, covariates, and effect estimates of included studies</w:t>
      </w:r>
    </w:p>
    <w:tbl>
      <w:tblPr>
        <w:tblStyle w:val="TableGrid"/>
        <w:tblW w:w="15210" w:type="dxa"/>
        <w:tblInd w:w="-9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2595"/>
        <w:gridCol w:w="3226"/>
        <w:gridCol w:w="2687"/>
        <w:gridCol w:w="4707"/>
      </w:tblGrid>
      <w:tr w:rsidR="00F737DB" w:rsidRPr="00375870" w14:paraId="0CDDE4DF" w14:textId="77777777" w:rsidTr="003B3544">
        <w:trPr>
          <w:trHeight w:val="521"/>
          <w:tblHeader/>
        </w:trPr>
        <w:tc>
          <w:tcPr>
            <w:tcW w:w="1995" w:type="dxa"/>
            <w:hideMark/>
          </w:tcPr>
          <w:p w14:paraId="6AC8026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Author last name, Publication year</w:t>
            </w:r>
          </w:p>
        </w:tc>
        <w:tc>
          <w:tcPr>
            <w:tcW w:w="2595" w:type="dxa"/>
            <w:hideMark/>
          </w:tcPr>
          <w:p w14:paraId="16108AB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Specified outcome </w:t>
            </w:r>
          </w:p>
        </w:tc>
        <w:tc>
          <w:tcPr>
            <w:tcW w:w="3226" w:type="dxa"/>
            <w:hideMark/>
          </w:tcPr>
          <w:p w14:paraId="13A5BCB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ADHD Diagnosis (Who made it/ how was it confirmed)</w:t>
            </w:r>
          </w:p>
        </w:tc>
        <w:tc>
          <w:tcPr>
            <w:tcW w:w="2687" w:type="dxa"/>
            <w:hideMark/>
          </w:tcPr>
          <w:p w14:paraId="58464B9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 xml:space="preserve">Covariates adjusted for </w:t>
            </w:r>
          </w:p>
        </w:tc>
        <w:tc>
          <w:tcPr>
            <w:tcW w:w="4707" w:type="dxa"/>
            <w:hideMark/>
          </w:tcPr>
          <w:p w14:paraId="1BCFC5A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75870">
              <w:rPr>
                <w:rFonts w:ascii="Times New Roman" w:hAnsi="Times New Roman" w:cs="Times New Roman"/>
                <w:b/>
                <w:bCs/>
              </w:rPr>
              <w:t>Reported effect estimates</w:t>
            </w:r>
          </w:p>
        </w:tc>
      </w:tr>
      <w:tr w:rsidR="00F737DB" w:rsidRPr="00375870" w14:paraId="4B2ADC06" w14:textId="77777777" w:rsidTr="003B3544">
        <w:trPr>
          <w:trHeight w:val="1656"/>
        </w:trPr>
        <w:tc>
          <w:tcPr>
            <w:tcW w:w="1995" w:type="dxa"/>
            <w:hideMark/>
          </w:tcPr>
          <w:p w14:paraId="37A1ECA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Arya, 2015</w:t>
            </w:r>
          </w:p>
        </w:tc>
        <w:tc>
          <w:tcPr>
            <w:tcW w:w="2595" w:type="dxa"/>
            <w:hideMark/>
          </w:tcPr>
          <w:p w14:paraId="5A00412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Average delay (in years) from ADHD onset to child and adolescent mental health service (CAMHS)</w:t>
            </w:r>
          </w:p>
        </w:tc>
        <w:tc>
          <w:tcPr>
            <w:tcW w:w="3226" w:type="dxa"/>
            <w:hideMark/>
          </w:tcPr>
          <w:p w14:paraId="56D0F68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Confirmed via structured diagnostic interview (K-SADS-PL) and DSM-IV-TR; consensus by psychiatrist team</w:t>
            </w:r>
          </w:p>
        </w:tc>
        <w:tc>
          <w:tcPr>
            <w:tcW w:w="2687" w:type="dxa"/>
            <w:hideMark/>
          </w:tcPr>
          <w:p w14:paraId="298F303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4707" w:type="dxa"/>
            <w:hideMark/>
          </w:tcPr>
          <w:p w14:paraId="7539F2F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Mean/ median delay (years) in seeking help compared using Mann-Whitney U and Kruskal-Wallis tests:</w:t>
            </w:r>
            <w:r w:rsidRPr="00375870">
              <w:rPr>
                <w:rFonts w:ascii="Times New Roman" w:hAnsi="Times New Roman" w:cs="Times New Roman"/>
              </w:rPr>
              <w:br/>
              <w:t>• Sex: 3.5 years (male) vs 4.5 years (female) (p=0.406)</w:t>
            </w:r>
            <w:r w:rsidRPr="00375870">
              <w:rPr>
                <w:rFonts w:ascii="Times New Roman" w:hAnsi="Times New Roman" w:cs="Times New Roman"/>
              </w:rPr>
              <w:br/>
              <w:t>• Domicile: Rural vs urban; 5 years vs 3.05 years (p=0.021)</w:t>
            </w:r>
            <w:r w:rsidRPr="00375870">
              <w:rPr>
                <w:rFonts w:ascii="Times New Roman" w:hAnsi="Times New Roman" w:cs="Times New Roman"/>
              </w:rPr>
              <w:br/>
              <w:t>• Income/month: &lt;10,000 vs 10,000-30,000 vs &gt;30,000: 5 vs 2.35 vs 3 years (p&lt;0.001)</w:t>
            </w:r>
          </w:p>
        </w:tc>
      </w:tr>
      <w:tr w:rsidR="00F737DB" w:rsidRPr="00375870" w14:paraId="0D220FAC" w14:textId="77777777" w:rsidTr="003B3544">
        <w:trPr>
          <w:trHeight w:val="1575"/>
        </w:trPr>
        <w:tc>
          <w:tcPr>
            <w:tcW w:w="1995" w:type="dxa"/>
            <w:hideMark/>
          </w:tcPr>
          <w:p w14:paraId="4647BA6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Bannett, 2025 </w:t>
            </w:r>
          </w:p>
        </w:tc>
        <w:tc>
          <w:tcPr>
            <w:tcW w:w="2595" w:type="dxa"/>
            <w:hideMark/>
          </w:tcPr>
          <w:p w14:paraId="48C6F4A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Time from initial ADHD diagnosis to prescription (days) before age 7 years. </w:t>
            </w:r>
            <w:r w:rsidRPr="00375870">
              <w:rPr>
                <w:rFonts w:ascii="Times New Roman" w:hAnsi="Times New Roman" w:cs="Times New Roman"/>
              </w:rPr>
              <w:lastRenderedPageBreak/>
              <w:t xml:space="preserve">Early treatment defined as being within 30 days of diagnosis. </w:t>
            </w:r>
          </w:p>
        </w:tc>
        <w:tc>
          <w:tcPr>
            <w:tcW w:w="3226" w:type="dxa"/>
            <w:hideMark/>
          </w:tcPr>
          <w:p w14:paraId="13A4B8C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Patients were included in the ADHD cohort if they received at least 1 disorder-level ADHD diagnosis (e.g., ADHD </w:t>
            </w:r>
            <w:r w:rsidRPr="00375870">
              <w:rPr>
                <w:rFonts w:ascii="Times New Roman" w:hAnsi="Times New Roman" w:cs="Times New Roman"/>
              </w:rPr>
              <w:lastRenderedPageBreak/>
              <w:t>combined subtype) between ages 4 and 5 years in primary care clinics, diagnosed by primary care providers</w:t>
            </w:r>
          </w:p>
        </w:tc>
        <w:tc>
          <w:tcPr>
            <w:tcW w:w="2687" w:type="dxa"/>
            <w:hideMark/>
          </w:tcPr>
          <w:p w14:paraId="3152A6A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Year of diagnosis, initial diagnosis type (disorder-level vs. symptom-level), comorbid conditions, </w:t>
            </w:r>
            <w:r w:rsidRPr="00375870">
              <w:rPr>
                <w:rFonts w:ascii="Times New Roman" w:hAnsi="Times New Roman" w:cs="Times New Roman"/>
              </w:rPr>
              <w:lastRenderedPageBreak/>
              <w:t>primary care utilization (low/medium/high), and institution.</w:t>
            </w:r>
          </w:p>
        </w:tc>
        <w:tc>
          <w:tcPr>
            <w:tcW w:w="4707" w:type="dxa"/>
            <w:hideMark/>
          </w:tcPr>
          <w:p w14:paraId="4ACF48A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HR and 95% CI:</w:t>
            </w:r>
            <w:r w:rsidRPr="00375870">
              <w:rPr>
                <w:rFonts w:ascii="Times New Roman" w:hAnsi="Times New Roman" w:cs="Times New Roman"/>
              </w:rPr>
              <w:br/>
              <w:t>• Male vs. female (ref): HR 1.17 (95% CI 1.10-1.24)</w:t>
            </w:r>
            <w:r w:rsidRPr="00375870">
              <w:rPr>
                <w:rFonts w:ascii="Times New Roman" w:hAnsi="Times New Roman" w:cs="Times New Roman"/>
              </w:rPr>
              <w:br/>
              <w:t xml:space="preserve">• Race (ref = NHW): Hispanic: HR 0.75 (95% </w:t>
            </w:r>
            <w:r w:rsidRPr="00375870">
              <w:rPr>
                <w:rFonts w:ascii="Times New Roman" w:hAnsi="Times New Roman" w:cs="Times New Roman"/>
              </w:rPr>
              <w:lastRenderedPageBreak/>
              <w:t>CI 0.70-0.81), NH Asian: HR 0.50 (95% CI 0.38-0.65), NH Black: HR 0.90 (95% CI 0.85-0.96)</w:t>
            </w:r>
            <w:r w:rsidRPr="00375870">
              <w:rPr>
                <w:rFonts w:ascii="Times New Roman" w:hAnsi="Times New Roman" w:cs="Times New Roman"/>
              </w:rPr>
              <w:br/>
              <w:t>• Public vs. private insurance: HR 1.10 (95% CI 1.04-1.17)</w:t>
            </w:r>
          </w:p>
        </w:tc>
      </w:tr>
      <w:tr w:rsidR="00F737DB" w:rsidRPr="00375870" w14:paraId="79C86020" w14:textId="77777777" w:rsidTr="003B3544">
        <w:trPr>
          <w:trHeight w:val="3033"/>
        </w:trPr>
        <w:tc>
          <w:tcPr>
            <w:tcW w:w="1995" w:type="dxa"/>
            <w:hideMark/>
          </w:tcPr>
          <w:p w14:paraId="6EC0026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Chen,</w:t>
            </w:r>
            <w:r w:rsidRPr="00375870">
              <w:rPr>
                <w:rFonts w:ascii="Times New Roman" w:hAnsi="Times New Roman" w:cs="Times New Roman"/>
              </w:rPr>
              <w:br/>
              <w:t xml:space="preserve"> 2011</w:t>
            </w:r>
          </w:p>
        </w:tc>
        <w:tc>
          <w:tcPr>
            <w:tcW w:w="2595" w:type="dxa"/>
            <w:hideMark/>
          </w:tcPr>
          <w:p w14:paraId="5728860D" w14:textId="48053A10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Initiation of methylphenidate treatment (prescription) within one year of diagnosis.</w:t>
            </w:r>
          </w:p>
        </w:tc>
        <w:tc>
          <w:tcPr>
            <w:tcW w:w="3226" w:type="dxa"/>
            <w:hideMark/>
          </w:tcPr>
          <w:p w14:paraId="48AB84C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ADHD was defined by ICD-9-CM 314.XX codes</w:t>
            </w:r>
          </w:p>
        </w:tc>
        <w:tc>
          <w:tcPr>
            <w:tcW w:w="2687" w:type="dxa"/>
            <w:hideMark/>
          </w:tcPr>
          <w:p w14:paraId="7710A66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All analyses were adjusted for all other variables listed in the respective tables (Table 2 for initiation, Table 3 for discontinuation). This includes demographic, clinical, and healthcare provider characteristics.</w:t>
            </w:r>
          </w:p>
        </w:tc>
        <w:tc>
          <w:tcPr>
            <w:tcW w:w="4707" w:type="dxa"/>
            <w:hideMark/>
          </w:tcPr>
          <w:p w14:paraId="54CC591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HR and 95% CIs: </w:t>
            </w:r>
            <w:r w:rsidRPr="00375870">
              <w:rPr>
                <w:rFonts w:ascii="Times New Roman" w:hAnsi="Times New Roman" w:cs="Times New Roman"/>
              </w:rPr>
              <w:br/>
              <w:t>ADHD only:</w:t>
            </w:r>
            <w:r w:rsidRPr="00375870">
              <w:rPr>
                <w:rFonts w:ascii="Times New Roman" w:hAnsi="Times New Roman" w:cs="Times New Roman"/>
              </w:rPr>
              <w:br/>
              <w:t>• Male vs. female (ref): HR 1.36 (1.21–1.54)</w:t>
            </w:r>
            <w:r w:rsidRPr="00375870">
              <w:rPr>
                <w:rFonts w:ascii="Times New Roman" w:hAnsi="Times New Roman" w:cs="Times New Roman"/>
              </w:rPr>
              <w:br/>
              <w:t xml:space="preserve">• SES (ref= EC I, highest SES): </w:t>
            </w:r>
          </w:p>
          <w:p w14:paraId="3E81BC1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EC II (high SES): HR 1.08 (0.94-1.23), EC III (lower SES): HR 1.19 (1.03–1.37), EC IV (lower SES): HR 1.20 (1.00–1.45) </w:t>
            </w:r>
          </w:p>
          <w:p w14:paraId="1218985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• Urbanicity (ref = Urban):</w:t>
            </w:r>
          </w:p>
          <w:p w14:paraId="5498217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Suburban: HR = 0.94 (95% CI: 0.87–1.02), Rural: HR = 0.98 (95% CI: 0.81–1.18),</w:t>
            </w:r>
            <w:r w:rsidRPr="00375870">
              <w:rPr>
                <w:rFonts w:ascii="Times New Roman" w:hAnsi="Times New Roman" w:cs="Times New Roman"/>
              </w:rPr>
              <w:br/>
              <w:t xml:space="preserve">• Regions (ref =Northern Region): </w:t>
            </w:r>
          </w:p>
          <w:p w14:paraId="6B49658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Southern: HR 1.58 (1.42–1.75), Eastern: HR 1.73 (1.24–2.42), Central: HR 0.86 (0.74–1.02)   </w:t>
            </w:r>
          </w:p>
        </w:tc>
      </w:tr>
      <w:tr w:rsidR="00F737DB" w:rsidRPr="00375870" w14:paraId="7E93C3D6" w14:textId="77777777" w:rsidTr="003B3544">
        <w:trPr>
          <w:trHeight w:val="1560"/>
        </w:trPr>
        <w:tc>
          <w:tcPr>
            <w:tcW w:w="1995" w:type="dxa"/>
            <w:hideMark/>
          </w:tcPr>
          <w:p w14:paraId="171CB07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Garbe,</w:t>
            </w:r>
            <w:r w:rsidRPr="00375870">
              <w:rPr>
                <w:rFonts w:ascii="Times New Roman" w:hAnsi="Times New Roman" w:cs="Times New Roman"/>
              </w:rPr>
              <w:br/>
              <w:t>2012</w:t>
            </w:r>
          </w:p>
        </w:tc>
        <w:tc>
          <w:tcPr>
            <w:tcW w:w="2595" w:type="dxa"/>
            <w:hideMark/>
          </w:tcPr>
          <w:p w14:paraId="42AAEDBF" w14:textId="636BC904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Time to initiation of ADHD drug treatment (</w:t>
            </w:r>
            <w:r w:rsidR="00C33F4D" w:rsidRPr="00375870">
              <w:rPr>
                <w:rFonts w:ascii="Times New Roman" w:hAnsi="Times New Roman" w:cs="Times New Roman"/>
              </w:rPr>
              <w:t>m</w:t>
            </w:r>
            <w:proofErr w:type="spellStart"/>
            <w:r w:rsidR="00C33F4D" w:rsidRPr="00375870">
              <w:rPr>
                <w:rFonts w:ascii="Times New Roman" w:hAnsi="Times New Roman" w:cs="Times New Roman"/>
                <w:lang w:val="en-US"/>
              </w:rPr>
              <w:t>ethylphenidate</w:t>
            </w:r>
            <w:proofErr w:type="spellEnd"/>
            <w:r w:rsidR="00C33F4D" w:rsidRPr="00375870" w:rsidDel="00C33F4D">
              <w:rPr>
                <w:rFonts w:ascii="Times New Roman" w:hAnsi="Times New Roman" w:cs="Times New Roman"/>
              </w:rPr>
              <w:t xml:space="preserve"> </w:t>
            </w:r>
            <w:r w:rsidRPr="00375870">
              <w:rPr>
                <w:rFonts w:ascii="Times New Roman" w:hAnsi="Times New Roman" w:cs="Times New Roman"/>
              </w:rPr>
              <w:t xml:space="preserve">or </w:t>
            </w:r>
            <w:r w:rsidR="00C33F4D" w:rsidRPr="00375870">
              <w:rPr>
                <w:rFonts w:ascii="Times New Roman" w:hAnsi="Times New Roman" w:cs="Times New Roman"/>
              </w:rPr>
              <w:t>a</w:t>
            </w:r>
            <w:proofErr w:type="spellStart"/>
            <w:r w:rsidR="00C33F4D" w:rsidRPr="00375870">
              <w:rPr>
                <w:rFonts w:ascii="Times New Roman" w:hAnsi="Times New Roman" w:cs="Times New Roman"/>
                <w:lang w:val="en-US"/>
              </w:rPr>
              <w:t>tomoxetine</w:t>
            </w:r>
            <w:proofErr w:type="spellEnd"/>
            <w:r w:rsidRPr="00375870">
              <w:rPr>
                <w:rFonts w:ascii="Times New Roman" w:hAnsi="Times New Roman" w:cs="Times New Roman"/>
              </w:rPr>
              <w:t>) within a year of diagnosis</w:t>
            </w:r>
          </w:p>
        </w:tc>
        <w:tc>
          <w:tcPr>
            <w:tcW w:w="3226" w:type="dxa"/>
            <w:hideMark/>
          </w:tcPr>
          <w:p w14:paraId="326F7F6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First diagnosing physician: Pediatrician (44.5%), child psychiatrist (30.0%). Confirmed via coded diagnosis algorithm (ICD-10-GM) from claims data</w:t>
            </w:r>
          </w:p>
        </w:tc>
        <w:tc>
          <w:tcPr>
            <w:tcW w:w="2687" w:type="dxa"/>
            <w:hideMark/>
          </w:tcPr>
          <w:p w14:paraId="7A780D3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Age, ADHD subtype, psychiatric comorbidities, specialty of the first diagnosing physician.</w:t>
            </w:r>
          </w:p>
        </w:tc>
        <w:tc>
          <w:tcPr>
            <w:tcW w:w="4707" w:type="dxa"/>
            <w:hideMark/>
          </w:tcPr>
          <w:p w14:paraId="6A9F5BD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HR and 95% CI</w:t>
            </w:r>
            <w:r w:rsidRPr="00375870">
              <w:rPr>
                <w:rFonts w:ascii="Times New Roman" w:hAnsi="Times New Roman" w:cs="Times New Roman"/>
              </w:rPr>
              <w:br/>
              <w:t>• Sex (ref =Female): Male HR: 1.16 (1.06–1.26)</w:t>
            </w:r>
          </w:p>
        </w:tc>
      </w:tr>
      <w:tr w:rsidR="00F737DB" w:rsidRPr="00375870" w14:paraId="62FF5F72" w14:textId="77777777" w:rsidTr="003B3544">
        <w:trPr>
          <w:trHeight w:val="2979"/>
        </w:trPr>
        <w:tc>
          <w:tcPr>
            <w:tcW w:w="1995" w:type="dxa"/>
            <w:hideMark/>
          </w:tcPr>
          <w:p w14:paraId="05CCDC6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Gubi,</w:t>
            </w:r>
            <w:r w:rsidRPr="00375870">
              <w:rPr>
                <w:rFonts w:ascii="Times New Roman" w:hAnsi="Times New Roman" w:cs="Times New Roman"/>
              </w:rPr>
              <w:br/>
              <w:t>2022</w:t>
            </w:r>
          </w:p>
        </w:tc>
        <w:tc>
          <w:tcPr>
            <w:tcW w:w="2595" w:type="dxa"/>
            <w:hideMark/>
          </w:tcPr>
          <w:p w14:paraId="1F31533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Received prescription of drug within 3 months of diagnosis</w:t>
            </w:r>
          </w:p>
        </w:tc>
        <w:tc>
          <w:tcPr>
            <w:tcW w:w="3226" w:type="dxa"/>
            <w:hideMark/>
          </w:tcPr>
          <w:p w14:paraId="4251092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Confirmed via ICD/DSM coding in administrative and clinical registers; BUP (Swedish data) register used DSM-based codes mapped to ICD-10</w:t>
            </w:r>
          </w:p>
        </w:tc>
        <w:tc>
          <w:tcPr>
            <w:tcW w:w="2687" w:type="dxa"/>
            <w:hideMark/>
          </w:tcPr>
          <w:p w14:paraId="39D8867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Adjusted for age, sex, and parental income.</w:t>
            </w:r>
          </w:p>
        </w:tc>
        <w:tc>
          <w:tcPr>
            <w:tcW w:w="4707" w:type="dxa"/>
            <w:hideMark/>
          </w:tcPr>
          <w:p w14:paraId="42AB5BA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OR and 95% CIs: </w:t>
            </w:r>
          </w:p>
          <w:p w14:paraId="42E7AFA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• Migration group (ref = Swedish born): </w:t>
            </w:r>
          </w:p>
          <w:p w14:paraId="4D4B0E1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Migrants: OR 0.49 (0.43–0.54)</w:t>
            </w:r>
            <w:r w:rsidRPr="00375870">
              <w:rPr>
                <w:rFonts w:ascii="Times New Roman" w:hAnsi="Times New Roman" w:cs="Times New Roman"/>
              </w:rPr>
              <w:br/>
              <w:t xml:space="preserve">• Maternal region (ref = Swedish born): </w:t>
            </w:r>
          </w:p>
          <w:p w14:paraId="5368291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Sub-Saharan Africa: OR 0.50 (0.43-0.58), Asia: OR 0.45 (0.39-0.53), Eastern EU, RUS, &amp;Baltics: OR 0.58 (0.50-0.67), Middle East &amp; North Africa: OR 0.63 (0.57-0.70), South America: OR 1.02 (0.89-1.16), USA, Canada and Oceanic: OR 0.98 (0.72- 1.33), and Western &amp; Southern Europe: OR 0.64 (0.52-0.79). </w:t>
            </w:r>
            <w:r w:rsidRPr="00375870">
              <w:rPr>
                <w:rFonts w:ascii="Times New Roman" w:hAnsi="Times New Roman" w:cs="Times New Roman"/>
              </w:rPr>
              <w:br/>
              <w:t xml:space="preserve">• Time since immigration (ref = Swedish born): </w:t>
            </w:r>
          </w:p>
          <w:p w14:paraId="5DFD8C6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0-5 years: OR 0.62 (0.55-0.70), 6-10 years: OR 0.63 (0.53-0.74), 11-15 years: OR 0.77 (0.67- 0.88)</w:t>
            </w:r>
          </w:p>
        </w:tc>
      </w:tr>
      <w:tr w:rsidR="00F737DB" w:rsidRPr="00375870" w14:paraId="090DCEFA" w14:textId="77777777" w:rsidTr="003B3544">
        <w:trPr>
          <w:trHeight w:val="2496"/>
        </w:trPr>
        <w:tc>
          <w:tcPr>
            <w:tcW w:w="1995" w:type="dxa"/>
            <w:hideMark/>
          </w:tcPr>
          <w:p w14:paraId="79FD7C1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Hong, 2014</w:t>
            </w:r>
          </w:p>
        </w:tc>
        <w:tc>
          <w:tcPr>
            <w:tcW w:w="2595" w:type="dxa"/>
            <w:hideMark/>
          </w:tcPr>
          <w:p w14:paraId="0C8D8859" w14:textId="5977FAE4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Treatment initiation (pharmacotherapy and/or psychotherapy) at baseline</w:t>
            </w:r>
            <w:r w:rsidR="00380566">
              <w:rPr>
                <w:rFonts w:ascii="Times New Roman" w:hAnsi="Times New Roman" w:cs="Times New Roman"/>
              </w:rPr>
              <w:t xml:space="preserve">, i.e., </w:t>
            </w:r>
            <w:r w:rsidR="0044422E" w:rsidRPr="0044422E">
              <w:rPr>
                <w:rFonts w:ascii="Times New Roman" w:hAnsi="Times New Roman" w:cs="Times New Roman"/>
              </w:rPr>
              <w:t>outpatient visit in which the patients were enrolled in the study</w:t>
            </w:r>
            <w:r w:rsidRPr="003758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26" w:type="dxa"/>
            <w:hideMark/>
          </w:tcPr>
          <w:p w14:paraId="2CB46EA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Made by an investigator (psychiatrists &amp; pediatrician enrolled patients) using standard diagnostic criteria (DSM-IV-TR) or ICD-10</w:t>
            </w:r>
          </w:p>
        </w:tc>
        <w:tc>
          <w:tcPr>
            <w:tcW w:w="2687" w:type="dxa"/>
            <w:hideMark/>
          </w:tcPr>
          <w:p w14:paraId="2106294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Age, gender, age at first symptoms, region, birth problems, family history of ADHD, and CGI-ADHD-S score, working mother, parental psychological distress, truancy, involvement in bullying, primary care </w:t>
            </w:r>
            <w:r w:rsidRPr="00375870">
              <w:rPr>
                <w:rFonts w:ascii="Times New Roman" w:hAnsi="Times New Roman" w:cs="Times New Roman"/>
              </w:rPr>
              <w:lastRenderedPageBreak/>
              <w:t>visits for behavior, and being invited to social activities.</w:t>
            </w:r>
          </w:p>
        </w:tc>
        <w:tc>
          <w:tcPr>
            <w:tcW w:w="4707" w:type="dxa"/>
            <w:hideMark/>
          </w:tcPr>
          <w:p w14:paraId="046B5BF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OR and 95% CIs: </w:t>
            </w:r>
          </w:p>
          <w:p w14:paraId="25B5042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Combined (overall cohort): </w:t>
            </w:r>
            <w:r w:rsidRPr="00375870">
              <w:rPr>
                <w:rFonts w:ascii="Times New Roman" w:hAnsi="Times New Roman" w:cs="Times New Roman"/>
              </w:rPr>
              <w:br/>
              <w:t xml:space="preserve">•Male vs female (ref): OR 1.24 (0.74, 2.07)  </w:t>
            </w:r>
            <w:r w:rsidRPr="00375870">
              <w:rPr>
                <w:rFonts w:ascii="Times New Roman" w:hAnsi="Times New Roman" w:cs="Times New Roman"/>
              </w:rPr>
              <w:br/>
              <w:t>•East Asia vs central Europe (ref): OR= 0.87 (0.56-1.36)</w:t>
            </w:r>
          </w:p>
          <w:p w14:paraId="2C6C2C3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br/>
            </w:r>
            <w:r w:rsidRPr="00375870">
              <w:rPr>
                <w:rFonts w:ascii="Times New Roman" w:hAnsi="Times New Roman" w:cs="Times New Roman"/>
                <w:i/>
                <w:iCs/>
              </w:rPr>
              <w:t>East Asia:</w:t>
            </w:r>
            <w:r w:rsidRPr="00375870">
              <w:rPr>
                <w:rFonts w:ascii="Times New Roman" w:hAnsi="Times New Roman" w:cs="Times New Roman"/>
              </w:rPr>
              <w:t xml:space="preserve"> </w:t>
            </w:r>
            <w:r w:rsidRPr="00375870">
              <w:rPr>
                <w:rFonts w:ascii="Times New Roman" w:hAnsi="Times New Roman" w:cs="Times New Roman"/>
              </w:rPr>
              <w:br/>
              <w:t xml:space="preserve">•Male vs female (ref): OR 1.95 (1.02–3.73) </w:t>
            </w:r>
          </w:p>
          <w:p w14:paraId="4CE85B9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br/>
            </w:r>
            <w:r w:rsidRPr="00375870">
              <w:rPr>
                <w:rFonts w:ascii="Times New Roman" w:hAnsi="Times New Roman" w:cs="Times New Roman"/>
                <w:i/>
                <w:iCs/>
              </w:rPr>
              <w:t>Central Europe:</w:t>
            </w:r>
            <w:r w:rsidRPr="00375870">
              <w:rPr>
                <w:rFonts w:ascii="Times New Roman" w:hAnsi="Times New Roman" w:cs="Times New Roman"/>
              </w:rPr>
              <w:t xml:space="preserve"> </w:t>
            </w:r>
            <w:r w:rsidRPr="00375870">
              <w:rPr>
                <w:rFonts w:ascii="Times New Roman" w:hAnsi="Times New Roman" w:cs="Times New Roman"/>
              </w:rPr>
              <w:br/>
              <w:t xml:space="preserve">•Male vs female (ref): OR 0.46 (0.16–1.33) </w:t>
            </w:r>
          </w:p>
        </w:tc>
      </w:tr>
      <w:tr w:rsidR="00F737DB" w:rsidRPr="00375870" w14:paraId="0E4BBC9F" w14:textId="77777777" w:rsidTr="003B3544">
        <w:trPr>
          <w:trHeight w:val="729"/>
        </w:trPr>
        <w:tc>
          <w:tcPr>
            <w:tcW w:w="1995" w:type="dxa"/>
            <w:hideMark/>
          </w:tcPr>
          <w:p w14:paraId="71CA059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Huang,</w:t>
            </w:r>
            <w:r w:rsidRPr="00375870">
              <w:rPr>
                <w:rFonts w:ascii="Times New Roman" w:hAnsi="Times New Roman" w:cs="Times New Roman"/>
              </w:rPr>
              <w:br/>
              <w:t xml:space="preserve"> 2021</w:t>
            </w:r>
          </w:p>
        </w:tc>
        <w:tc>
          <w:tcPr>
            <w:tcW w:w="2595" w:type="dxa"/>
            <w:hideMark/>
          </w:tcPr>
          <w:p w14:paraId="6E464C1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Delayed initiation of ADHD medications, defined as an interval &gt;365 days between ADHD diagnosis and initiation of ADHD medications (the date of   prescription of ADHD medications) </w:t>
            </w:r>
          </w:p>
        </w:tc>
        <w:tc>
          <w:tcPr>
            <w:tcW w:w="3226" w:type="dxa"/>
            <w:hideMark/>
          </w:tcPr>
          <w:p w14:paraId="19E242D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Board-certified psychiatrist. Confirmed with ICD-9-CM in claims data.</w:t>
            </w:r>
          </w:p>
        </w:tc>
        <w:tc>
          <w:tcPr>
            <w:tcW w:w="2687" w:type="dxa"/>
            <w:hideMark/>
          </w:tcPr>
          <w:p w14:paraId="182BBB6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None stated</w:t>
            </w:r>
          </w:p>
        </w:tc>
        <w:tc>
          <w:tcPr>
            <w:tcW w:w="4707" w:type="dxa"/>
            <w:hideMark/>
          </w:tcPr>
          <w:p w14:paraId="60C225B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OR and 95% CIs: </w:t>
            </w:r>
          </w:p>
          <w:p w14:paraId="132D53D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  <w:i/>
                <w:iCs/>
              </w:rPr>
              <w:t>Children 6-11 years:</w:t>
            </w:r>
            <w:r w:rsidRPr="00375870">
              <w:rPr>
                <w:rFonts w:ascii="Times New Roman" w:hAnsi="Times New Roman" w:cs="Times New Roman"/>
              </w:rPr>
              <w:br/>
              <w:t>•Male vs female (ref): OR 1.20 (1.09–1.34)</w:t>
            </w:r>
            <w:r w:rsidRPr="00375870">
              <w:rPr>
                <w:rFonts w:ascii="Times New Roman" w:hAnsi="Times New Roman" w:cs="Times New Roman"/>
              </w:rPr>
              <w:br/>
              <w:t xml:space="preserve">•Urbanization (ref = level 1, most urban): </w:t>
            </w:r>
          </w:p>
          <w:p w14:paraId="4CF54235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level 2: OR 0.92 (0.83–1.01), level 3: OR 0.67 (0.58–0.78), level 4: OR 0.81 (0.70–0.94), level 5 (most rural): OR 0.97 (0.89–1.07) </w:t>
            </w:r>
            <w:r w:rsidRPr="00375870">
              <w:rPr>
                <w:rFonts w:ascii="Times New Roman" w:hAnsi="Times New Roman" w:cs="Times New Roman"/>
              </w:rPr>
              <w:br/>
              <w:t xml:space="preserve">•Family income (ref = low income): </w:t>
            </w:r>
          </w:p>
          <w:p w14:paraId="77F9B77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Mid: OR 1.03 (0.93–1.14), High: OR 1.52 (1.37–1.69)</w:t>
            </w:r>
            <w:r w:rsidRPr="00375870">
              <w:rPr>
                <w:rFonts w:ascii="Times New Roman" w:hAnsi="Times New Roman" w:cs="Times New Roman"/>
              </w:rPr>
              <w:br/>
            </w:r>
            <w:r w:rsidRPr="00375870">
              <w:rPr>
                <w:rFonts w:ascii="Times New Roman" w:hAnsi="Times New Roman" w:cs="Times New Roman"/>
              </w:rPr>
              <w:br/>
            </w:r>
            <w:r w:rsidRPr="00375870">
              <w:rPr>
                <w:rFonts w:ascii="Times New Roman" w:hAnsi="Times New Roman" w:cs="Times New Roman"/>
                <w:i/>
                <w:iCs/>
              </w:rPr>
              <w:t>Adolescents 12-19</w:t>
            </w:r>
            <w:r w:rsidRPr="00375870">
              <w:rPr>
                <w:rFonts w:ascii="Times New Roman" w:hAnsi="Times New Roman" w:cs="Times New Roman"/>
              </w:rPr>
              <w:t xml:space="preserve"> </w:t>
            </w:r>
            <w:r w:rsidRPr="00375870">
              <w:rPr>
                <w:rFonts w:ascii="Times New Roman" w:hAnsi="Times New Roman" w:cs="Times New Roman"/>
                <w:i/>
                <w:iCs/>
              </w:rPr>
              <w:t>years:</w:t>
            </w:r>
            <w:r w:rsidRPr="00375870">
              <w:rPr>
                <w:rFonts w:ascii="Times New Roman" w:hAnsi="Times New Roman" w:cs="Times New Roman"/>
              </w:rPr>
              <w:br/>
              <w:t>•Male vs female (ref): OR 1.45 (1.04–2.02)</w:t>
            </w:r>
            <w:r w:rsidRPr="00375870">
              <w:rPr>
                <w:rFonts w:ascii="Times New Roman" w:hAnsi="Times New Roman" w:cs="Times New Roman"/>
              </w:rPr>
              <w:br/>
              <w:t xml:space="preserve">•Urbanization, level 1 (ref): level 2: OR 0.80 (0.58–1.11), level 3: OR 0.76 (0.48–1.20), level 4: OR 0.63 (0.31–1.09), level 5 (most rural): OR 0.76 (0.55–1.56) </w:t>
            </w:r>
            <w:r w:rsidRPr="00375870">
              <w:rPr>
                <w:rFonts w:ascii="Times New Roman" w:hAnsi="Times New Roman" w:cs="Times New Roman"/>
              </w:rPr>
              <w:br/>
              <w:t xml:space="preserve">•Family income, low income (ref): </w:t>
            </w:r>
          </w:p>
          <w:p w14:paraId="41FFD2E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Mid: OR=1.15 (0.79–1.66), High: OR 1.28 (0.88–187)</w:t>
            </w:r>
          </w:p>
        </w:tc>
      </w:tr>
      <w:tr w:rsidR="00F737DB" w:rsidRPr="00375870" w14:paraId="2224DCC3" w14:textId="77777777" w:rsidTr="003B3544">
        <w:trPr>
          <w:trHeight w:val="1611"/>
        </w:trPr>
        <w:tc>
          <w:tcPr>
            <w:tcW w:w="1995" w:type="dxa"/>
            <w:hideMark/>
          </w:tcPr>
          <w:p w14:paraId="0A8FD02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Kasinathan,</w:t>
            </w:r>
            <w:r w:rsidRPr="00375870">
              <w:rPr>
                <w:rFonts w:ascii="Times New Roman" w:hAnsi="Times New Roman" w:cs="Times New Roman"/>
              </w:rPr>
              <w:br/>
              <w:t>2025</w:t>
            </w:r>
          </w:p>
        </w:tc>
        <w:tc>
          <w:tcPr>
            <w:tcW w:w="2595" w:type="dxa"/>
            <w:hideMark/>
          </w:tcPr>
          <w:p w14:paraId="4A31C22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Time from first ADHD diagnostic visit to first ADHD medication prescription (within 1 year of diagnosis).</w:t>
            </w:r>
          </w:p>
        </w:tc>
        <w:tc>
          <w:tcPr>
            <w:tcW w:w="3226" w:type="dxa"/>
            <w:hideMark/>
          </w:tcPr>
          <w:p w14:paraId="71F17B4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Based on ICD-10 codes (F90.0–F90.9). Diagnosis made during developmental-behavioral pediatrics clinic visits by physicians, nurse practitioners, or psychologists</w:t>
            </w:r>
          </w:p>
        </w:tc>
        <w:tc>
          <w:tcPr>
            <w:tcW w:w="2687" w:type="dxa"/>
            <w:hideMark/>
          </w:tcPr>
          <w:p w14:paraId="58122B7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Patient observation period (number of days from first to last visit at DBP clinic).</w:t>
            </w:r>
          </w:p>
        </w:tc>
        <w:tc>
          <w:tcPr>
            <w:tcW w:w="4707" w:type="dxa"/>
            <w:hideMark/>
          </w:tcPr>
          <w:p w14:paraId="4C1AD07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HR and 95% CIs:</w:t>
            </w:r>
            <w:r w:rsidRPr="00375870">
              <w:rPr>
                <w:rFonts w:ascii="Times New Roman" w:hAnsi="Times New Roman" w:cs="Times New Roman"/>
              </w:rPr>
              <w:br/>
              <w:t>•Sex: Male vs Female (ref): HR 1.02 (0.82–1.26)</w:t>
            </w:r>
            <w:r w:rsidRPr="00375870">
              <w:rPr>
                <w:rFonts w:ascii="Times New Roman" w:hAnsi="Times New Roman" w:cs="Times New Roman"/>
              </w:rPr>
              <w:br/>
              <w:t>•Race (ref = White):</w:t>
            </w:r>
          </w:p>
          <w:p w14:paraId="3BBB792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Asian: HR 0.65 (0.46–0.94), Black: HR 0.80 (0.39–1.64), Hispanic: HR 0.91 (0.72–1.16), Other: HR 0.41 (0.13–1.30) </w:t>
            </w:r>
            <w:r w:rsidRPr="00375870">
              <w:rPr>
                <w:rFonts w:ascii="Times New Roman" w:hAnsi="Times New Roman" w:cs="Times New Roman"/>
              </w:rPr>
              <w:br/>
              <w:t>•Public vs private insurance (ref): HR 0.99 (0.80–1.23)</w:t>
            </w:r>
          </w:p>
        </w:tc>
      </w:tr>
      <w:tr w:rsidR="00F737DB" w:rsidRPr="00375870" w14:paraId="730F165B" w14:textId="77777777" w:rsidTr="003B3544">
        <w:trPr>
          <w:trHeight w:val="756"/>
        </w:trPr>
        <w:tc>
          <w:tcPr>
            <w:tcW w:w="1995" w:type="dxa"/>
            <w:hideMark/>
          </w:tcPr>
          <w:p w14:paraId="7B35F2C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Lien,</w:t>
            </w:r>
            <w:r w:rsidRPr="00375870">
              <w:rPr>
                <w:rFonts w:ascii="Times New Roman" w:hAnsi="Times New Roman" w:cs="Times New Roman"/>
              </w:rPr>
              <w:br/>
              <w:t>2015</w:t>
            </w:r>
          </w:p>
        </w:tc>
        <w:tc>
          <w:tcPr>
            <w:tcW w:w="2595" w:type="dxa"/>
            <w:hideMark/>
          </w:tcPr>
          <w:p w14:paraId="5FAF1F7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Treatment (medication/ psychotherapy) initiation within 2 months</w:t>
            </w:r>
          </w:p>
        </w:tc>
        <w:tc>
          <w:tcPr>
            <w:tcW w:w="3226" w:type="dxa"/>
            <w:hideMark/>
          </w:tcPr>
          <w:p w14:paraId="5C5634F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ICD-9-CM 314.xx in claims data and Confirmed by clinicians after ≥2 outpatient visits within 6 months. </w:t>
            </w:r>
            <w:r w:rsidRPr="00375870">
              <w:rPr>
                <w:rFonts w:ascii="Times New Roman" w:hAnsi="Times New Roman" w:cs="Times New Roman"/>
              </w:rPr>
              <w:lastRenderedPageBreak/>
              <w:t>Different types of diagnosing physicians.</w:t>
            </w:r>
          </w:p>
        </w:tc>
        <w:tc>
          <w:tcPr>
            <w:tcW w:w="2687" w:type="dxa"/>
            <w:hideMark/>
          </w:tcPr>
          <w:p w14:paraId="723A34A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Sex, age at diagnosis, residential region, income category, comorbidities, catastrophic illness, </w:t>
            </w:r>
            <w:r w:rsidRPr="00375870">
              <w:rPr>
                <w:rFonts w:ascii="Times New Roman" w:hAnsi="Times New Roman" w:cs="Times New Roman"/>
              </w:rPr>
              <w:lastRenderedPageBreak/>
              <w:t>primary insured parent, provider type, hospital level, ADHD service volume, different diagnosing vs treating physician</w:t>
            </w:r>
          </w:p>
        </w:tc>
        <w:tc>
          <w:tcPr>
            <w:tcW w:w="4707" w:type="dxa"/>
            <w:hideMark/>
          </w:tcPr>
          <w:p w14:paraId="3E01E2F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 xml:space="preserve">OR and 95% CIs: </w:t>
            </w:r>
          </w:p>
          <w:p w14:paraId="696D463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• SES, high income (ref): </w:t>
            </w:r>
          </w:p>
          <w:p w14:paraId="202CA5E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Middle income: OR 0.90 (0.70–1.17), near poverty: OR 0.98 (0.72–1.33), poverty: OR </w:t>
            </w:r>
            <w:r w:rsidRPr="00375870">
              <w:rPr>
                <w:rFonts w:ascii="Times New Roman" w:hAnsi="Times New Roman" w:cs="Times New Roman"/>
              </w:rPr>
              <w:lastRenderedPageBreak/>
              <w:t xml:space="preserve">0.70 (0.23–2.12) </w:t>
            </w:r>
            <w:r w:rsidRPr="00375870">
              <w:rPr>
                <w:rFonts w:ascii="Times New Roman" w:hAnsi="Times New Roman" w:cs="Times New Roman"/>
              </w:rPr>
              <w:br/>
              <w:t xml:space="preserve">• Urbanicity (ref = urban): </w:t>
            </w:r>
          </w:p>
          <w:p w14:paraId="6BE609B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Suburban OR 1.29 (1.02–1.64), rural: OR 1.10 (0.65–1.86)</w:t>
            </w:r>
          </w:p>
        </w:tc>
      </w:tr>
      <w:tr w:rsidR="00F737DB" w:rsidRPr="002874D7" w14:paraId="328018BD" w14:textId="77777777" w:rsidTr="003B3544">
        <w:trPr>
          <w:trHeight w:val="1395"/>
        </w:trPr>
        <w:tc>
          <w:tcPr>
            <w:tcW w:w="1995" w:type="dxa"/>
            <w:hideMark/>
          </w:tcPr>
          <w:p w14:paraId="24D9845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Lindemann,</w:t>
            </w:r>
            <w:r w:rsidRPr="00375870">
              <w:rPr>
                <w:rFonts w:ascii="Times New Roman" w:hAnsi="Times New Roman" w:cs="Times New Roman"/>
              </w:rPr>
              <w:br/>
              <w:t>2012</w:t>
            </w:r>
          </w:p>
        </w:tc>
        <w:tc>
          <w:tcPr>
            <w:tcW w:w="2595" w:type="dxa"/>
            <w:hideMark/>
          </w:tcPr>
          <w:p w14:paraId="47B6CB0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Initiation of drug treatment  (methylphenidate or atomoxetine) at (a) time of diagnosis and (b) within one year of diagnosis</w:t>
            </w:r>
          </w:p>
        </w:tc>
        <w:tc>
          <w:tcPr>
            <w:tcW w:w="3226" w:type="dxa"/>
            <w:hideMark/>
          </w:tcPr>
          <w:p w14:paraId="4A96D78E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Confirmed via coded diagnosis algorithm (ICD-10-GM) from claims data, not by clinician review</w:t>
            </w:r>
          </w:p>
        </w:tc>
        <w:tc>
          <w:tcPr>
            <w:tcW w:w="2687" w:type="dxa"/>
            <w:hideMark/>
          </w:tcPr>
          <w:p w14:paraId="17D8358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None (descriptive only)</w:t>
            </w:r>
          </w:p>
        </w:tc>
        <w:tc>
          <w:tcPr>
            <w:tcW w:w="4707" w:type="dxa"/>
            <w:hideMark/>
          </w:tcPr>
          <w:p w14:paraId="5C8A7F2B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Percentage treated at time of initial diagnosis: </w:t>
            </w:r>
          </w:p>
          <w:p w14:paraId="483D698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Male = 9.4% (95% CI: 8.9–10.0%) vs female = 9.1% (95% CI: 8.2–10.1%)</w:t>
            </w:r>
            <w:r w:rsidRPr="00375870">
              <w:rPr>
                <w:rFonts w:ascii="Times New Roman" w:hAnsi="Times New Roman" w:cs="Times New Roman"/>
              </w:rPr>
              <w:br/>
              <w:t xml:space="preserve">Percentage treated within 1 year of initial diagnosis: </w:t>
            </w:r>
          </w:p>
          <w:p w14:paraId="7705BF1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  <w:lang w:val="fr-CA"/>
              </w:rPr>
            </w:pPr>
            <w:r w:rsidRPr="00375870">
              <w:rPr>
                <w:rFonts w:ascii="Times New Roman" w:hAnsi="Times New Roman" w:cs="Times New Roman"/>
                <w:lang w:val="fr-CA"/>
              </w:rPr>
              <w:t xml:space="preserve">Male = 37.7% (95% CI: 36.8–38.5%) vs </w:t>
            </w:r>
            <w:proofErr w:type="spellStart"/>
            <w:r w:rsidRPr="00375870">
              <w:rPr>
                <w:rFonts w:ascii="Times New Roman" w:hAnsi="Times New Roman" w:cs="Times New Roman"/>
                <w:lang w:val="fr-CA"/>
              </w:rPr>
              <w:t>female</w:t>
            </w:r>
            <w:proofErr w:type="spellEnd"/>
            <w:r w:rsidRPr="00375870">
              <w:rPr>
                <w:rFonts w:ascii="Times New Roman" w:hAnsi="Times New Roman" w:cs="Times New Roman"/>
                <w:lang w:val="fr-CA"/>
              </w:rPr>
              <w:t xml:space="preserve"> = 34.1% (95% CI: 32.6–35.6%) </w:t>
            </w:r>
          </w:p>
        </w:tc>
      </w:tr>
      <w:tr w:rsidR="00F737DB" w:rsidRPr="00375870" w14:paraId="6359D0E2" w14:textId="77777777" w:rsidTr="003B3544">
        <w:trPr>
          <w:trHeight w:val="1248"/>
        </w:trPr>
        <w:tc>
          <w:tcPr>
            <w:tcW w:w="1995" w:type="dxa"/>
            <w:hideMark/>
          </w:tcPr>
          <w:p w14:paraId="7741E698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lastRenderedPageBreak/>
              <w:t>Martin,</w:t>
            </w:r>
            <w:r w:rsidRPr="00375870">
              <w:rPr>
                <w:rFonts w:ascii="Times New Roman" w:hAnsi="Times New Roman" w:cs="Times New Roman"/>
              </w:rPr>
              <w:br/>
              <w:t>2024</w:t>
            </w:r>
          </w:p>
        </w:tc>
        <w:tc>
          <w:tcPr>
            <w:tcW w:w="2595" w:type="dxa"/>
            <w:hideMark/>
          </w:tcPr>
          <w:p w14:paraId="3638508D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Age difference defined as time between ADHD diagnosis and ADHD medication (prescription)</w:t>
            </w:r>
          </w:p>
        </w:tc>
        <w:tc>
          <w:tcPr>
            <w:tcW w:w="3226" w:type="dxa"/>
            <w:hideMark/>
          </w:tcPr>
          <w:p w14:paraId="29770A5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Read codes from general practitioner records, ICD-10 from hospital records</w:t>
            </w:r>
          </w:p>
        </w:tc>
        <w:tc>
          <w:tcPr>
            <w:tcW w:w="2687" w:type="dxa"/>
            <w:hideMark/>
          </w:tcPr>
          <w:p w14:paraId="56D377C7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Birth year and individual follow-up time were included as covariates in all regression models</w:t>
            </w:r>
          </w:p>
        </w:tc>
        <w:tc>
          <w:tcPr>
            <w:tcW w:w="4707" w:type="dxa"/>
            <w:hideMark/>
          </w:tcPr>
          <w:p w14:paraId="09A6E989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• Female vs male (ref): HR 1.00 (95% CI: 0.97–1.02)</w:t>
            </w:r>
          </w:p>
        </w:tc>
      </w:tr>
      <w:tr w:rsidR="00F737DB" w:rsidRPr="00375870" w14:paraId="31BA8B93" w14:textId="77777777" w:rsidTr="003B3544">
        <w:trPr>
          <w:trHeight w:val="3249"/>
        </w:trPr>
        <w:tc>
          <w:tcPr>
            <w:tcW w:w="1995" w:type="dxa"/>
            <w:hideMark/>
          </w:tcPr>
          <w:p w14:paraId="07AF5D13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Shi, 2021</w:t>
            </w:r>
          </w:p>
        </w:tc>
        <w:tc>
          <w:tcPr>
            <w:tcW w:w="2595" w:type="dxa"/>
            <w:hideMark/>
          </w:tcPr>
          <w:p w14:paraId="6D9255C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Treatment receipt (medication fill) within 1 year of diagnosis</w:t>
            </w:r>
          </w:p>
        </w:tc>
        <w:tc>
          <w:tcPr>
            <w:tcW w:w="3226" w:type="dxa"/>
            <w:hideMark/>
          </w:tcPr>
          <w:p w14:paraId="21F09B44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Pediatricians (~50%), and also by psychologists, family physicians, psychiatrists, and neurologists. Confirmed via clinical ICD codes in claims data; provider type documented</w:t>
            </w:r>
          </w:p>
        </w:tc>
        <w:tc>
          <w:tcPr>
            <w:tcW w:w="2687" w:type="dxa"/>
            <w:hideMark/>
          </w:tcPr>
          <w:p w14:paraId="26814490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Race and ethnicity, sex, US Census region, and annual household income.</w:t>
            </w:r>
          </w:p>
        </w:tc>
        <w:tc>
          <w:tcPr>
            <w:tcW w:w="4707" w:type="dxa"/>
            <w:hideMark/>
          </w:tcPr>
          <w:p w14:paraId="48301F61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OR and 95% CIs: </w:t>
            </w:r>
          </w:p>
          <w:p w14:paraId="7930A89F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•Female vs male (ref): OR 0.91 (0.82–1.02)</w:t>
            </w:r>
            <w:r w:rsidRPr="00375870">
              <w:rPr>
                <w:rFonts w:ascii="Times New Roman" w:hAnsi="Times New Roman" w:cs="Times New Roman"/>
              </w:rPr>
              <w:br/>
              <w:t xml:space="preserve">•Race and ethnicity (ref=White): </w:t>
            </w:r>
          </w:p>
          <w:p w14:paraId="5AC1DA8A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Asian: OR 0.54 (0.42–0.70), Black: OR 0.79 (0.64–0.98), Hispanic: OR 0.57 (0.48–0.67), Other/Unknown: OR 0.69 (0.52–0.91) </w:t>
            </w:r>
            <w:r w:rsidRPr="00375870">
              <w:rPr>
                <w:rFonts w:ascii="Times New Roman" w:hAnsi="Times New Roman" w:cs="Times New Roman"/>
              </w:rPr>
              <w:br/>
              <w:t xml:space="preserve">•Household income (ref = &gt;$200K): </w:t>
            </w:r>
          </w:p>
          <w:p w14:paraId="59E9C6DC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 xml:space="preserve">&lt;$40K: OR 0.90 (0.71–1.14); $40K–74,999: OR 0.75 (0.63–0.89); $75K–124,999: OR </w:t>
            </w:r>
            <w:r w:rsidRPr="00375870">
              <w:rPr>
                <w:rFonts w:ascii="Times New Roman" w:hAnsi="Times New Roman" w:cs="Times New Roman"/>
              </w:rPr>
              <w:lastRenderedPageBreak/>
              <w:t>0.88 (0.75–1.02); $125K–199,999: OR 0.93 (0.79–1.09); Other/Unknown: OR 0.56 (0.45–0.70)</w:t>
            </w:r>
            <w:r w:rsidRPr="00375870">
              <w:rPr>
                <w:rFonts w:ascii="Times New Roman" w:hAnsi="Times New Roman" w:cs="Times New Roman"/>
              </w:rPr>
              <w:br/>
              <w:t xml:space="preserve">•Region (ref = Northeast): </w:t>
            </w:r>
          </w:p>
          <w:p w14:paraId="787EC0E2" w14:textId="77777777" w:rsidR="00F737DB" w:rsidRPr="00375870" w:rsidRDefault="00F737DB" w:rsidP="0015590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5870">
              <w:rPr>
                <w:rFonts w:ascii="Times New Roman" w:hAnsi="Times New Roman" w:cs="Times New Roman"/>
              </w:rPr>
              <w:t>Midwest: OR 2.95 (2.48–3.51), South: OR 2.12 (1.82–2.45), West: OR 1.63 (1.35–1.96)</w:t>
            </w:r>
          </w:p>
        </w:tc>
      </w:tr>
    </w:tbl>
    <w:p w14:paraId="5C89486A" w14:textId="34410DE3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  <w:sectPr w:rsidR="00F737DB" w:rsidRPr="00375870" w:rsidSect="009B3FBF">
          <w:pgSz w:w="15840" w:h="12240" w:orient="landscape"/>
          <w:pgMar w:top="1296" w:right="1296" w:bottom="1296" w:left="1296" w:header="709" w:footer="709" w:gutter="0"/>
          <w:cols w:space="708"/>
          <w:docGrid w:linePitch="360"/>
        </w:sectPr>
      </w:pPr>
    </w:p>
    <w:p w14:paraId="5FFF3CD1" w14:textId="15B754A1" w:rsidR="00F737DB" w:rsidRPr="00375870" w:rsidRDefault="00F737DB" w:rsidP="002F5134">
      <w:pPr>
        <w:spacing w:after="0" w:line="480" w:lineRule="auto"/>
        <w:rPr>
          <w:rFonts w:ascii="Times New Roman" w:hAnsi="Times New Roman" w:cs="Times New Roman"/>
        </w:rPr>
      </w:pPr>
    </w:p>
    <w:sectPr w:rsidR="00F737DB" w:rsidRPr="00375870" w:rsidSect="003C5086">
      <w:footerReference w:type="even" r:id="rId13"/>
      <w:footerReference w:type="default" r:id="rId14"/>
      <w:type w:val="continuous"/>
      <w:pgSz w:w="12240" w:h="15840"/>
      <w:pgMar w:top="1296" w:right="1296" w:bottom="1296" w:left="129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3A21" w14:textId="77777777" w:rsidR="00DF2881" w:rsidRPr="00A07711" w:rsidRDefault="00DF2881">
      <w:pPr>
        <w:spacing w:after="0" w:line="240" w:lineRule="auto"/>
      </w:pPr>
      <w:r w:rsidRPr="00A07711">
        <w:separator/>
      </w:r>
    </w:p>
  </w:endnote>
  <w:endnote w:type="continuationSeparator" w:id="0">
    <w:p w14:paraId="6FCC5092" w14:textId="77777777" w:rsidR="00DF2881" w:rsidRPr="00A07711" w:rsidRDefault="00DF2881">
      <w:pPr>
        <w:spacing w:after="0" w:line="240" w:lineRule="auto"/>
      </w:pPr>
      <w:r w:rsidRPr="00A07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613982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547A28" w14:textId="77777777" w:rsidR="00F737DB" w:rsidRPr="00A07711" w:rsidRDefault="00F737DB" w:rsidP="005F29CD">
        <w:pPr>
          <w:pStyle w:val="Footer"/>
          <w:framePr w:wrap="none" w:vAnchor="text" w:hAnchor="margin" w:xAlign="right" w:y="1"/>
          <w:rPr>
            <w:rStyle w:val="PageNumber"/>
          </w:rPr>
        </w:pPr>
        <w:r w:rsidRPr="00A07711">
          <w:rPr>
            <w:rStyle w:val="PageNumber"/>
          </w:rPr>
          <w:fldChar w:fldCharType="begin"/>
        </w:r>
        <w:r w:rsidRPr="00A07711">
          <w:rPr>
            <w:rStyle w:val="PageNumber"/>
          </w:rPr>
          <w:instrText xml:space="preserve"> PAGE </w:instrText>
        </w:r>
        <w:r w:rsidRPr="00A07711">
          <w:rPr>
            <w:rStyle w:val="PageNumber"/>
          </w:rPr>
          <w:fldChar w:fldCharType="separate"/>
        </w:r>
        <w:r w:rsidRPr="00D97114">
          <w:rPr>
            <w:rStyle w:val="PageNumber"/>
          </w:rPr>
          <w:t>26</w:t>
        </w:r>
        <w:r w:rsidRPr="00A07711">
          <w:rPr>
            <w:rStyle w:val="PageNumber"/>
          </w:rPr>
          <w:fldChar w:fldCharType="end"/>
        </w:r>
      </w:p>
    </w:sdtContent>
  </w:sdt>
  <w:p w14:paraId="57DF1D2F" w14:textId="77777777" w:rsidR="00F737DB" w:rsidRPr="00A07711" w:rsidRDefault="00F737DB" w:rsidP="004543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884300370"/>
      <w:docPartObj>
        <w:docPartGallery w:val="Page Numbers (Bottom of Page)"/>
        <w:docPartUnique/>
      </w:docPartObj>
    </w:sdtPr>
    <w:sdtEndPr/>
    <w:sdtContent>
      <w:p w14:paraId="3DCD27B5" w14:textId="77777777" w:rsidR="00F737DB" w:rsidRPr="00D97114" w:rsidRDefault="00F737DB">
        <w:pPr>
          <w:pStyle w:val="Footer"/>
          <w:jc w:val="center"/>
          <w:rPr>
            <w:rFonts w:ascii="Times New Roman" w:hAnsi="Times New Roman" w:cs="Times New Roman"/>
          </w:rPr>
        </w:pPr>
        <w:r w:rsidRPr="00D97114">
          <w:rPr>
            <w:rFonts w:ascii="Times New Roman" w:hAnsi="Times New Roman" w:cs="Times New Roman"/>
          </w:rPr>
          <w:fldChar w:fldCharType="begin"/>
        </w:r>
        <w:r w:rsidRPr="00A07711">
          <w:rPr>
            <w:rFonts w:ascii="Times New Roman" w:hAnsi="Times New Roman" w:cs="Times New Roman"/>
          </w:rPr>
          <w:instrText xml:space="preserve"> PAGE   \* MERGEFORMAT </w:instrText>
        </w:r>
        <w:r w:rsidRPr="00D97114">
          <w:rPr>
            <w:rFonts w:ascii="Times New Roman" w:hAnsi="Times New Roman" w:cs="Times New Roman"/>
          </w:rPr>
          <w:fldChar w:fldCharType="separate"/>
        </w:r>
        <w:r w:rsidRPr="00D97114">
          <w:rPr>
            <w:rFonts w:ascii="Times New Roman" w:hAnsi="Times New Roman" w:cs="Times New Roman"/>
          </w:rPr>
          <w:t>2</w:t>
        </w:r>
        <w:r w:rsidRPr="00D97114">
          <w:rPr>
            <w:rFonts w:ascii="Times New Roman" w:hAnsi="Times New Roman" w:cs="Times New Roman"/>
          </w:rPr>
          <w:fldChar w:fldCharType="end"/>
        </w:r>
      </w:p>
    </w:sdtContent>
  </w:sdt>
  <w:p w14:paraId="027923C6" w14:textId="77777777" w:rsidR="00F737DB" w:rsidRPr="00A07711" w:rsidRDefault="00F737DB" w:rsidP="004543EA">
    <w:pPr>
      <w:pStyle w:val="Footer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454883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362E00" w14:textId="192555C0" w:rsidR="00BE5667" w:rsidRPr="00A07711" w:rsidRDefault="001035B2" w:rsidP="005F29CD">
        <w:pPr>
          <w:pStyle w:val="Footer"/>
          <w:framePr w:wrap="none" w:vAnchor="text" w:hAnchor="margin" w:xAlign="right" w:y="1"/>
          <w:rPr>
            <w:rStyle w:val="PageNumber"/>
          </w:rPr>
        </w:pPr>
        <w:r w:rsidRPr="00A07711">
          <w:rPr>
            <w:rStyle w:val="PageNumber"/>
          </w:rPr>
          <w:fldChar w:fldCharType="begin"/>
        </w:r>
        <w:r w:rsidRPr="00A07711">
          <w:rPr>
            <w:rStyle w:val="PageNumber"/>
          </w:rPr>
          <w:instrText xml:space="preserve"> PAGE </w:instrText>
        </w:r>
        <w:r w:rsidRPr="00A07711">
          <w:rPr>
            <w:rStyle w:val="PageNumber"/>
          </w:rPr>
          <w:fldChar w:fldCharType="separate"/>
        </w:r>
        <w:r w:rsidR="00CE4AA2" w:rsidRPr="00D97114">
          <w:rPr>
            <w:rStyle w:val="PageNumber"/>
          </w:rPr>
          <w:t>26</w:t>
        </w:r>
        <w:r w:rsidRPr="00A07711">
          <w:rPr>
            <w:rStyle w:val="PageNumber"/>
          </w:rPr>
          <w:fldChar w:fldCharType="end"/>
        </w:r>
      </w:p>
    </w:sdtContent>
  </w:sdt>
  <w:p w14:paraId="338F8533" w14:textId="77777777" w:rsidR="00BE5667" w:rsidRPr="00A07711" w:rsidRDefault="00BE5667" w:rsidP="004543EA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94475647"/>
      <w:docPartObj>
        <w:docPartGallery w:val="Page Numbers (Bottom of Page)"/>
        <w:docPartUnique/>
      </w:docPartObj>
    </w:sdtPr>
    <w:sdtEndPr/>
    <w:sdtContent>
      <w:p w14:paraId="55DBE3AA" w14:textId="1855FA94" w:rsidR="00E429D6" w:rsidRPr="00D97114" w:rsidRDefault="00E429D6">
        <w:pPr>
          <w:pStyle w:val="Footer"/>
          <w:jc w:val="center"/>
          <w:rPr>
            <w:rFonts w:ascii="Times New Roman" w:hAnsi="Times New Roman" w:cs="Times New Roman"/>
          </w:rPr>
        </w:pPr>
        <w:r w:rsidRPr="00D97114">
          <w:rPr>
            <w:rFonts w:ascii="Times New Roman" w:hAnsi="Times New Roman" w:cs="Times New Roman"/>
          </w:rPr>
          <w:fldChar w:fldCharType="begin"/>
        </w:r>
        <w:r w:rsidRPr="00A07711">
          <w:rPr>
            <w:rFonts w:ascii="Times New Roman" w:hAnsi="Times New Roman" w:cs="Times New Roman"/>
          </w:rPr>
          <w:instrText xml:space="preserve"> PAGE   \* MERGEFORMAT </w:instrText>
        </w:r>
        <w:r w:rsidRPr="00D97114">
          <w:rPr>
            <w:rFonts w:ascii="Times New Roman" w:hAnsi="Times New Roman" w:cs="Times New Roman"/>
          </w:rPr>
          <w:fldChar w:fldCharType="separate"/>
        </w:r>
        <w:r w:rsidRPr="00D97114">
          <w:rPr>
            <w:rFonts w:ascii="Times New Roman" w:hAnsi="Times New Roman" w:cs="Times New Roman"/>
          </w:rPr>
          <w:t>2</w:t>
        </w:r>
        <w:r w:rsidRPr="00D97114">
          <w:rPr>
            <w:rFonts w:ascii="Times New Roman" w:hAnsi="Times New Roman" w:cs="Times New Roman"/>
          </w:rPr>
          <w:fldChar w:fldCharType="end"/>
        </w:r>
      </w:p>
    </w:sdtContent>
  </w:sdt>
  <w:p w14:paraId="4E3B8602" w14:textId="77777777" w:rsidR="00BE5667" w:rsidRPr="00A07711" w:rsidRDefault="00BE5667" w:rsidP="004543EA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1DF4" w14:textId="77777777" w:rsidR="00DF2881" w:rsidRPr="00A07711" w:rsidRDefault="00DF2881">
      <w:pPr>
        <w:spacing w:after="0" w:line="240" w:lineRule="auto"/>
      </w:pPr>
      <w:r w:rsidRPr="00A07711">
        <w:separator/>
      </w:r>
    </w:p>
  </w:footnote>
  <w:footnote w:type="continuationSeparator" w:id="0">
    <w:p w14:paraId="54A495BA" w14:textId="77777777" w:rsidR="00DF2881" w:rsidRPr="00A07711" w:rsidRDefault="00DF2881">
      <w:pPr>
        <w:spacing w:after="0" w:line="240" w:lineRule="auto"/>
      </w:pPr>
      <w:r w:rsidRPr="00A0771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251BC"/>
    <w:multiLevelType w:val="multilevel"/>
    <w:tmpl w:val="DFE4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53600"/>
    <w:multiLevelType w:val="hybridMultilevel"/>
    <w:tmpl w:val="C47EA54C"/>
    <w:lvl w:ilvl="0" w:tplc="F48A0DB4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F436609C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2" w:tplc="A6BE40C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3" w:tplc="46D603D2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4" w:tplc="E782EDB8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5" w:tplc="70A86F12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6" w:tplc="64F43B02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7" w:tplc="276E2D5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8" w:tplc="8F5AFAD2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</w:abstractNum>
  <w:abstractNum w:abstractNumId="2" w15:restartNumberingAfterBreak="0">
    <w:nsid w:val="5A76351B"/>
    <w:multiLevelType w:val="hybridMultilevel"/>
    <w:tmpl w:val="1D908672"/>
    <w:lvl w:ilvl="0" w:tplc="518CC8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5FA06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1DECA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1BA1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A965C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27E14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93290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46AAA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11C7A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7493792C"/>
    <w:multiLevelType w:val="hybridMultilevel"/>
    <w:tmpl w:val="128CDC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950"/>
    <w:multiLevelType w:val="hybridMultilevel"/>
    <w:tmpl w:val="8F982C9C"/>
    <w:lvl w:ilvl="0" w:tplc="271E30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06FA5"/>
    <w:multiLevelType w:val="hybridMultilevel"/>
    <w:tmpl w:val="CF9C3E70"/>
    <w:lvl w:ilvl="0" w:tplc="DB6AE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4A9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FC4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B48E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DC9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705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184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B64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1CC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74165182">
    <w:abstractNumId w:val="5"/>
  </w:num>
  <w:num w:numId="2" w16cid:durableId="878981107">
    <w:abstractNumId w:val="2"/>
  </w:num>
  <w:num w:numId="3" w16cid:durableId="2013025998">
    <w:abstractNumId w:val="1"/>
  </w:num>
  <w:num w:numId="4" w16cid:durableId="1441334484">
    <w:abstractNumId w:val="3"/>
  </w:num>
  <w:num w:numId="5" w16cid:durableId="1788622775">
    <w:abstractNumId w:val="0"/>
  </w:num>
  <w:num w:numId="6" w16cid:durableId="1034230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21"/>
    <w:rsid w:val="000010A5"/>
    <w:rsid w:val="00001ABD"/>
    <w:rsid w:val="0000367C"/>
    <w:rsid w:val="00004DB3"/>
    <w:rsid w:val="000053A1"/>
    <w:rsid w:val="0000665D"/>
    <w:rsid w:val="00010A99"/>
    <w:rsid w:val="00010C86"/>
    <w:rsid w:val="00012432"/>
    <w:rsid w:val="00013E93"/>
    <w:rsid w:val="00016302"/>
    <w:rsid w:val="00016357"/>
    <w:rsid w:val="000166EE"/>
    <w:rsid w:val="00017C4A"/>
    <w:rsid w:val="0002152B"/>
    <w:rsid w:val="00021846"/>
    <w:rsid w:val="000218E1"/>
    <w:rsid w:val="00021B66"/>
    <w:rsid w:val="00023458"/>
    <w:rsid w:val="00023BC5"/>
    <w:rsid w:val="00023ED9"/>
    <w:rsid w:val="00024726"/>
    <w:rsid w:val="0002477F"/>
    <w:rsid w:val="000250CA"/>
    <w:rsid w:val="0002568A"/>
    <w:rsid w:val="000273FB"/>
    <w:rsid w:val="00027FEE"/>
    <w:rsid w:val="00030E46"/>
    <w:rsid w:val="000310BF"/>
    <w:rsid w:val="000313B3"/>
    <w:rsid w:val="00031BC7"/>
    <w:rsid w:val="00032469"/>
    <w:rsid w:val="000360EB"/>
    <w:rsid w:val="000370BE"/>
    <w:rsid w:val="000376A7"/>
    <w:rsid w:val="00040608"/>
    <w:rsid w:val="0004062B"/>
    <w:rsid w:val="00047688"/>
    <w:rsid w:val="000477D8"/>
    <w:rsid w:val="00047883"/>
    <w:rsid w:val="00047D13"/>
    <w:rsid w:val="00050E33"/>
    <w:rsid w:val="000518DF"/>
    <w:rsid w:val="00054057"/>
    <w:rsid w:val="00055670"/>
    <w:rsid w:val="0005743E"/>
    <w:rsid w:val="00057A65"/>
    <w:rsid w:val="00057C43"/>
    <w:rsid w:val="0006089B"/>
    <w:rsid w:val="0006095B"/>
    <w:rsid w:val="000620F1"/>
    <w:rsid w:val="00062D58"/>
    <w:rsid w:val="000630F8"/>
    <w:rsid w:val="000709F8"/>
    <w:rsid w:val="00070A1C"/>
    <w:rsid w:val="00072815"/>
    <w:rsid w:val="0007355E"/>
    <w:rsid w:val="000735E0"/>
    <w:rsid w:val="00073EC0"/>
    <w:rsid w:val="00074647"/>
    <w:rsid w:val="00075260"/>
    <w:rsid w:val="00076D1C"/>
    <w:rsid w:val="00082B23"/>
    <w:rsid w:val="000852D9"/>
    <w:rsid w:val="000865AC"/>
    <w:rsid w:val="00087F79"/>
    <w:rsid w:val="00090A5E"/>
    <w:rsid w:val="00091523"/>
    <w:rsid w:val="0009206A"/>
    <w:rsid w:val="00092098"/>
    <w:rsid w:val="00092302"/>
    <w:rsid w:val="00093674"/>
    <w:rsid w:val="0009387C"/>
    <w:rsid w:val="0009440F"/>
    <w:rsid w:val="0009491D"/>
    <w:rsid w:val="00095267"/>
    <w:rsid w:val="00096E0A"/>
    <w:rsid w:val="000A1193"/>
    <w:rsid w:val="000A2363"/>
    <w:rsid w:val="000A547B"/>
    <w:rsid w:val="000A5D04"/>
    <w:rsid w:val="000A71CF"/>
    <w:rsid w:val="000A7696"/>
    <w:rsid w:val="000A787F"/>
    <w:rsid w:val="000A7B71"/>
    <w:rsid w:val="000B2D85"/>
    <w:rsid w:val="000B382B"/>
    <w:rsid w:val="000B433C"/>
    <w:rsid w:val="000B5076"/>
    <w:rsid w:val="000B7312"/>
    <w:rsid w:val="000C0D56"/>
    <w:rsid w:val="000C15EC"/>
    <w:rsid w:val="000C2244"/>
    <w:rsid w:val="000C2B58"/>
    <w:rsid w:val="000C31CE"/>
    <w:rsid w:val="000C3631"/>
    <w:rsid w:val="000C388D"/>
    <w:rsid w:val="000C50AE"/>
    <w:rsid w:val="000C7BF5"/>
    <w:rsid w:val="000D1357"/>
    <w:rsid w:val="000D2343"/>
    <w:rsid w:val="000D281F"/>
    <w:rsid w:val="000D2A44"/>
    <w:rsid w:val="000D3196"/>
    <w:rsid w:val="000D735D"/>
    <w:rsid w:val="000E0F97"/>
    <w:rsid w:val="000E2A27"/>
    <w:rsid w:val="000E3991"/>
    <w:rsid w:val="000E71D3"/>
    <w:rsid w:val="000E7AB9"/>
    <w:rsid w:val="000F0032"/>
    <w:rsid w:val="000F03A2"/>
    <w:rsid w:val="000F20D6"/>
    <w:rsid w:val="000F2469"/>
    <w:rsid w:val="000F2E96"/>
    <w:rsid w:val="000F3386"/>
    <w:rsid w:val="000F5FC6"/>
    <w:rsid w:val="000F6913"/>
    <w:rsid w:val="000F6D6E"/>
    <w:rsid w:val="000F7BEE"/>
    <w:rsid w:val="00100BC9"/>
    <w:rsid w:val="00101B8A"/>
    <w:rsid w:val="001035B2"/>
    <w:rsid w:val="0010370B"/>
    <w:rsid w:val="00105507"/>
    <w:rsid w:val="00111A45"/>
    <w:rsid w:val="00114271"/>
    <w:rsid w:val="00114A79"/>
    <w:rsid w:val="001251B5"/>
    <w:rsid w:val="00125230"/>
    <w:rsid w:val="00135573"/>
    <w:rsid w:val="00136D0E"/>
    <w:rsid w:val="00137640"/>
    <w:rsid w:val="00141A88"/>
    <w:rsid w:val="00141AA0"/>
    <w:rsid w:val="00142094"/>
    <w:rsid w:val="001446C4"/>
    <w:rsid w:val="0014518C"/>
    <w:rsid w:val="001463C0"/>
    <w:rsid w:val="001517FA"/>
    <w:rsid w:val="00152025"/>
    <w:rsid w:val="00154A91"/>
    <w:rsid w:val="001553D9"/>
    <w:rsid w:val="00155905"/>
    <w:rsid w:val="00155D0E"/>
    <w:rsid w:val="00157426"/>
    <w:rsid w:val="00160303"/>
    <w:rsid w:val="001611C9"/>
    <w:rsid w:val="00161E4B"/>
    <w:rsid w:val="0016284F"/>
    <w:rsid w:val="00162E24"/>
    <w:rsid w:val="00162FAC"/>
    <w:rsid w:val="00163650"/>
    <w:rsid w:val="00163CD6"/>
    <w:rsid w:val="00166376"/>
    <w:rsid w:val="001663D3"/>
    <w:rsid w:val="00170558"/>
    <w:rsid w:val="00171B7E"/>
    <w:rsid w:val="001728CB"/>
    <w:rsid w:val="001728CE"/>
    <w:rsid w:val="001731DA"/>
    <w:rsid w:val="0017408B"/>
    <w:rsid w:val="0017491D"/>
    <w:rsid w:val="00174F7B"/>
    <w:rsid w:val="0017514F"/>
    <w:rsid w:val="00176F29"/>
    <w:rsid w:val="001803C4"/>
    <w:rsid w:val="00180D5C"/>
    <w:rsid w:val="001861EF"/>
    <w:rsid w:val="001863DF"/>
    <w:rsid w:val="00186BF3"/>
    <w:rsid w:val="00187063"/>
    <w:rsid w:val="00187E02"/>
    <w:rsid w:val="00192163"/>
    <w:rsid w:val="0019277C"/>
    <w:rsid w:val="0019344C"/>
    <w:rsid w:val="00194AFD"/>
    <w:rsid w:val="00195093"/>
    <w:rsid w:val="00195E1D"/>
    <w:rsid w:val="00196BE6"/>
    <w:rsid w:val="00196C30"/>
    <w:rsid w:val="001A132B"/>
    <w:rsid w:val="001A24FC"/>
    <w:rsid w:val="001A2E0A"/>
    <w:rsid w:val="001A3281"/>
    <w:rsid w:val="001A7B22"/>
    <w:rsid w:val="001B10DD"/>
    <w:rsid w:val="001B1361"/>
    <w:rsid w:val="001B2337"/>
    <w:rsid w:val="001B26EA"/>
    <w:rsid w:val="001B3703"/>
    <w:rsid w:val="001B683C"/>
    <w:rsid w:val="001B72AD"/>
    <w:rsid w:val="001B7718"/>
    <w:rsid w:val="001C0638"/>
    <w:rsid w:val="001C0A54"/>
    <w:rsid w:val="001C0E6A"/>
    <w:rsid w:val="001C1AF7"/>
    <w:rsid w:val="001C2611"/>
    <w:rsid w:val="001C412F"/>
    <w:rsid w:val="001C5107"/>
    <w:rsid w:val="001C5549"/>
    <w:rsid w:val="001C668F"/>
    <w:rsid w:val="001D33EF"/>
    <w:rsid w:val="001D3571"/>
    <w:rsid w:val="001D37C7"/>
    <w:rsid w:val="001D4DCF"/>
    <w:rsid w:val="001D538D"/>
    <w:rsid w:val="001D5AEB"/>
    <w:rsid w:val="001D5EEC"/>
    <w:rsid w:val="001E00F2"/>
    <w:rsid w:val="001E0AD3"/>
    <w:rsid w:val="001E2C0C"/>
    <w:rsid w:val="001E2C74"/>
    <w:rsid w:val="001E45E3"/>
    <w:rsid w:val="001E5C01"/>
    <w:rsid w:val="001E5D9F"/>
    <w:rsid w:val="001E6504"/>
    <w:rsid w:val="001E69DB"/>
    <w:rsid w:val="001E723D"/>
    <w:rsid w:val="001E7386"/>
    <w:rsid w:val="001E7E53"/>
    <w:rsid w:val="001F0605"/>
    <w:rsid w:val="001F1A54"/>
    <w:rsid w:val="001F369C"/>
    <w:rsid w:val="001F43D0"/>
    <w:rsid w:val="001F4831"/>
    <w:rsid w:val="0020073D"/>
    <w:rsid w:val="00200A2D"/>
    <w:rsid w:val="00200CEC"/>
    <w:rsid w:val="00201688"/>
    <w:rsid w:val="0020203F"/>
    <w:rsid w:val="002021AB"/>
    <w:rsid w:val="00203B60"/>
    <w:rsid w:val="00204358"/>
    <w:rsid w:val="00204888"/>
    <w:rsid w:val="00204FB9"/>
    <w:rsid w:val="002067DB"/>
    <w:rsid w:val="00207B65"/>
    <w:rsid w:val="00212260"/>
    <w:rsid w:val="00212972"/>
    <w:rsid w:val="0021307F"/>
    <w:rsid w:val="00213BE1"/>
    <w:rsid w:val="002142A3"/>
    <w:rsid w:val="002159F0"/>
    <w:rsid w:val="00215EBD"/>
    <w:rsid w:val="00215FA4"/>
    <w:rsid w:val="00217632"/>
    <w:rsid w:val="00220D86"/>
    <w:rsid w:val="00220DCA"/>
    <w:rsid w:val="002211F1"/>
    <w:rsid w:val="00222EBC"/>
    <w:rsid w:val="0022456C"/>
    <w:rsid w:val="00224CE9"/>
    <w:rsid w:val="00225869"/>
    <w:rsid w:val="00225885"/>
    <w:rsid w:val="00225A4B"/>
    <w:rsid w:val="00225E43"/>
    <w:rsid w:val="002270F4"/>
    <w:rsid w:val="0022723F"/>
    <w:rsid w:val="00227FF2"/>
    <w:rsid w:val="00230C91"/>
    <w:rsid w:val="0023165C"/>
    <w:rsid w:val="00232FED"/>
    <w:rsid w:val="00233300"/>
    <w:rsid w:val="00233AEC"/>
    <w:rsid w:val="00233ED9"/>
    <w:rsid w:val="00234582"/>
    <w:rsid w:val="00234935"/>
    <w:rsid w:val="002352C4"/>
    <w:rsid w:val="002358CF"/>
    <w:rsid w:val="002369DD"/>
    <w:rsid w:val="00237858"/>
    <w:rsid w:val="00240019"/>
    <w:rsid w:val="00241331"/>
    <w:rsid w:val="00241C54"/>
    <w:rsid w:val="00242F5E"/>
    <w:rsid w:val="00243C59"/>
    <w:rsid w:val="00244854"/>
    <w:rsid w:val="00244F20"/>
    <w:rsid w:val="002450A9"/>
    <w:rsid w:val="00245212"/>
    <w:rsid w:val="002465B9"/>
    <w:rsid w:val="00246927"/>
    <w:rsid w:val="00247B5E"/>
    <w:rsid w:val="002507CE"/>
    <w:rsid w:val="0025108B"/>
    <w:rsid w:val="002523C2"/>
    <w:rsid w:val="0025347C"/>
    <w:rsid w:val="002543B0"/>
    <w:rsid w:val="002564E4"/>
    <w:rsid w:val="0025704F"/>
    <w:rsid w:val="002573A1"/>
    <w:rsid w:val="002601F1"/>
    <w:rsid w:val="00261369"/>
    <w:rsid w:val="00261841"/>
    <w:rsid w:val="00261DCF"/>
    <w:rsid w:val="002623E6"/>
    <w:rsid w:val="00262C9A"/>
    <w:rsid w:val="00263074"/>
    <w:rsid w:val="00263BA3"/>
    <w:rsid w:val="0026421A"/>
    <w:rsid w:val="00265AA0"/>
    <w:rsid w:val="00266391"/>
    <w:rsid w:val="00267024"/>
    <w:rsid w:val="0027034A"/>
    <w:rsid w:val="00272AE3"/>
    <w:rsid w:val="00272D22"/>
    <w:rsid w:val="00274169"/>
    <w:rsid w:val="00274211"/>
    <w:rsid w:val="00276732"/>
    <w:rsid w:val="00280564"/>
    <w:rsid w:val="0028071D"/>
    <w:rsid w:val="00280897"/>
    <w:rsid w:val="00281232"/>
    <w:rsid w:val="0028225C"/>
    <w:rsid w:val="002840BD"/>
    <w:rsid w:val="0028486C"/>
    <w:rsid w:val="00285E69"/>
    <w:rsid w:val="002874D7"/>
    <w:rsid w:val="002901A1"/>
    <w:rsid w:val="00290B9D"/>
    <w:rsid w:val="00292617"/>
    <w:rsid w:val="00292FE4"/>
    <w:rsid w:val="002953FF"/>
    <w:rsid w:val="002962DE"/>
    <w:rsid w:val="002A198B"/>
    <w:rsid w:val="002A2006"/>
    <w:rsid w:val="002A3058"/>
    <w:rsid w:val="002A39F0"/>
    <w:rsid w:val="002A4A7C"/>
    <w:rsid w:val="002A62D3"/>
    <w:rsid w:val="002A7C82"/>
    <w:rsid w:val="002B01A4"/>
    <w:rsid w:val="002B09A2"/>
    <w:rsid w:val="002B1ED1"/>
    <w:rsid w:val="002B31E3"/>
    <w:rsid w:val="002B5557"/>
    <w:rsid w:val="002B596F"/>
    <w:rsid w:val="002B6472"/>
    <w:rsid w:val="002B64E4"/>
    <w:rsid w:val="002B66D3"/>
    <w:rsid w:val="002B6B76"/>
    <w:rsid w:val="002B6D76"/>
    <w:rsid w:val="002B7D6C"/>
    <w:rsid w:val="002C09A4"/>
    <w:rsid w:val="002C0E92"/>
    <w:rsid w:val="002C2396"/>
    <w:rsid w:val="002C2864"/>
    <w:rsid w:val="002C350A"/>
    <w:rsid w:val="002C3B17"/>
    <w:rsid w:val="002C4B07"/>
    <w:rsid w:val="002C539F"/>
    <w:rsid w:val="002C581D"/>
    <w:rsid w:val="002C5A5A"/>
    <w:rsid w:val="002C7204"/>
    <w:rsid w:val="002C7EFB"/>
    <w:rsid w:val="002D0889"/>
    <w:rsid w:val="002D08BF"/>
    <w:rsid w:val="002D08D4"/>
    <w:rsid w:val="002D09CA"/>
    <w:rsid w:val="002D1AA7"/>
    <w:rsid w:val="002D2599"/>
    <w:rsid w:val="002D41D7"/>
    <w:rsid w:val="002D5D4F"/>
    <w:rsid w:val="002D6E65"/>
    <w:rsid w:val="002E0492"/>
    <w:rsid w:val="002E0729"/>
    <w:rsid w:val="002E2595"/>
    <w:rsid w:val="002E4898"/>
    <w:rsid w:val="002E558D"/>
    <w:rsid w:val="002E63BC"/>
    <w:rsid w:val="002E6E28"/>
    <w:rsid w:val="002F01AA"/>
    <w:rsid w:val="002F1004"/>
    <w:rsid w:val="002F283E"/>
    <w:rsid w:val="002F3090"/>
    <w:rsid w:val="002F34AD"/>
    <w:rsid w:val="002F454C"/>
    <w:rsid w:val="002F5134"/>
    <w:rsid w:val="002F52BC"/>
    <w:rsid w:val="002F5365"/>
    <w:rsid w:val="002F7881"/>
    <w:rsid w:val="002F7ED0"/>
    <w:rsid w:val="00300BA1"/>
    <w:rsid w:val="00301671"/>
    <w:rsid w:val="00302BFF"/>
    <w:rsid w:val="0030505D"/>
    <w:rsid w:val="00305B6E"/>
    <w:rsid w:val="00306111"/>
    <w:rsid w:val="00313542"/>
    <w:rsid w:val="00316B43"/>
    <w:rsid w:val="00317B3C"/>
    <w:rsid w:val="0032166A"/>
    <w:rsid w:val="003229F1"/>
    <w:rsid w:val="0032329E"/>
    <w:rsid w:val="0032405D"/>
    <w:rsid w:val="0032423A"/>
    <w:rsid w:val="00324B59"/>
    <w:rsid w:val="00324F47"/>
    <w:rsid w:val="00327067"/>
    <w:rsid w:val="003270F6"/>
    <w:rsid w:val="00327360"/>
    <w:rsid w:val="00327ACA"/>
    <w:rsid w:val="0033143B"/>
    <w:rsid w:val="003314DA"/>
    <w:rsid w:val="00331F30"/>
    <w:rsid w:val="00332517"/>
    <w:rsid w:val="00332D05"/>
    <w:rsid w:val="003336FB"/>
    <w:rsid w:val="00333825"/>
    <w:rsid w:val="0033516A"/>
    <w:rsid w:val="003357D8"/>
    <w:rsid w:val="00335BBD"/>
    <w:rsid w:val="00336CE8"/>
    <w:rsid w:val="00337282"/>
    <w:rsid w:val="003406BF"/>
    <w:rsid w:val="003406FD"/>
    <w:rsid w:val="003412C4"/>
    <w:rsid w:val="00341666"/>
    <w:rsid w:val="00341867"/>
    <w:rsid w:val="00341FFA"/>
    <w:rsid w:val="00342F38"/>
    <w:rsid w:val="0034372D"/>
    <w:rsid w:val="00343B48"/>
    <w:rsid w:val="003441E5"/>
    <w:rsid w:val="00345550"/>
    <w:rsid w:val="0034603E"/>
    <w:rsid w:val="00346DCC"/>
    <w:rsid w:val="00347460"/>
    <w:rsid w:val="00347A81"/>
    <w:rsid w:val="003508A0"/>
    <w:rsid w:val="00350F12"/>
    <w:rsid w:val="00351153"/>
    <w:rsid w:val="0035131A"/>
    <w:rsid w:val="00351D89"/>
    <w:rsid w:val="00351DC8"/>
    <w:rsid w:val="00354383"/>
    <w:rsid w:val="00355E03"/>
    <w:rsid w:val="003610FC"/>
    <w:rsid w:val="00361581"/>
    <w:rsid w:val="003615D6"/>
    <w:rsid w:val="003629C6"/>
    <w:rsid w:val="00362E3A"/>
    <w:rsid w:val="00363773"/>
    <w:rsid w:val="00363892"/>
    <w:rsid w:val="003640F9"/>
    <w:rsid w:val="003644A7"/>
    <w:rsid w:val="00366E9F"/>
    <w:rsid w:val="00367EF3"/>
    <w:rsid w:val="003709D9"/>
    <w:rsid w:val="00370CCA"/>
    <w:rsid w:val="00371BD0"/>
    <w:rsid w:val="00371EC4"/>
    <w:rsid w:val="003727BC"/>
    <w:rsid w:val="00375870"/>
    <w:rsid w:val="00377FB1"/>
    <w:rsid w:val="00380566"/>
    <w:rsid w:val="003829C6"/>
    <w:rsid w:val="003829F3"/>
    <w:rsid w:val="00382D55"/>
    <w:rsid w:val="00383051"/>
    <w:rsid w:val="003914EF"/>
    <w:rsid w:val="00392842"/>
    <w:rsid w:val="00392F65"/>
    <w:rsid w:val="00394584"/>
    <w:rsid w:val="00395242"/>
    <w:rsid w:val="00395EF1"/>
    <w:rsid w:val="003964B6"/>
    <w:rsid w:val="003A163A"/>
    <w:rsid w:val="003A1A0A"/>
    <w:rsid w:val="003A3350"/>
    <w:rsid w:val="003A3434"/>
    <w:rsid w:val="003A394A"/>
    <w:rsid w:val="003A3D95"/>
    <w:rsid w:val="003A4746"/>
    <w:rsid w:val="003A4C26"/>
    <w:rsid w:val="003A55B8"/>
    <w:rsid w:val="003A5855"/>
    <w:rsid w:val="003A5A84"/>
    <w:rsid w:val="003A7A4A"/>
    <w:rsid w:val="003B051D"/>
    <w:rsid w:val="003B0F3F"/>
    <w:rsid w:val="003B11B2"/>
    <w:rsid w:val="003B36F9"/>
    <w:rsid w:val="003B3BD8"/>
    <w:rsid w:val="003B4276"/>
    <w:rsid w:val="003B4338"/>
    <w:rsid w:val="003B46C0"/>
    <w:rsid w:val="003B4896"/>
    <w:rsid w:val="003B4C26"/>
    <w:rsid w:val="003B4C6C"/>
    <w:rsid w:val="003B5A9C"/>
    <w:rsid w:val="003B6C99"/>
    <w:rsid w:val="003B735C"/>
    <w:rsid w:val="003B759F"/>
    <w:rsid w:val="003C0197"/>
    <w:rsid w:val="003C091C"/>
    <w:rsid w:val="003C1553"/>
    <w:rsid w:val="003C1695"/>
    <w:rsid w:val="003C221A"/>
    <w:rsid w:val="003C3100"/>
    <w:rsid w:val="003C39EC"/>
    <w:rsid w:val="003C470D"/>
    <w:rsid w:val="003C5086"/>
    <w:rsid w:val="003C6739"/>
    <w:rsid w:val="003C6F1A"/>
    <w:rsid w:val="003D126C"/>
    <w:rsid w:val="003D173D"/>
    <w:rsid w:val="003D193B"/>
    <w:rsid w:val="003D2CEC"/>
    <w:rsid w:val="003D3A3E"/>
    <w:rsid w:val="003D4B90"/>
    <w:rsid w:val="003D4FAF"/>
    <w:rsid w:val="003D680B"/>
    <w:rsid w:val="003D6CD8"/>
    <w:rsid w:val="003E0C0C"/>
    <w:rsid w:val="003E10EC"/>
    <w:rsid w:val="003E452A"/>
    <w:rsid w:val="003E4EB5"/>
    <w:rsid w:val="003E5E99"/>
    <w:rsid w:val="003E5EC7"/>
    <w:rsid w:val="003E6469"/>
    <w:rsid w:val="003E6FC3"/>
    <w:rsid w:val="003E7895"/>
    <w:rsid w:val="003E7E10"/>
    <w:rsid w:val="003F05C9"/>
    <w:rsid w:val="003F060F"/>
    <w:rsid w:val="003F2923"/>
    <w:rsid w:val="003F2C98"/>
    <w:rsid w:val="003F5AE8"/>
    <w:rsid w:val="003F6230"/>
    <w:rsid w:val="003F6293"/>
    <w:rsid w:val="003F677D"/>
    <w:rsid w:val="003F7168"/>
    <w:rsid w:val="00401EAC"/>
    <w:rsid w:val="00402766"/>
    <w:rsid w:val="004036EF"/>
    <w:rsid w:val="0040389A"/>
    <w:rsid w:val="00403C86"/>
    <w:rsid w:val="00403FCD"/>
    <w:rsid w:val="00404741"/>
    <w:rsid w:val="00404963"/>
    <w:rsid w:val="0040508C"/>
    <w:rsid w:val="00410FD2"/>
    <w:rsid w:val="00412537"/>
    <w:rsid w:val="00412844"/>
    <w:rsid w:val="00412A1E"/>
    <w:rsid w:val="00413DF3"/>
    <w:rsid w:val="00415315"/>
    <w:rsid w:val="00416A4A"/>
    <w:rsid w:val="00416BE6"/>
    <w:rsid w:val="00416DFE"/>
    <w:rsid w:val="004172AC"/>
    <w:rsid w:val="00417BF0"/>
    <w:rsid w:val="00417D60"/>
    <w:rsid w:val="004209CB"/>
    <w:rsid w:val="00423747"/>
    <w:rsid w:val="004246C3"/>
    <w:rsid w:val="0042527A"/>
    <w:rsid w:val="00427EF9"/>
    <w:rsid w:val="004303C2"/>
    <w:rsid w:val="004308EA"/>
    <w:rsid w:val="00431CAE"/>
    <w:rsid w:val="0043524D"/>
    <w:rsid w:val="004358C1"/>
    <w:rsid w:val="004374FE"/>
    <w:rsid w:val="00437A4A"/>
    <w:rsid w:val="0044280C"/>
    <w:rsid w:val="004433CE"/>
    <w:rsid w:val="0044422E"/>
    <w:rsid w:val="0044492C"/>
    <w:rsid w:val="004461F7"/>
    <w:rsid w:val="004466BB"/>
    <w:rsid w:val="00446D0B"/>
    <w:rsid w:val="00446F19"/>
    <w:rsid w:val="00450032"/>
    <w:rsid w:val="00452BE4"/>
    <w:rsid w:val="004536D2"/>
    <w:rsid w:val="00453EE5"/>
    <w:rsid w:val="00455409"/>
    <w:rsid w:val="004556B1"/>
    <w:rsid w:val="0045593C"/>
    <w:rsid w:val="00457BBC"/>
    <w:rsid w:val="00460002"/>
    <w:rsid w:val="0046029A"/>
    <w:rsid w:val="004602EF"/>
    <w:rsid w:val="00460535"/>
    <w:rsid w:val="004614EB"/>
    <w:rsid w:val="004631BE"/>
    <w:rsid w:val="004631E1"/>
    <w:rsid w:val="0046385B"/>
    <w:rsid w:val="004638FF"/>
    <w:rsid w:val="004648F9"/>
    <w:rsid w:val="0047023D"/>
    <w:rsid w:val="004703FF"/>
    <w:rsid w:val="00470F60"/>
    <w:rsid w:val="004727EC"/>
    <w:rsid w:val="0047290F"/>
    <w:rsid w:val="00475434"/>
    <w:rsid w:val="00476E92"/>
    <w:rsid w:val="0047744D"/>
    <w:rsid w:val="00477F1E"/>
    <w:rsid w:val="00480B19"/>
    <w:rsid w:val="00480DE4"/>
    <w:rsid w:val="00484956"/>
    <w:rsid w:val="00485524"/>
    <w:rsid w:val="0048568C"/>
    <w:rsid w:val="00485C4D"/>
    <w:rsid w:val="004869C8"/>
    <w:rsid w:val="00486C4F"/>
    <w:rsid w:val="004874A5"/>
    <w:rsid w:val="00487AA7"/>
    <w:rsid w:val="00487E1B"/>
    <w:rsid w:val="00491D98"/>
    <w:rsid w:val="004927DF"/>
    <w:rsid w:val="0049313E"/>
    <w:rsid w:val="004936DE"/>
    <w:rsid w:val="00494D76"/>
    <w:rsid w:val="004963DA"/>
    <w:rsid w:val="00496A45"/>
    <w:rsid w:val="004975E8"/>
    <w:rsid w:val="004A00AA"/>
    <w:rsid w:val="004A137E"/>
    <w:rsid w:val="004A3E39"/>
    <w:rsid w:val="004A5EB3"/>
    <w:rsid w:val="004A7374"/>
    <w:rsid w:val="004A7549"/>
    <w:rsid w:val="004A78E1"/>
    <w:rsid w:val="004B0BFA"/>
    <w:rsid w:val="004B2049"/>
    <w:rsid w:val="004B367C"/>
    <w:rsid w:val="004B3CF0"/>
    <w:rsid w:val="004B53DD"/>
    <w:rsid w:val="004B572B"/>
    <w:rsid w:val="004B5755"/>
    <w:rsid w:val="004B6793"/>
    <w:rsid w:val="004B73C1"/>
    <w:rsid w:val="004B79F1"/>
    <w:rsid w:val="004C0037"/>
    <w:rsid w:val="004C0A20"/>
    <w:rsid w:val="004C0FCE"/>
    <w:rsid w:val="004C1F8B"/>
    <w:rsid w:val="004C250D"/>
    <w:rsid w:val="004C3AF2"/>
    <w:rsid w:val="004C3E2D"/>
    <w:rsid w:val="004C5B65"/>
    <w:rsid w:val="004C75A8"/>
    <w:rsid w:val="004C763D"/>
    <w:rsid w:val="004D1221"/>
    <w:rsid w:val="004D12DA"/>
    <w:rsid w:val="004D2B03"/>
    <w:rsid w:val="004D2C1F"/>
    <w:rsid w:val="004D2EE7"/>
    <w:rsid w:val="004D568C"/>
    <w:rsid w:val="004D614A"/>
    <w:rsid w:val="004E0BC2"/>
    <w:rsid w:val="004E116C"/>
    <w:rsid w:val="004E468F"/>
    <w:rsid w:val="004E4836"/>
    <w:rsid w:val="004E736B"/>
    <w:rsid w:val="004E78D0"/>
    <w:rsid w:val="004E7ED5"/>
    <w:rsid w:val="004E7FA9"/>
    <w:rsid w:val="004F20F5"/>
    <w:rsid w:val="004F29D7"/>
    <w:rsid w:val="004F2B4D"/>
    <w:rsid w:val="004F66BF"/>
    <w:rsid w:val="005001E6"/>
    <w:rsid w:val="00501233"/>
    <w:rsid w:val="00502F5F"/>
    <w:rsid w:val="005032B0"/>
    <w:rsid w:val="00504CBE"/>
    <w:rsid w:val="005050C9"/>
    <w:rsid w:val="0050597C"/>
    <w:rsid w:val="00505DEF"/>
    <w:rsid w:val="005105FD"/>
    <w:rsid w:val="005111A6"/>
    <w:rsid w:val="00511E36"/>
    <w:rsid w:val="00512B13"/>
    <w:rsid w:val="005133F3"/>
    <w:rsid w:val="00514FCF"/>
    <w:rsid w:val="00515C05"/>
    <w:rsid w:val="00516657"/>
    <w:rsid w:val="00516B60"/>
    <w:rsid w:val="00516E04"/>
    <w:rsid w:val="00520E68"/>
    <w:rsid w:val="00521C99"/>
    <w:rsid w:val="00521ECD"/>
    <w:rsid w:val="005224D3"/>
    <w:rsid w:val="00522A4C"/>
    <w:rsid w:val="00523FA0"/>
    <w:rsid w:val="00524FD3"/>
    <w:rsid w:val="005251E0"/>
    <w:rsid w:val="00525352"/>
    <w:rsid w:val="00525D60"/>
    <w:rsid w:val="00527B52"/>
    <w:rsid w:val="00530C1E"/>
    <w:rsid w:val="005316F3"/>
    <w:rsid w:val="00531BAC"/>
    <w:rsid w:val="0053217A"/>
    <w:rsid w:val="00532276"/>
    <w:rsid w:val="005325F3"/>
    <w:rsid w:val="00532BAB"/>
    <w:rsid w:val="00533B74"/>
    <w:rsid w:val="00534423"/>
    <w:rsid w:val="005357DB"/>
    <w:rsid w:val="0053602D"/>
    <w:rsid w:val="00536606"/>
    <w:rsid w:val="00536691"/>
    <w:rsid w:val="005367B6"/>
    <w:rsid w:val="00542624"/>
    <w:rsid w:val="00542F38"/>
    <w:rsid w:val="005449E3"/>
    <w:rsid w:val="00546E59"/>
    <w:rsid w:val="00547776"/>
    <w:rsid w:val="00550298"/>
    <w:rsid w:val="005513A8"/>
    <w:rsid w:val="0055166D"/>
    <w:rsid w:val="005530B7"/>
    <w:rsid w:val="00555CD9"/>
    <w:rsid w:val="00561C6A"/>
    <w:rsid w:val="0056229B"/>
    <w:rsid w:val="005636B9"/>
    <w:rsid w:val="0056633A"/>
    <w:rsid w:val="00570135"/>
    <w:rsid w:val="005708DD"/>
    <w:rsid w:val="00570AD0"/>
    <w:rsid w:val="00571779"/>
    <w:rsid w:val="00571EAC"/>
    <w:rsid w:val="0057216E"/>
    <w:rsid w:val="00572844"/>
    <w:rsid w:val="00574AFF"/>
    <w:rsid w:val="00574B44"/>
    <w:rsid w:val="00574C8B"/>
    <w:rsid w:val="00576854"/>
    <w:rsid w:val="00580117"/>
    <w:rsid w:val="0058135D"/>
    <w:rsid w:val="00581554"/>
    <w:rsid w:val="00581C0E"/>
    <w:rsid w:val="00581DE6"/>
    <w:rsid w:val="0058246D"/>
    <w:rsid w:val="005832E8"/>
    <w:rsid w:val="005834BD"/>
    <w:rsid w:val="0058624D"/>
    <w:rsid w:val="00586721"/>
    <w:rsid w:val="005905FC"/>
    <w:rsid w:val="00590BF8"/>
    <w:rsid w:val="00592FD6"/>
    <w:rsid w:val="00596A9C"/>
    <w:rsid w:val="005A021E"/>
    <w:rsid w:val="005A06EE"/>
    <w:rsid w:val="005A07EE"/>
    <w:rsid w:val="005A50DE"/>
    <w:rsid w:val="005A5E06"/>
    <w:rsid w:val="005A6A1D"/>
    <w:rsid w:val="005A7371"/>
    <w:rsid w:val="005B0477"/>
    <w:rsid w:val="005B4B16"/>
    <w:rsid w:val="005B4B1E"/>
    <w:rsid w:val="005B4C14"/>
    <w:rsid w:val="005B53EB"/>
    <w:rsid w:val="005B64CA"/>
    <w:rsid w:val="005B6533"/>
    <w:rsid w:val="005B708A"/>
    <w:rsid w:val="005C1A5A"/>
    <w:rsid w:val="005C1FF9"/>
    <w:rsid w:val="005C20AB"/>
    <w:rsid w:val="005C22F0"/>
    <w:rsid w:val="005C2488"/>
    <w:rsid w:val="005C3288"/>
    <w:rsid w:val="005C3E2E"/>
    <w:rsid w:val="005C4AA0"/>
    <w:rsid w:val="005C50B4"/>
    <w:rsid w:val="005C56B6"/>
    <w:rsid w:val="005C6718"/>
    <w:rsid w:val="005C6A3C"/>
    <w:rsid w:val="005C73FA"/>
    <w:rsid w:val="005D095C"/>
    <w:rsid w:val="005D10D1"/>
    <w:rsid w:val="005D1169"/>
    <w:rsid w:val="005D52B2"/>
    <w:rsid w:val="005D6601"/>
    <w:rsid w:val="005D6E25"/>
    <w:rsid w:val="005E147E"/>
    <w:rsid w:val="005E16F6"/>
    <w:rsid w:val="005E20B4"/>
    <w:rsid w:val="005E3FCE"/>
    <w:rsid w:val="005E40E4"/>
    <w:rsid w:val="005E4352"/>
    <w:rsid w:val="005E4900"/>
    <w:rsid w:val="005E5339"/>
    <w:rsid w:val="005E55C0"/>
    <w:rsid w:val="005E5844"/>
    <w:rsid w:val="005E699F"/>
    <w:rsid w:val="005E7B1E"/>
    <w:rsid w:val="005F082E"/>
    <w:rsid w:val="005F2715"/>
    <w:rsid w:val="005F3485"/>
    <w:rsid w:val="005F3EDD"/>
    <w:rsid w:val="005F4282"/>
    <w:rsid w:val="005F5107"/>
    <w:rsid w:val="005F57D0"/>
    <w:rsid w:val="005F67C6"/>
    <w:rsid w:val="005F69EA"/>
    <w:rsid w:val="0060047F"/>
    <w:rsid w:val="00600F3D"/>
    <w:rsid w:val="0060159F"/>
    <w:rsid w:val="00603B3A"/>
    <w:rsid w:val="00603D09"/>
    <w:rsid w:val="00603FD8"/>
    <w:rsid w:val="0060539B"/>
    <w:rsid w:val="00605E6D"/>
    <w:rsid w:val="00605F4C"/>
    <w:rsid w:val="0060605B"/>
    <w:rsid w:val="006076A1"/>
    <w:rsid w:val="00607EFF"/>
    <w:rsid w:val="006103E5"/>
    <w:rsid w:val="0061125A"/>
    <w:rsid w:val="00612404"/>
    <w:rsid w:val="006143E7"/>
    <w:rsid w:val="0061536F"/>
    <w:rsid w:val="00615595"/>
    <w:rsid w:val="0061657E"/>
    <w:rsid w:val="0061679C"/>
    <w:rsid w:val="00620E39"/>
    <w:rsid w:val="006217A5"/>
    <w:rsid w:val="00621D59"/>
    <w:rsid w:val="00623187"/>
    <w:rsid w:val="00623712"/>
    <w:rsid w:val="0062538D"/>
    <w:rsid w:val="0062544D"/>
    <w:rsid w:val="00625E70"/>
    <w:rsid w:val="00632A65"/>
    <w:rsid w:val="00635BB5"/>
    <w:rsid w:val="00636052"/>
    <w:rsid w:val="00637E3E"/>
    <w:rsid w:val="00640CAF"/>
    <w:rsid w:val="00640CEC"/>
    <w:rsid w:val="0064243F"/>
    <w:rsid w:val="00642BA6"/>
    <w:rsid w:val="0064526C"/>
    <w:rsid w:val="00646720"/>
    <w:rsid w:val="00647C24"/>
    <w:rsid w:val="00651169"/>
    <w:rsid w:val="00651A76"/>
    <w:rsid w:val="006534B6"/>
    <w:rsid w:val="00656977"/>
    <w:rsid w:val="00657B07"/>
    <w:rsid w:val="00660B4E"/>
    <w:rsid w:val="006612B9"/>
    <w:rsid w:val="0066232C"/>
    <w:rsid w:val="006630DC"/>
    <w:rsid w:val="00663655"/>
    <w:rsid w:val="006654E6"/>
    <w:rsid w:val="006707B7"/>
    <w:rsid w:val="00672574"/>
    <w:rsid w:val="00674606"/>
    <w:rsid w:val="00674727"/>
    <w:rsid w:val="00674B1B"/>
    <w:rsid w:val="0067516F"/>
    <w:rsid w:val="0067582E"/>
    <w:rsid w:val="00675FA7"/>
    <w:rsid w:val="0067602D"/>
    <w:rsid w:val="006764E5"/>
    <w:rsid w:val="006765E4"/>
    <w:rsid w:val="0067699D"/>
    <w:rsid w:val="00676E78"/>
    <w:rsid w:val="00677873"/>
    <w:rsid w:val="00683DFC"/>
    <w:rsid w:val="00683EA6"/>
    <w:rsid w:val="00684CCA"/>
    <w:rsid w:val="00684EED"/>
    <w:rsid w:val="00686476"/>
    <w:rsid w:val="0068686A"/>
    <w:rsid w:val="00691626"/>
    <w:rsid w:val="006916D7"/>
    <w:rsid w:val="00691A65"/>
    <w:rsid w:val="006937C5"/>
    <w:rsid w:val="00693A02"/>
    <w:rsid w:val="00693E27"/>
    <w:rsid w:val="006A057B"/>
    <w:rsid w:val="006A07A9"/>
    <w:rsid w:val="006A098F"/>
    <w:rsid w:val="006A0C2A"/>
    <w:rsid w:val="006A11C0"/>
    <w:rsid w:val="006A1DB3"/>
    <w:rsid w:val="006A1E01"/>
    <w:rsid w:val="006A2273"/>
    <w:rsid w:val="006A2402"/>
    <w:rsid w:val="006A3722"/>
    <w:rsid w:val="006A3B04"/>
    <w:rsid w:val="006A3F52"/>
    <w:rsid w:val="006A57F2"/>
    <w:rsid w:val="006A58BF"/>
    <w:rsid w:val="006A742D"/>
    <w:rsid w:val="006B2756"/>
    <w:rsid w:val="006B41E8"/>
    <w:rsid w:val="006B4646"/>
    <w:rsid w:val="006B5790"/>
    <w:rsid w:val="006B58E3"/>
    <w:rsid w:val="006B6C92"/>
    <w:rsid w:val="006B7704"/>
    <w:rsid w:val="006C03DF"/>
    <w:rsid w:val="006C2FB0"/>
    <w:rsid w:val="006C42C6"/>
    <w:rsid w:val="006C4921"/>
    <w:rsid w:val="006C4A41"/>
    <w:rsid w:val="006C52BC"/>
    <w:rsid w:val="006C56F4"/>
    <w:rsid w:val="006C7CD2"/>
    <w:rsid w:val="006D07F4"/>
    <w:rsid w:val="006D1CF5"/>
    <w:rsid w:val="006D50C5"/>
    <w:rsid w:val="006D5AFD"/>
    <w:rsid w:val="006D7130"/>
    <w:rsid w:val="006D77FE"/>
    <w:rsid w:val="006E0946"/>
    <w:rsid w:val="006E166E"/>
    <w:rsid w:val="006E215A"/>
    <w:rsid w:val="006E2BC5"/>
    <w:rsid w:val="006E49F5"/>
    <w:rsid w:val="006E51FC"/>
    <w:rsid w:val="006E520E"/>
    <w:rsid w:val="006F1709"/>
    <w:rsid w:val="006F2586"/>
    <w:rsid w:val="006F2ABE"/>
    <w:rsid w:val="006F3C34"/>
    <w:rsid w:val="006F49E1"/>
    <w:rsid w:val="006F5D8B"/>
    <w:rsid w:val="006F6845"/>
    <w:rsid w:val="006F74B0"/>
    <w:rsid w:val="006F770B"/>
    <w:rsid w:val="0070144F"/>
    <w:rsid w:val="00701B05"/>
    <w:rsid w:val="007045C1"/>
    <w:rsid w:val="0070649B"/>
    <w:rsid w:val="007075DF"/>
    <w:rsid w:val="00710089"/>
    <w:rsid w:val="007126A5"/>
    <w:rsid w:val="0071442C"/>
    <w:rsid w:val="0071455A"/>
    <w:rsid w:val="00714619"/>
    <w:rsid w:val="00716DC9"/>
    <w:rsid w:val="007173EA"/>
    <w:rsid w:val="00720B6B"/>
    <w:rsid w:val="007221C6"/>
    <w:rsid w:val="00722491"/>
    <w:rsid w:val="007254D7"/>
    <w:rsid w:val="007270BA"/>
    <w:rsid w:val="007271E6"/>
    <w:rsid w:val="0072799D"/>
    <w:rsid w:val="00727D87"/>
    <w:rsid w:val="00730C19"/>
    <w:rsid w:val="00731E47"/>
    <w:rsid w:val="007320D2"/>
    <w:rsid w:val="007320F8"/>
    <w:rsid w:val="0073223C"/>
    <w:rsid w:val="00732360"/>
    <w:rsid w:val="00732C4D"/>
    <w:rsid w:val="00733E8B"/>
    <w:rsid w:val="00734BF5"/>
    <w:rsid w:val="0073522A"/>
    <w:rsid w:val="007357DA"/>
    <w:rsid w:val="00736BFF"/>
    <w:rsid w:val="0074096B"/>
    <w:rsid w:val="007410F9"/>
    <w:rsid w:val="0074263C"/>
    <w:rsid w:val="00742949"/>
    <w:rsid w:val="00743C4D"/>
    <w:rsid w:val="007443E5"/>
    <w:rsid w:val="00745A8E"/>
    <w:rsid w:val="00751197"/>
    <w:rsid w:val="00751EA2"/>
    <w:rsid w:val="00754656"/>
    <w:rsid w:val="007552B7"/>
    <w:rsid w:val="00755619"/>
    <w:rsid w:val="00756874"/>
    <w:rsid w:val="007569B6"/>
    <w:rsid w:val="00756DCF"/>
    <w:rsid w:val="00757192"/>
    <w:rsid w:val="00757E59"/>
    <w:rsid w:val="00760B0A"/>
    <w:rsid w:val="00761370"/>
    <w:rsid w:val="0076194B"/>
    <w:rsid w:val="007630CC"/>
    <w:rsid w:val="0076658E"/>
    <w:rsid w:val="00766A16"/>
    <w:rsid w:val="00766A66"/>
    <w:rsid w:val="007678AA"/>
    <w:rsid w:val="00767C29"/>
    <w:rsid w:val="00770DF7"/>
    <w:rsid w:val="00770F96"/>
    <w:rsid w:val="0077186C"/>
    <w:rsid w:val="00775684"/>
    <w:rsid w:val="007756CC"/>
    <w:rsid w:val="00777503"/>
    <w:rsid w:val="007804FD"/>
    <w:rsid w:val="0078364E"/>
    <w:rsid w:val="007859C3"/>
    <w:rsid w:val="007863D9"/>
    <w:rsid w:val="007866E3"/>
    <w:rsid w:val="007867DD"/>
    <w:rsid w:val="00787C70"/>
    <w:rsid w:val="007905AF"/>
    <w:rsid w:val="00790D32"/>
    <w:rsid w:val="00791512"/>
    <w:rsid w:val="00791E25"/>
    <w:rsid w:val="007949E1"/>
    <w:rsid w:val="00794F9A"/>
    <w:rsid w:val="00797E65"/>
    <w:rsid w:val="007A0CE1"/>
    <w:rsid w:val="007A2351"/>
    <w:rsid w:val="007A3451"/>
    <w:rsid w:val="007A3A6D"/>
    <w:rsid w:val="007A3F50"/>
    <w:rsid w:val="007A44BA"/>
    <w:rsid w:val="007A484E"/>
    <w:rsid w:val="007A5509"/>
    <w:rsid w:val="007A571A"/>
    <w:rsid w:val="007A5ED6"/>
    <w:rsid w:val="007A78E3"/>
    <w:rsid w:val="007A7ED3"/>
    <w:rsid w:val="007B0F49"/>
    <w:rsid w:val="007B24AA"/>
    <w:rsid w:val="007B281B"/>
    <w:rsid w:val="007B3977"/>
    <w:rsid w:val="007B6EDF"/>
    <w:rsid w:val="007B7886"/>
    <w:rsid w:val="007C0783"/>
    <w:rsid w:val="007C0E7D"/>
    <w:rsid w:val="007C1CEC"/>
    <w:rsid w:val="007C1FE7"/>
    <w:rsid w:val="007C228A"/>
    <w:rsid w:val="007C278A"/>
    <w:rsid w:val="007C3793"/>
    <w:rsid w:val="007C3B88"/>
    <w:rsid w:val="007C410D"/>
    <w:rsid w:val="007C5198"/>
    <w:rsid w:val="007C671A"/>
    <w:rsid w:val="007C6B4A"/>
    <w:rsid w:val="007D0617"/>
    <w:rsid w:val="007D15C9"/>
    <w:rsid w:val="007D1693"/>
    <w:rsid w:val="007D3DB6"/>
    <w:rsid w:val="007D443B"/>
    <w:rsid w:val="007D5234"/>
    <w:rsid w:val="007E0611"/>
    <w:rsid w:val="007E5FE8"/>
    <w:rsid w:val="007F009C"/>
    <w:rsid w:val="007F045B"/>
    <w:rsid w:val="007F1D63"/>
    <w:rsid w:val="007F2FED"/>
    <w:rsid w:val="007F334D"/>
    <w:rsid w:val="007F5E08"/>
    <w:rsid w:val="007F7756"/>
    <w:rsid w:val="00800001"/>
    <w:rsid w:val="00800B69"/>
    <w:rsid w:val="008016AA"/>
    <w:rsid w:val="0080313E"/>
    <w:rsid w:val="00803555"/>
    <w:rsid w:val="008058A1"/>
    <w:rsid w:val="00805D6A"/>
    <w:rsid w:val="00807716"/>
    <w:rsid w:val="00810494"/>
    <w:rsid w:val="00813CB0"/>
    <w:rsid w:val="00814897"/>
    <w:rsid w:val="00815EA7"/>
    <w:rsid w:val="00822E99"/>
    <w:rsid w:val="00824B74"/>
    <w:rsid w:val="0082533E"/>
    <w:rsid w:val="00826197"/>
    <w:rsid w:val="00826990"/>
    <w:rsid w:val="00827D8D"/>
    <w:rsid w:val="00831F86"/>
    <w:rsid w:val="008327F0"/>
    <w:rsid w:val="008329BC"/>
    <w:rsid w:val="008330C6"/>
    <w:rsid w:val="00833F7A"/>
    <w:rsid w:val="0083599B"/>
    <w:rsid w:val="00837057"/>
    <w:rsid w:val="008376BE"/>
    <w:rsid w:val="00840B36"/>
    <w:rsid w:val="00841280"/>
    <w:rsid w:val="00842140"/>
    <w:rsid w:val="008422A4"/>
    <w:rsid w:val="00842560"/>
    <w:rsid w:val="00842D23"/>
    <w:rsid w:val="00844935"/>
    <w:rsid w:val="00845547"/>
    <w:rsid w:val="00845643"/>
    <w:rsid w:val="0085008B"/>
    <w:rsid w:val="00853C23"/>
    <w:rsid w:val="0085434B"/>
    <w:rsid w:val="008560BB"/>
    <w:rsid w:val="0085619C"/>
    <w:rsid w:val="00856448"/>
    <w:rsid w:val="00856F4C"/>
    <w:rsid w:val="00861213"/>
    <w:rsid w:val="00861F5C"/>
    <w:rsid w:val="008620CC"/>
    <w:rsid w:val="00863075"/>
    <w:rsid w:val="0086496C"/>
    <w:rsid w:val="00865733"/>
    <w:rsid w:val="0086786C"/>
    <w:rsid w:val="00867A15"/>
    <w:rsid w:val="008723EA"/>
    <w:rsid w:val="008735C3"/>
    <w:rsid w:val="00873B98"/>
    <w:rsid w:val="00873CFB"/>
    <w:rsid w:val="008754D1"/>
    <w:rsid w:val="00875D81"/>
    <w:rsid w:val="008773A6"/>
    <w:rsid w:val="00877494"/>
    <w:rsid w:val="008779A4"/>
    <w:rsid w:val="00881E93"/>
    <w:rsid w:val="008840F1"/>
    <w:rsid w:val="00884192"/>
    <w:rsid w:val="00884427"/>
    <w:rsid w:val="008855FB"/>
    <w:rsid w:val="00885F24"/>
    <w:rsid w:val="00886BA2"/>
    <w:rsid w:val="00886FDC"/>
    <w:rsid w:val="00890172"/>
    <w:rsid w:val="00890961"/>
    <w:rsid w:val="00890D1B"/>
    <w:rsid w:val="00891CB3"/>
    <w:rsid w:val="0089600A"/>
    <w:rsid w:val="008A1056"/>
    <w:rsid w:val="008A1783"/>
    <w:rsid w:val="008A17EF"/>
    <w:rsid w:val="008A22FC"/>
    <w:rsid w:val="008A2380"/>
    <w:rsid w:val="008A26B4"/>
    <w:rsid w:val="008A67A8"/>
    <w:rsid w:val="008A79CE"/>
    <w:rsid w:val="008B0781"/>
    <w:rsid w:val="008B11EA"/>
    <w:rsid w:val="008B1FB7"/>
    <w:rsid w:val="008B2090"/>
    <w:rsid w:val="008B2A17"/>
    <w:rsid w:val="008B301A"/>
    <w:rsid w:val="008B31CE"/>
    <w:rsid w:val="008B32A9"/>
    <w:rsid w:val="008B3827"/>
    <w:rsid w:val="008B3F12"/>
    <w:rsid w:val="008B451E"/>
    <w:rsid w:val="008B5486"/>
    <w:rsid w:val="008B73B2"/>
    <w:rsid w:val="008C049F"/>
    <w:rsid w:val="008C1C76"/>
    <w:rsid w:val="008C1D6C"/>
    <w:rsid w:val="008C1FF0"/>
    <w:rsid w:val="008C32BE"/>
    <w:rsid w:val="008C343C"/>
    <w:rsid w:val="008C3A71"/>
    <w:rsid w:val="008C3C7F"/>
    <w:rsid w:val="008C4A9D"/>
    <w:rsid w:val="008C5974"/>
    <w:rsid w:val="008D145E"/>
    <w:rsid w:val="008D2D28"/>
    <w:rsid w:val="008D6CA4"/>
    <w:rsid w:val="008D7EEC"/>
    <w:rsid w:val="008E1745"/>
    <w:rsid w:val="008E1D3F"/>
    <w:rsid w:val="008E2C65"/>
    <w:rsid w:val="008E4A80"/>
    <w:rsid w:val="008E77F0"/>
    <w:rsid w:val="008E7FF0"/>
    <w:rsid w:val="008F0789"/>
    <w:rsid w:val="008F09EF"/>
    <w:rsid w:val="008F0E9E"/>
    <w:rsid w:val="008F2DF8"/>
    <w:rsid w:val="008F3138"/>
    <w:rsid w:val="008F338A"/>
    <w:rsid w:val="008F5579"/>
    <w:rsid w:val="008F5B18"/>
    <w:rsid w:val="008F5C52"/>
    <w:rsid w:val="008F638A"/>
    <w:rsid w:val="008F66F2"/>
    <w:rsid w:val="00901231"/>
    <w:rsid w:val="00903038"/>
    <w:rsid w:val="00903B02"/>
    <w:rsid w:val="00904DB0"/>
    <w:rsid w:val="00905CE9"/>
    <w:rsid w:val="00912550"/>
    <w:rsid w:val="00912CD7"/>
    <w:rsid w:val="009147D5"/>
    <w:rsid w:val="00914C34"/>
    <w:rsid w:val="00916814"/>
    <w:rsid w:val="00921CF0"/>
    <w:rsid w:val="00922E8B"/>
    <w:rsid w:val="00923633"/>
    <w:rsid w:val="009241F5"/>
    <w:rsid w:val="00925306"/>
    <w:rsid w:val="00926496"/>
    <w:rsid w:val="009266B9"/>
    <w:rsid w:val="00926FA2"/>
    <w:rsid w:val="009275AB"/>
    <w:rsid w:val="0093198C"/>
    <w:rsid w:val="009323A8"/>
    <w:rsid w:val="00932F8F"/>
    <w:rsid w:val="0093362E"/>
    <w:rsid w:val="00935688"/>
    <w:rsid w:val="00936859"/>
    <w:rsid w:val="009375C5"/>
    <w:rsid w:val="009402CF"/>
    <w:rsid w:val="009410A4"/>
    <w:rsid w:val="00941AC0"/>
    <w:rsid w:val="00944010"/>
    <w:rsid w:val="00944B8C"/>
    <w:rsid w:val="00945492"/>
    <w:rsid w:val="00945630"/>
    <w:rsid w:val="009463DA"/>
    <w:rsid w:val="009468AD"/>
    <w:rsid w:val="00947863"/>
    <w:rsid w:val="009506AA"/>
    <w:rsid w:val="00951963"/>
    <w:rsid w:val="00951CE6"/>
    <w:rsid w:val="0095332A"/>
    <w:rsid w:val="00953A1A"/>
    <w:rsid w:val="00954306"/>
    <w:rsid w:val="009562BD"/>
    <w:rsid w:val="0095662E"/>
    <w:rsid w:val="009578D8"/>
    <w:rsid w:val="00957E64"/>
    <w:rsid w:val="00960B48"/>
    <w:rsid w:val="00961657"/>
    <w:rsid w:val="0096382B"/>
    <w:rsid w:val="00963FCD"/>
    <w:rsid w:val="009710CB"/>
    <w:rsid w:val="0097120D"/>
    <w:rsid w:val="0097185D"/>
    <w:rsid w:val="00971E3F"/>
    <w:rsid w:val="0097256C"/>
    <w:rsid w:val="00972EA2"/>
    <w:rsid w:val="00974220"/>
    <w:rsid w:val="0097766C"/>
    <w:rsid w:val="009777D8"/>
    <w:rsid w:val="00977B9B"/>
    <w:rsid w:val="00982135"/>
    <w:rsid w:val="00983B7D"/>
    <w:rsid w:val="0098591F"/>
    <w:rsid w:val="00985A81"/>
    <w:rsid w:val="00986B68"/>
    <w:rsid w:val="009873C8"/>
    <w:rsid w:val="0098769C"/>
    <w:rsid w:val="009900A1"/>
    <w:rsid w:val="00990374"/>
    <w:rsid w:val="00991892"/>
    <w:rsid w:val="0099314C"/>
    <w:rsid w:val="00993676"/>
    <w:rsid w:val="00995667"/>
    <w:rsid w:val="00997A3C"/>
    <w:rsid w:val="009A0407"/>
    <w:rsid w:val="009A4BE7"/>
    <w:rsid w:val="009A53A3"/>
    <w:rsid w:val="009A7F64"/>
    <w:rsid w:val="009B1C3A"/>
    <w:rsid w:val="009B1EC8"/>
    <w:rsid w:val="009B3FBF"/>
    <w:rsid w:val="009B5868"/>
    <w:rsid w:val="009B66A5"/>
    <w:rsid w:val="009B73CD"/>
    <w:rsid w:val="009C319F"/>
    <w:rsid w:val="009C429E"/>
    <w:rsid w:val="009C605A"/>
    <w:rsid w:val="009C7EFF"/>
    <w:rsid w:val="009D1255"/>
    <w:rsid w:val="009D1D31"/>
    <w:rsid w:val="009D3998"/>
    <w:rsid w:val="009D4BC8"/>
    <w:rsid w:val="009D5B48"/>
    <w:rsid w:val="009D61DE"/>
    <w:rsid w:val="009D7D6D"/>
    <w:rsid w:val="009D7F13"/>
    <w:rsid w:val="009E08A4"/>
    <w:rsid w:val="009E0B90"/>
    <w:rsid w:val="009E19DA"/>
    <w:rsid w:val="009E2CB8"/>
    <w:rsid w:val="009E3489"/>
    <w:rsid w:val="009E3B5E"/>
    <w:rsid w:val="009E3F97"/>
    <w:rsid w:val="009E4C37"/>
    <w:rsid w:val="009E4EC7"/>
    <w:rsid w:val="009F0B9C"/>
    <w:rsid w:val="009F1F71"/>
    <w:rsid w:val="009F2213"/>
    <w:rsid w:val="009F399D"/>
    <w:rsid w:val="009F4220"/>
    <w:rsid w:val="009F46BF"/>
    <w:rsid w:val="009F4A32"/>
    <w:rsid w:val="009F597B"/>
    <w:rsid w:val="009F5E2C"/>
    <w:rsid w:val="00A00865"/>
    <w:rsid w:val="00A01C65"/>
    <w:rsid w:val="00A03FD5"/>
    <w:rsid w:val="00A047C5"/>
    <w:rsid w:val="00A04BEE"/>
    <w:rsid w:val="00A0510B"/>
    <w:rsid w:val="00A059C5"/>
    <w:rsid w:val="00A0601C"/>
    <w:rsid w:val="00A07711"/>
    <w:rsid w:val="00A10016"/>
    <w:rsid w:val="00A118A0"/>
    <w:rsid w:val="00A12F3E"/>
    <w:rsid w:val="00A1301E"/>
    <w:rsid w:val="00A13E1E"/>
    <w:rsid w:val="00A146CB"/>
    <w:rsid w:val="00A22C41"/>
    <w:rsid w:val="00A23FB2"/>
    <w:rsid w:val="00A25DDB"/>
    <w:rsid w:val="00A26164"/>
    <w:rsid w:val="00A269DA"/>
    <w:rsid w:val="00A27A54"/>
    <w:rsid w:val="00A306CE"/>
    <w:rsid w:val="00A3116D"/>
    <w:rsid w:val="00A31C26"/>
    <w:rsid w:val="00A33520"/>
    <w:rsid w:val="00A33643"/>
    <w:rsid w:val="00A33EED"/>
    <w:rsid w:val="00A33F96"/>
    <w:rsid w:val="00A35F9F"/>
    <w:rsid w:val="00A368C9"/>
    <w:rsid w:val="00A36F1D"/>
    <w:rsid w:val="00A37679"/>
    <w:rsid w:val="00A378ED"/>
    <w:rsid w:val="00A40010"/>
    <w:rsid w:val="00A40363"/>
    <w:rsid w:val="00A40D05"/>
    <w:rsid w:val="00A417C0"/>
    <w:rsid w:val="00A41DDC"/>
    <w:rsid w:val="00A41FA6"/>
    <w:rsid w:val="00A42125"/>
    <w:rsid w:val="00A42CCE"/>
    <w:rsid w:val="00A42FEF"/>
    <w:rsid w:val="00A43205"/>
    <w:rsid w:val="00A432AD"/>
    <w:rsid w:val="00A44873"/>
    <w:rsid w:val="00A46829"/>
    <w:rsid w:val="00A46913"/>
    <w:rsid w:val="00A46D5A"/>
    <w:rsid w:val="00A46DE0"/>
    <w:rsid w:val="00A46FE6"/>
    <w:rsid w:val="00A47E65"/>
    <w:rsid w:val="00A51045"/>
    <w:rsid w:val="00A513F8"/>
    <w:rsid w:val="00A51660"/>
    <w:rsid w:val="00A51999"/>
    <w:rsid w:val="00A5280D"/>
    <w:rsid w:val="00A52C36"/>
    <w:rsid w:val="00A539EB"/>
    <w:rsid w:val="00A53D6D"/>
    <w:rsid w:val="00A5407C"/>
    <w:rsid w:val="00A54466"/>
    <w:rsid w:val="00A55C41"/>
    <w:rsid w:val="00A55CFB"/>
    <w:rsid w:val="00A61163"/>
    <w:rsid w:val="00A61BDE"/>
    <w:rsid w:val="00A65EE2"/>
    <w:rsid w:val="00A67597"/>
    <w:rsid w:val="00A705E5"/>
    <w:rsid w:val="00A70C88"/>
    <w:rsid w:val="00A712B4"/>
    <w:rsid w:val="00A72D60"/>
    <w:rsid w:val="00A73419"/>
    <w:rsid w:val="00A73C2F"/>
    <w:rsid w:val="00A744A8"/>
    <w:rsid w:val="00A778AE"/>
    <w:rsid w:val="00A80998"/>
    <w:rsid w:val="00A81D91"/>
    <w:rsid w:val="00A82D7A"/>
    <w:rsid w:val="00A82F4F"/>
    <w:rsid w:val="00A8307D"/>
    <w:rsid w:val="00A84D26"/>
    <w:rsid w:val="00A8658D"/>
    <w:rsid w:val="00A87222"/>
    <w:rsid w:val="00A874C5"/>
    <w:rsid w:val="00A91054"/>
    <w:rsid w:val="00A915D1"/>
    <w:rsid w:val="00A92228"/>
    <w:rsid w:val="00A94A65"/>
    <w:rsid w:val="00A94DA9"/>
    <w:rsid w:val="00A9690F"/>
    <w:rsid w:val="00A97EC1"/>
    <w:rsid w:val="00AA252A"/>
    <w:rsid w:val="00AA298D"/>
    <w:rsid w:val="00AA4163"/>
    <w:rsid w:val="00AA49F9"/>
    <w:rsid w:val="00AA4CD8"/>
    <w:rsid w:val="00AA7CA6"/>
    <w:rsid w:val="00AB001D"/>
    <w:rsid w:val="00AB008F"/>
    <w:rsid w:val="00AB056C"/>
    <w:rsid w:val="00AB06A2"/>
    <w:rsid w:val="00AB2224"/>
    <w:rsid w:val="00AB4991"/>
    <w:rsid w:val="00AB4DFC"/>
    <w:rsid w:val="00AB7D73"/>
    <w:rsid w:val="00AC0424"/>
    <w:rsid w:val="00AC1461"/>
    <w:rsid w:val="00AC1B99"/>
    <w:rsid w:val="00AC1FAE"/>
    <w:rsid w:val="00AC2549"/>
    <w:rsid w:val="00AC33F0"/>
    <w:rsid w:val="00AC4340"/>
    <w:rsid w:val="00AC4479"/>
    <w:rsid w:val="00AC47CE"/>
    <w:rsid w:val="00AC4B09"/>
    <w:rsid w:val="00AC5905"/>
    <w:rsid w:val="00AC6266"/>
    <w:rsid w:val="00AC6EE6"/>
    <w:rsid w:val="00AD12FE"/>
    <w:rsid w:val="00AD1F76"/>
    <w:rsid w:val="00AD26E5"/>
    <w:rsid w:val="00AD37EC"/>
    <w:rsid w:val="00AD4C82"/>
    <w:rsid w:val="00AD525B"/>
    <w:rsid w:val="00AD5CD7"/>
    <w:rsid w:val="00AD72BB"/>
    <w:rsid w:val="00AE01F6"/>
    <w:rsid w:val="00AE0DFB"/>
    <w:rsid w:val="00AE106A"/>
    <w:rsid w:val="00AE1083"/>
    <w:rsid w:val="00AE3339"/>
    <w:rsid w:val="00AE5934"/>
    <w:rsid w:val="00AE60FB"/>
    <w:rsid w:val="00AE6A9D"/>
    <w:rsid w:val="00AE706A"/>
    <w:rsid w:val="00AE7139"/>
    <w:rsid w:val="00AF3E11"/>
    <w:rsid w:val="00AF53A2"/>
    <w:rsid w:val="00AF5BBB"/>
    <w:rsid w:val="00AF73BA"/>
    <w:rsid w:val="00AF755E"/>
    <w:rsid w:val="00B00B72"/>
    <w:rsid w:val="00B04DF8"/>
    <w:rsid w:val="00B05DDC"/>
    <w:rsid w:val="00B06F13"/>
    <w:rsid w:val="00B07FAC"/>
    <w:rsid w:val="00B1000E"/>
    <w:rsid w:val="00B1067F"/>
    <w:rsid w:val="00B10843"/>
    <w:rsid w:val="00B10C8A"/>
    <w:rsid w:val="00B13283"/>
    <w:rsid w:val="00B13872"/>
    <w:rsid w:val="00B13AFE"/>
    <w:rsid w:val="00B14406"/>
    <w:rsid w:val="00B15628"/>
    <w:rsid w:val="00B16E54"/>
    <w:rsid w:val="00B17014"/>
    <w:rsid w:val="00B17738"/>
    <w:rsid w:val="00B20F61"/>
    <w:rsid w:val="00B22A39"/>
    <w:rsid w:val="00B230BA"/>
    <w:rsid w:val="00B2442D"/>
    <w:rsid w:val="00B25079"/>
    <w:rsid w:val="00B313AF"/>
    <w:rsid w:val="00B32B3C"/>
    <w:rsid w:val="00B33133"/>
    <w:rsid w:val="00B34150"/>
    <w:rsid w:val="00B351F4"/>
    <w:rsid w:val="00B3547C"/>
    <w:rsid w:val="00B35928"/>
    <w:rsid w:val="00B359A3"/>
    <w:rsid w:val="00B36595"/>
    <w:rsid w:val="00B40714"/>
    <w:rsid w:val="00B42052"/>
    <w:rsid w:val="00B42055"/>
    <w:rsid w:val="00B42CAC"/>
    <w:rsid w:val="00B433FB"/>
    <w:rsid w:val="00B43B56"/>
    <w:rsid w:val="00B43F36"/>
    <w:rsid w:val="00B441DF"/>
    <w:rsid w:val="00B44A65"/>
    <w:rsid w:val="00B46191"/>
    <w:rsid w:val="00B501D4"/>
    <w:rsid w:val="00B53384"/>
    <w:rsid w:val="00B536C8"/>
    <w:rsid w:val="00B54E2B"/>
    <w:rsid w:val="00B565BE"/>
    <w:rsid w:val="00B57420"/>
    <w:rsid w:val="00B579A4"/>
    <w:rsid w:val="00B57DC2"/>
    <w:rsid w:val="00B60CB8"/>
    <w:rsid w:val="00B610DF"/>
    <w:rsid w:val="00B618E5"/>
    <w:rsid w:val="00B61D18"/>
    <w:rsid w:val="00B62C03"/>
    <w:rsid w:val="00B63A02"/>
    <w:rsid w:val="00B64C2F"/>
    <w:rsid w:val="00B64DAF"/>
    <w:rsid w:val="00B65CE0"/>
    <w:rsid w:val="00B6604E"/>
    <w:rsid w:val="00B66F1F"/>
    <w:rsid w:val="00B67E8B"/>
    <w:rsid w:val="00B71268"/>
    <w:rsid w:val="00B73F68"/>
    <w:rsid w:val="00B7699B"/>
    <w:rsid w:val="00B77454"/>
    <w:rsid w:val="00B8309D"/>
    <w:rsid w:val="00B84054"/>
    <w:rsid w:val="00B840A9"/>
    <w:rsid w:val="00B84535"/>
    <w:rsid w:val="00B84E51"/>
    <w:rsid w:val="00B86681"/>
    <w:rsid w:val="00B87D1D"/>
    <w:rsid w:val="00B9163A"/>
    <w:rsid w:val="00B917DE"/>
    <w:rsid w:val="00B92DDE"/>
    <w:rsid w:val="00B931BF"/>
    <w:rsid w:val="00B9417C"/>
    <w:rsid w:val="00B95398"/>
    <w:rsid w:val="00B95B34"/>
    <w:rsid w:val="00BA144B"/>
    <w:rsid w:val="00BA191C"/>
    <w:rsid w:val="00BA2196"/>
    <w:rsid w:val="00BA3BED"/>
    <w:rsid w:val="00BA684B"/>
    <w:rsid w:val="00BB0A39"/>
    <w:rsid w:val="00BB16C2"/>
    <w:rsid w:val="00BB1BB8"/>
    <w:rsid w:val="00BB1D3D"/>
    <w:rsid w:val="00BB2743"/>
    <w:rsid w:val="00BB5057"/>
    <w:rsid w:val="00BB5B9C"/>
    <w:rsid w:val="00BB652F"/>
    <w:rsid w:val="00BB685F"/>
    <w:rsid w:val="00BB6C63"/>
    <w:rsid w:val="00BC0185"/>
    <w:rsid w:val="00BC0F8F"/>
    <w:rsid w:val="00BC3040"/>
    <w:rsid w:val="00BC5551"/>
    <w:rsid w:val="00BC63BF"/>
    <w:rsid w:val="00BC66C6"/>
    <w:rsid w:val="00BD13E6"/>
    <w:rsid w:val="00BD2158"/>
    <w:rsid w:val="00BD3279"/>
    <w:rsid w:val="00BD3A5F"/>
    <w:rsid w:val="00BD3AF3"/>
    <w:rsid w:val="00BD4356"/>
    <w:rsid w:val="00BD4A0B"/>
    <w:rsid w:val="00BD5151"/>
    <w:rsid w:val="00BD5CFF"/>
    <w:rsid w:val="00BE012C"/>
    <w:rsid w:val="00BE041A"/>
    <w:rsid w:val="00BE5667"/>
    <w:rsid w:val="00BE5FB9"/>
    <w:rsid w:val="00BE65B0"/>
    <w:rsid w:val="00BE7660"/>
    <w:rsid w:val="00BF08D1"/>
    <w:rsid w:val="00BF09DB"/>
    <w:rsid w:val="00BF0B25"/>
    <w:rsid w:val="00BF1620"/>
    <w:rsid w:val="00BF293E"/>
    <w:rsid w:val="00BF3600"/>
    <w:rsid w:val="00BF4924"/>
    <w:rsid w:val="00BF6442"/>
    <w:rsid w:val="00C0165A"/>
    <w:rsid w:val="00C01E9F"/>
    <w:rsid w:val="00C01F06"/>
    <w:rsid w:val="00C038AE"/>
    <w:rsid w:val="00C04CBE"/>
    <w:rsid w:val="00C05100"/>
    <w:rsid w:val="00C05B20"/>
    <w:rsid w:val="00C06BF4"/>
    <w:rsid w:val="00C10286"/>
    <w:rsid w:val="00C103EB"/>
    <w:rsid w:val="00C12A19"/>
    <w:rsid w:val="00C16417"/>
    <w:rsid w:val="00C20DDA"/>
    <w:rsid w:val="00C21388"/>
    <w:rsid w:val="00C21F5E"/>
    <w:rsid w:val="00C2248F"/>
    <w:rsid w:val="00C2283D"/>
    <w:rsid w:val="00C22A0E"/>
    <w:rsid w:val="00C22DF1"/>
    <w:rsid w:val="00C24F50"/>
    <w:rsid w:val="00C252FF"/>
    <w:rsid w:val="00C257B9"/>
    <w:rsid w:val="00C276C4"/>
    <w:rsid w:val="00C279E6"/>
    <w:rsid w:val="00C3247B"/>
    <w:rsid w:val="00C334DC"/>
    <w:rsid w:val="00C33F4D"/>
    <w:rsid w:val="00C344D3"/>
    <w:rsid w:val="00C34999"/>
    <w:rsid w:val="00C34F26"/>
    <w:rsid w:val="00C36930"/>
    <w:rsid w:val="00C378EE"/>
    <w:rsid w:val="00C37CC2"/>
    <w:rsid w:val="00C4100B"/>
    <w:rsid w:val="00C427E7"/>
    <w:rsid w:val="00C52DEA"/>
    <w:rsid w:val="00C534BE"/>
    <w:rsid w:val="00C54550"/>
    <w:rsid w:val="00C55A51"/>
    <w:rsid w:val="00C56A53"/>
    <w:rsid w:val="00C60623"/>
    <w:rsid w:val="00C633E2"/>
    <w:rsid w:val="00C63FE0"/>
    <w:rsid w:val="00C66374"/>
    <w:rsid w:val="00C664A9"/>
    <w:rsid w:val="00C67892"/>
    <w:rsid w:val="00C70641"/>
    <w:rsid w:val="00C708C9"/>
    <w:rsid w:val="00C70A0C"/>
    <w:rsid w:val="00C72661"/>
    <w:rsid w:val="00C727B2"/>
    <w:rsid w:val="00C72E2D"/>
    <w:rsid w:val="00C7325A"/>
    <w:rsid w:val="00C73427"/>
    <w:rsid w:val="00C736EE"/>
    <w:rsid w:val="00C74212"/>
    <w:rsid w:val="00C75273"/>
    <w:rsid w:val="00C779F9"/>
    <w:rsid w:val="00C81584"/>
    <w:rsid w:val="00C81641"/>
    <w:rsid w:val="00C82559"/>
    <w:rsid w:val="00C82C13"/>
    <w:rsid w:val="00C82C47"/>
    <w:rsid w:val="00C82DB9"/>
    <w:rsid w:val="00C83DA2"/>
    <w:rsid w:val="00C84360"/>
    <w:rsid w:val="00C8606E"/>
    <w:rsid w:val="00C865C3"/>
    <w:rsid w:val="00C86AA8"/>
    <w:rsid w:val="00C87F90"/>
    <w:rsid w:val="00C9182A"/>
    <w:rsid w:val="00C9328C"/>
    <w:rsid w:val="00C9336C"/>
    <w:rsid w:val="00C939EB"/>
    <w:rsid w:val="00C93C69"/>
    <w:rsid w:val="00C9484E"/>
    <w:rsid w:val="00C94CA3"/>
    <w:rsid w:val="00C956AD"/>
    <w:rsid w:val="00C962C5"/>
    <w:rsid w:val="00CA0FAD"/>
    <w:rsid w:val="00CA1A9C"/>
    <w:rsid w:val="00CA1F2E"/>
    <w:rsid w:val="00CA2748"/>
    <w:rsid w:val="00CA4ECD"/>
    <w:rsid w:val="00CA56FD"/>
    <w:rsid w:val="00CA5CED"/>
    <w:rsid w:val="00CA6079"/>
    <w:rsid w:val="00CA68C7"/>
    <w:rsid w:val="00CA6E60"/>
    <w:rsid w:val="00CA6F1C"/>
    <w:rsid w:val="00CA7E43"/>
    <w:rsid w:val="00CB04B6"/>
    <w:rsid w:val="00CB0AC1"/>
    <w:rsid w:val="00CB1434"/>
    <w:rsid w:val="00CB2C17"/>
    <w:rsid w:val="00CB33F9"/>
    <w:rsid w:val="00CB41D4"/>
    <w:rsid w:val="00CB423E"/>
    <w:rsid w:val="00CB53DA"/>
    <w:rsid w:val="00CB5CE9"/>
    <w:rsid w:val="00CB7391"/>
    <w:rsid w:val="00CC1819"/>
    <w:rsid w:val="00CC278A"/>
    <w:rsid w:val="00CC4EAC"/>
    <w:rsid w:val="00CC50C6"/>
    <w:rsid w:val="00CC57FF"/>
    <w:rsid w:val="00CC5EA4"/>
    <w:rsid w:val="00CC77DD"/>
    <w:rsid w:val="00CC79A6"/>
    <w:rsid w:val="00CD17F2"/>
    <w:rsid w:val="00CD1A4A"/>
    <w:rsid w:val="00CD22F5"/>
    <w:rsid w:val="00CD2F17"/>
    <w:rsid w:val="00CD45E4"/>
    <w:rsid w:val="00CD5567"/>
    <w:rsid w:val="00CD66E8"/>
    <w:rsid w:val="00CD7189"/>
    <w:rsid w:val="00CE04CA"/>
    <w:rsid w:val="00CE2C86"/>
    <w:rsid w:val="00CE3EED"/>
    <w:rsid w:val="00CE4AA2"/>
    <w:rsid w:val="00CE5156"/>
    <w:rsid w:val="00CE5E27"/>
    <w:rsid w:val="00CE7962"/>
    <w:rsid w:val="00CE7E56"/>
    <w:rsid w:val="00CF177A"/>
    <w:rsid w:val="00CF2FED"/>
    <w:rsid w:val="00CF3916"/>
    <w:rsid w:val="00CF4061"/>
    <w:rsid w:val="00CF54F7"/>
    <w:rsid w:val="00CF58A6"/>
    <w:rsid w:val="00CF718D"/>
    <w:rsid w:val="00D006E8"/>
    <w:rsid w:val="00D00FF3"/>
    <w:rsid w:val="00D0247F"/>
    <w:rsid w:val="00D03643"/>
    <w:rsid w:val="00D03F96"/>
    <w:rsid w:val="00D04075"/>
    <w:rsid w:val="00D04B2B"/>
    <w:rsid w:val="00D04FB3"/>
    <w:rsid w:val="00D077C2"/>
    <w:rsid w:val="00D109BE"/>
    <w:rsid w:val="00D12453"/>
    <w:rsid w:val="00D12A55"/>
    <w:rsid w:val="00D12F24"/>
    <w:rsid w:val="00D17007"/>
    <w:rsid w:val="00D21D72"/>
    <w:rsid w:val="00D21D95"/>
    <w:rsid w:val="00D2253A"/>
    <w:rsid w:val="00D242C9"/>
    <w:rsid w:val="00D27BC9"/>
    <w:rsid w:val="00D3142B"/>
    <w:rsid w:val="00D3380C"/>
    <w:rsid w:val="00D33DFB"/>
    <w:rsid w:val="00D35CA5"/>
    <w:rsid w:val="00D4175D"/>
    <w:rsid w:val="00D4177D"/>
    <w:rsid w:val="00D432F8"/>
    <w:rsid w:val="00D4556D"/>
    <w:rsid w:val="00D45F75"/>
    <w:rsid w:val="00D462F8"/>
    <w:rsid w:val="00D479B2"/>
    <w:rsid w:val="00D50845"/>
    <w:rsid w:val="00D51318"/>
    <w:rsid w:val="00D5174C"/>
    <w:rsid w:val="00D518BF"/>
    <w:rsid w:val="00D54D3E"/>
    <w:rsid w:val="00D553CC"/>
    <w:rsid w:val="00D5650A"/>
    <w:rsid w:val="00D569D7"/>
    <w:rsid w:val="00D56DB6"/>
    <w:rsid w:val="00D57ECC"/>
    <w:rsid w:val="00D6005C"/>
    <w:rsid w:val="00D61A0E"/>
    <w:rsid w:val="00D62152"/>
    <w:rsid w:val="00D627A2"/>
    <w:rsid w:val="00D62A90"/>
    <w:rsid w:val="00D6523C"/>
    <w:rsid w:val="00D66C74"/>
    <w:rsid w:val="00D67796"/>
    <w:rsid w:val="00D6790C"/>
    <w:rsid w:val="00D71F83"/>
    <w:rsid w:val="00D728BD"/>
    <w:rsid w:val="00D731A2"/>
    <w:rsid w:val="00D73616"/>
    <w:rsid w:val="00D73A58"/>
    <w:rsid w:val="00D74E2F"/>
    <w:rsid w:val="00D755EF"/>
    <w:rsid w:val="00D77254"/>
    <w:rsid w:val="00D773D7"/>
    <w:rsid w:val="00D804A7"/>
    <w:rsid w:val="00D80D79"/>
    <w:rsid w:val="00D81792"/>
    <w:rsid w:val="00D81E40"/>
    <w:rsid w:val="00D83896"/>
    <w:rsid w:val="00D8605B"/>
    <w:rsid w:val="00D9260D"/>
    <w:rsid w:val="00D9267B"/>
    <w:rsid w:val="00D95401"/>
    <w:rsid w:val="00D9607A"/>
    <w:rsid w:val="00D97114"/>
    <w:rsid w:val="00DA178E"/>
    <w:rsid w:val="00DA1E6E"/>
    <w:rsid w:val="00DA1EEF"/>
    <w:rsid w:val="00DA50E4"/>
    <w:rsid w:val="00DA5110"/>
    <w:rsid w:val="00DA5677"/>
    <w:rsid w:val="00DA76DC"/>
    <w:rsid w:val="00DB06F9"/>
    <w:rsid w:val="00DB072C"/>
    <w:rsid w:val="00DB0FE8"/>
    <w:rsid w:val="00DB1EEC"/>
    <w:rsid w:val="00DB2F28"/>
    <w:rsid w:val="00DB3414"/>
    <w:rsid w:val="00DB34C7"/>
    <w:rsid w:val="00DB3E87"/>
    <w:rsid w:val="00DB4A80"/>
    <w:rsid w:val="00DB595E"/>
    <w:rsid w:val="00DB7867"/>
    <w:rsid w:val="00DB7AD0"/>
    <w:rsid w:val="00DC43D8"/>
    <w:rsid w:val="00DC4C31"/>
    <w:rsid w:val="00DC5FBE"/>
    <w:rsid w:val="00DC5FCC"/>
    <w:rsid w:val="00DC6DEC"/>
    <w:rsid w:val="00DC751D"/>
    <w:rsid w:val="00DC7B90"/>
    <w:rsid w:val="00DC7C4A"/>
    <w:rsid w:val="00DD16F5"/>
    <w:rsid w:val="00DD28DA"/>
    <w:rsid w:val="00DD4188"/>
    <w:rsid w:val="00DD56EC"/>
    <w:rsid w:val="00DD5B89"/>
    <w:rsid w:val="00DD5D3B"/>
    <w:rsid w:val="00DD7CF2"/>
    <w:rsid w:val="00DD7FFD"/>
    <w:rsid w:val="00DE0044"/>
    <w:rsid w:val="00DE2D90"/>
    <w:rsid w:val="00DE31BE"/>
    <w:rsid w:val="00DE5418"/>
    <w:rsid w:val="00DE5970"/>
    <w:rsid w:val="00DE766B"/>
    <w:rsid w:val="00DF2881"/>
    <w:rsid w:val="00DF5301"/>
    <w:rsid w:val="00DF5DF5"/>
    <w:rsid w:val="00DF66F7"/>
    <w:rsid w:val="00DF675B"/>
    <w:rsid w:val="00DF68BA"/>
    <w:rsid w:val="00DF72E8"/>
    <w:rsid w:val="00E0060E"/>
    <w:rsid w:val="00E00DF1"/>
    <w:rsid w:val="00E040F4"/>
    <w:rsid w:val="00E054F0"/>
    <w:rsid w:val="00E056A8"/>
    <w:rsid w:val="00E058F6"/>
    <w:rsid w:val="00E10E2A"/>
    <w:rsid w:val="00E114BA"/>
    <w:rsid w:val="00E11503"/>
    <w:rsid w:val="00E11AE6"/>
    <w:rsid w:val="00E12581"/>
    <w:rsid w:val="00E12749"/>
    <w:rsid w:val="00E13736"/>
    <w:rsid w:val="00E14027"/>
    <w:rsid w:val="00E14E1A"/>
    <w:rsid w:val="00E16D3B"/>
    <w:rsid w:val="00E21655"/>
    <w:rsid w:val="00E2174F"/>
    <w:rsid w:val="00E23355"/>
    <w:rsid w:val="00E238E5"/>
    <w:rsid w:val="00E2437D"/>
    <w:rsid w:val="00E24775"/>
    <w:rsid w:val="00E25A55"/>
    <w:rsid w:val="00E25F7B"/>
    <w:rsid w:val="00E268BA"/>
    <w:rsid w:val="00E26DC8"/>
    <w:rsid w:val="00E30692"/>
    <w:rsid w:val="00E3076C"/>
    <w:rsid w:val="00E3296D"/>
    <w:rsid w:val="00E352F0"/>
    <w:rsid w:val="00E35648"/>
    <w:rsid w:val="00E36E40"/>
    <w:rsid w:val="00E36F2E"/>
    <w:rsid w:val="00E40BFC"/>
    <w:rsid w:val="00E41C34"/>
    <w:rsid w:val="00E429D6"/>
    <w:rsid w:val="00E43223"/>
    <w:rsid w:val="00E44527"/>
    <w:rsid w:val="00E45BE8"/>
    <w:rsid w:val="00E466B3"/>
    <w:rsid w:val="00E46A28"/>
    <w:rsid w:val="00E500F7"/>
    <w:rsid w:val="00E5118A"/>
    <w:rsid w:val="00E518A9"/>
    <w:rsid w:val="00E52D26"/>
    <w:rsid w:val="00E53319"/>
    <w:rsid w:val="00E55359"/>
    <w:rsid w:val="00E554A6"/>
    <w:rsid w:val="00E56200"/>
    <w:rsid w:val="00E611F7"/>
    <w:rsid w:val="00E61271"/>
    <w:rsid w:val="00E626BD"/>
    <w:rsid w:val="00E6565C"/>
    <w:rsid w:val="00E65D58"/>
    <w:rsid w:val="00E66A17"/>
    <w:rsid w:val="00E67A58"/>
    <w:rsid w:val="00E713B0"/>
    <w:rsid w:val="00E71D3F"/>
    <w:rsid w:val="00E722D8"/>
    <w:rsid w:val="00E72376"/>
    <w:rsid w:val="00E72791"/>
    <w:rsid w:val="00E73668"/>
    <w:rsid w:val="00E736A0"/>
    <w:rsid w:val="00E73C2D"/>
    <w:rsid w:val="00E73F2C"/>
    <w:rsid w:val="00E750F3"/>
    <w:rsid w:val="00E75858"/>
    <w:rsid w:val="00E75EC5"/>
    <w:rsid w:val="00E767F4"/>
    <w:rsid w:val="00E768BF"/>
    <w:rsid w:val="00E76A8B"/>
    <w:rsid w:val="00E77570"/>
    <w:rsid w:val="00E80D81"/>
    <w:rsid w:val="00E82DDA"/>
    <w:rsid w:val="00E83398"/>
    <w:rsid w:val="00E841E4"/>
    <w:rsid w:val="00E85662"/>
    <w:rsid w:val="00E857D6"/>
    <w:rsid w:val="00E85FB2"/>
    <w:rsid w:val="00E861F8"/>
    <w:rsid w:val="00E8623E"/>
    <w:rsid w:val="00E87C8C"/>
    <w:rsid w:val="00E90C53"/>
    <w:rsid w:val="00E91D2D"/>
    <w:rsid w:val="00E9249E"/>
    <w:rsid w:val="00E93E04"/>
    <w:rsid w:val="00E94FA7"/>
    <w:rsid w:val="00E95350"/>
    <w:rsid w:val="00E9575D"/>
    <w:rsid w:val="00E95E9D"/>
    <w:rsid w:val="00E9644F"/>
    <w:rsid w:val="00EA2E83"/>
    <w:rsid w:val="00EA2EFA"/>
    <w:rsid w:val="00EA3600"/>
    <w:rsid w:val="00EA37E4"/>
    <w:rsid w:val="00EA3D6B"/>
    <w:rsid w:val="00EA4418"/>
    <w:rsid w:val="00EA5226"/>
    <w:rsid w:val="00EA5372"/>
    <w:rsid w:val="00EA7492"/>
    <w:rsid w:val="00EB1562"/>
    <w:rsid w:val="00EB1714"/>
    <w:rsid w:val="00EB1AC2"/>
    <w:rsid w:val="00EB2A68"/>
    <w:rsid w:val="00EB325E"/>
    <w:rsid w:val="00EB3CA8"/>
    <w:rsid w:val="00EB481A"/>
    <w:rsid w:val="00EB65E5"/>
    <w:rsid w:val="00EB76E7"/>
    <w:rsid w:val="00EC1045"/>
    <w:rsid w:val="00EC39FD"/>
    <w:rsid w:val="00EC4C14"/>
    <w:rsid w:val="00EC7109"/>
    <w:rsid w:val="00ED03D2"/>
    <w:rsid w:val="00ED0BA4"/>
    <w:rsid w:val="00ED0FEF"/>
    <w:rsid w:val="00ED18A0"/>
    <w:rsid w:val="00ED3411"/>
    <w:rsid w:val="00ED5935"/>
    <w:rsid w:val="00ED71A4"/>
    <w:rsid w:val="00ED724D"/>
    <w:rsid w:val="00ED7380"/>
    <w:rsid w:val="00EE08B9"/>
    <w:rsid w:val="00EE0D62"/>
    <w:rsid w:val="00EE1369"/>
    <w:rsid w:val="00EE17D9"/>
    <w:rsid w:val="00EE23AC"/>
    <w:rsid w:val="00EE4888"/>
    <w:rsid w:val="00EE48CF"/>
    <w:rsid w:val="00EE4B1A"/>
    <w:rsid w:val="00EE60CA"/>
    <w:rsid w:val="00EE6BC1"/>
    <w:rsid w:val="00EE7C25"/>
    <w:rsid w:val="00EE7F93"/>
    <w:rsid w:val="00EF00B1"/>
    <w:rsid w:val="00EF0FC0"/>
    <w:rsid w:val="00EF1C74"/>
    <w:rsid w:val="00EF1F25"/>
    <w:rsid w:val="00EF2042"/>
    <w:rsid w:val="00EF2858"/>
    <w:rsid w:val="00EF2EC2"/>
    <w:rsid w:val="00EF2F52"/>
    <w:rsid w:val="00EF34FE"/>
    <w:rsid w:val="00EF365F"/>
    <w:rsid w:val="00EF4A53"/>
    <w:rsid w:val="00EF4C17"/>
    <w:rsid w:val="00EF5801"/>
    <w:rsid w:val="00EF5959"/>
    <w:rsid w:val="00F0005D"/>
    <w:rsid w:val="00F0066B"/>
    <w:rsid w:val="00F02F0F"/>
    <w:rsid w:val="00F037DB"/>
    <w:rsid w:val="00F0459E"/>
    <w:rsid w:val="00F059F8"/>
    <w:rsid w:val="00F06626"/>
    <w:rsid w:val="00F0676E"/>
    <w:rsid w:val="00F10575"/>
    <w:rsid w:val="00F107EA"/>
    <w:rsid w:val="00F11723"/>
    <w:rsid w:val="00F13D5F"/>
    <w:rsid w:val="00F14049"/>
    <w:rsid w:val="00F145F8"/>
    <w:rsid w:val="00F15C23"/>
    <w:rsid w:val="00F16353"/>
    <w:rsid w:val="00F20783"/>
    <w:rsid w:val="00F20909"/>
    <w:rsid w:val="00F21796"/>
    <w:rsid w:val="00F22AB0"/>
    <w:rsid w:val="00F22C1A"/>
    <w:rsid w:val="00F24450"/>
    <w:rsid w:val="00F26E05"/>
    <w:rsid w:val="00F312DF"/>
    <w:rsid w:val="00F32877"/>
    <w:rsid w:val="00F32973"/>
    <w:rsid w:val="00F32A7F"/>
    <w:rsid w:val="00F3361F"/>
    <w:rsid w:val="00F35960"/>
    <w:rsid w:val="00F36DFC"/>
    <w:rsid w:val="00F370D3"/>
    <w:rsid w:val="00F40CD0"/>
    <w:rsid w:val="00F40F26"/>
    <w:rsid w:val="00F42488"/>
    <w:rsid w:val="00F4269F"/>
    <w:rsid w:val="00F43049"/>
    <w:rsid w:val="00F438AB"/>
    <w:rsid w:val="00F43B74"/>
    <w:rsid w:val="00F43FDB"/>
    <w:rsid w:val="00F44386"/>
    <w:rsid w:val="00F44842"/>
    <w:rsid w:val="00F44EEE"/>
    <w:rsid w:val="00F45835"/>
    <w:rsid w:val="00F46754"/>
    <w:rsid w:val="00F50DAF"/>
    <w:rsid w:val="00F52190"/>
    <w:rsid w:val="00F54A4B"/>
    <w:rsid w:val="00F569EC"/>
    <w:rsid w:val="00F61265"/>
    <w:rsid w:val="00F61C98"/>
    <w:rsid w:val="00F62E0E"/>
    <w:rsid w:val="00F649BB"/>
    <w:rsid w:val="00F6508F"/>
    <w:rsid w:val="00F655AB"/>
    <w:rsid w:val="00F664C8"/>
    <w:rsid w:val="00F66D79"/>
    <w:rsid w:val="00F6705A"/>
    <w:rsid w:val="00F674D7"/>
    <w:rsid w:val="00F7005F"/>
    <w:rsid w:val="00F70EC8"/>
    <w:rsid w:val="00F7291D"/>
    <w:rsid w:val="00F72FAF"/>
    <w:rsid w:val="00F735A6"/>
    <w:rsid w:val="00F737DB"/>
    <w:rsid w:val="00F75F47"/>
    <w:rsid w:val="00F80210"/>
    <w:rsid w:val="00F80A41"/>
    <w:rsid w:val="00F814E7"/>
    <w:rsid w:val="00F820DD"/>
    <w:rsid w:val="00F8259B"/>
    <w:rsid w:val="00F83198"/>
    <w:rsid w:val="00F83965"/>
    <w:rsid w:val="00F87EC4"/>
    <w:rsid w:val="00F95F76"/>
    <w:rsid w:val="00F96362"/>
    <w:rsid w:val="00F97988"/>
    <w:rsid w:val="00FA0319"/>
    <w:rsid w:val="00FA27BB"/>
    <w:rsid w:val="00FA2E4B"/>
    <w:rsid w:val="00FA368D"/>
    <w:rsid w:val="00FA5549"/>
    <w:rsid w:val="00FA5C49"/>
    <w:rsid w:val="00FA64FC"/>
    <w:rsid w:val="00FA696D"/>
    <w:rsid w:val="00FA78AD"/>
    <w:rsid w:val="00FA7EF3"/>
    <w:rsid w:val="00FB003B"/>
    <w:rsid w:val="00FB1090"/>
    <w:rsid w:val="00FB1DAD"/>
    <w:rsid w:val="00FB22FD"/>
    <w:rsid w:val="00FB26B0"/>
    <w:rsid w:val="00FB3D24"/>
    <w:rsid w:val="00FB41C3"/>
    <w:rsid w:val="00FB487A"/>
    <w:rsid w:val="00FB4B60"/>
    <w:rsid w:val="00FB5389"/>
    <w:rsid w:val="00FB5AEC"/>
    <w:rsid w:val="00FB7234"/>
    <w:rsid w:val="00FB7D89"/>
    <w:rsid w:val="00FC0AAF"/>
    <w:rsid w:val="00FC0BA1"/>
    <w:rsid w:val="00FC2195"/>
    <w:rsid w:val="00FC2B9A"/>
    <w:rsid w:val="00FC551D"/>
    <w:rsid w:val="00FC6524"/>
    <w:rsid w:val="00FC6964"/>
    <w:rsid w:val="00FC710E"/>
    <w:rsid w:val="00FD1093"/>
    <w:rsid w:val="00FD135D"/>
    <w:rsid w:val="00FD4DB9"/>
    <w:rsid w:val="00FD4E5A"/>
    <w:rsid w:val="00FD6047"/>
    <w:rsid w:val="00FE0AEB"/>
    <w:rsid w:val="00FE0F28"/>
    <w:rsid w:val="00FE18BA"/>
    <w:rsid w:val="00FE1940"/>
    <w:rsid w:val="00FE1F88"/>
    <w:rsid w:val="00FE3636"/>
    <w:rsid w:val="00FE627D"/>
    <w:rsid w:val="00FE658D"/>
    <w:rsid w:val="00FE7C0C"/>
    <w:rsid w:val="00FF035F"/>
    <w:rsid w:val="00FF0FD1"/>
    <w:rsid w:val="00FF2762"/>
    <w:rsid w:val="00FF3A30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D149"/>
  <w15:chartTrackingRefBased/>
  <w15:docId w15:val="{833F31D6-61B0-EB4A-BF4E-BC467AE1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14A"/>
  </w:style>
  <w:style w:type="paragraph" w:styleId="Heading1">
    <w:name w:val="heading 1"/>
    <w:basedOn w:val="Normal"/>
    <w:next w:val="Normal"/>
    <w:link w:val="Heading1Char"/>
    <w:uiPriority w:val="9"/>
    <w:qFormat/>
    <w:rsid w:val="006C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921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6C4921"/>
    <w:pPr>
      <w:tabs>
        <w:tab w:val="left" w:pos="380"/>
      </w:tabs>
      <w:spacing w:after="240" w:line="240" w:lineRule="auto"/>
      <w:ind w:left="384" w:hanging="384"/>
    </w:pPr>
  </w:style>
  <w:style w:type="paragraph" w:styleId="Footer">
    <w:name w:val="footer"/>
    <w:basedOn w:val="Normal"/>
    <w:link w:val="FooterChar"/>
    <w:uiPriority w:val="99"/>
    <w:unhideWhenUsed/>
    <w:rsid w:val="006C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921"/>
  </w:style>
  <w:style w:type="character" w:styleId="PageNumber">
    <w:name w:val="page number"/>
    <w:basedOn w:val="DefaultParagraphFont"/>
    <w:uiPriority w:val="99"/>
    <w:semiHidden/>
    <w:unhideWhenUsed/>
    <w:rsid w:val="006C4921"/>
  </w:style>
  <w:style w:type="character" w:styleId="CommentReference">
    <w:name w:val="annotation reference"/>
    <w:basedOn w:val="DefaultParagraphFont"/>
    <w:uiPriority w:val="99"/>
    <w:semiHidden/>
    <w:unhideWhenUsed/>
    <w:rsid w:val="006C49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9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92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492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C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703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7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9A4"/>
  </w:style>
  <w:style w:type="paragraph" w:styleId="Revision">
    <w:name w:val="Revision"/>
    <w:hidden/>
    <w:uiPriority w:val="99"/>
    <w:semiHidden/>
    <w:rsid w:val="00332D0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05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71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6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8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an.ukah@mcgill.c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B8ABF1-9189-9B41-A48B-C7C1C9240E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475f80-1baa-4ea9-9185-c0de5cc603fe}" enabled="0" method="" siteId="{54475f80-1baa-4ea9-9185-c0de5cc603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43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Wickham</dc:creator>
  <cp:keywords/>
  <dc:description/>
  <cp:lastModifiedBy>ugochinyere vivian ukah</cp:lastModifiedBy>
  <cp:revision>174</cp:revision>
  <dcterms:created xsi:type="dcterms:W3CDTF">2026-06-21T20:18:00Z</dcterms:created>
  <dcterms:modified xsi:type="dcterms:W3CDTF">2026-08-09T23:52:00Z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zotero-version="9.0.5"&gt;&lt;session id="wX299QrP"/&gt;&lt;style id="http://www.zotero.org/styles/american-medical-association"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value="true"/&gt;&lt;/prefs&gt;&lt;/data&gt;</vt:lpwstr>
  </property>
</Properties>
</file>