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A114F" w14:textId="77777777" w:rsidR="00A86EC3" w:rsidRDefault="00000000">
      <w:pPr>
        <w:ind w:firstLineChars="0" w:firstLine="0"/>
        <w:jc w:val="center"/>
      </w:pPr>
      <w:r>
        <w:rPr>
          <w:rFonts w:hint="eastAsia"/>
          <w:noProof/>
        </w:rPr>
        <w:drawing>
          <wp:inline distT="0" distB="0" distL="114300" distR="114300" wp14:anchorId="69D76771" wp14:editId="07A8523D">
            <wp:extent cx="5257165" cy="1974215"/>
            <wp:effectExtent l="0" t="0" r="635" b="6985"/>
            <wp:docPr id="1" name="图片 1" descr="Fig-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-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197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7003B" w14:textId="77777777" w:rsidR="00A86EC3" w:rsidRDefault="00000000">
      <w:pPr>
        <w:pStyle w:val="a3"/>
        <w:widowControl/>
        <w:spacing w:beforeAutospacing="0"/>
        <w:ind w:firstLineChars="0" w:firstLine="0"/>
        <w:jc w:val="both"/>
        <w:rPr>
          <w:sz w:val="21"/>
          <w:szCs w:val="21"/>
        </w:rPr>
      </w:pPr>
      <w:r w:rsidRPr="00FC275D">
        <w:rPr>
          <w:b/>
          <w:bCs/>
          <w:sz w:val="21"/>
          <w:szCs w:val="21"/>
        </w:rPr>
        <w:t>Supplementary</w:t>
      </w:r>
      <w:r w:rsidRPr="00FC275D">
        <w:rPr>
          <w:rFonts w:hint="eastAsia"/>
          <w:b/>
          <w:bCs/>
          <w:sz w:val="21"/>
          <w:szCs w:val="21"/>
        </w:rPr>
        <w:t xml:space="preserve"> </w:t>
      </w:r>
      <w:r w:rsidRPr="00FC275D">
        <w:rPr>
          <w:b/>
          <w:bCs/>
          <w:sz w:val="21"/>
          <w:szCs w:val="21"/>
        </w:rPr>
        <w:t xml:space="preserve">Figure </w:t>
      </w:r>
      <w:r w:rsidRPr="00FC275D">
        <w:rPr>
          <w:rFonts w:hint="eastAsia"/>
          <w:b/>
          <w:bCs/>
          <w:sz w:val="21"/>
          <w:szCs w:val="21"/>
        </w:rPr>
        <w:t>1</w:t>
      </w:r>
      <w:r>
        <w:rPr>
          <w:sz w:val="21"/>
          <w:szCs w:val="21"/>
        </w:rPr>
        <w:t xml:space="preserve"> Correlation analysis of ASDR, ASMR, and SDI in 21 GBD regions in 2021.</w:t>
      </w:r>
    </w:p>
    <w:p w14:paraId="2550ACEE" w14:textId="77777777" w:rsidR="00A86EC3" w:rsidRDefault="00000000">
      <w:pPr>
        <w:pStyle w:val="a3"/>
        <w:widowControl/>
        <w:spacing w:beforeAutospacing="0"/>
        <w:ind w:firstLineChars="0" w:firstLine="0"/>
        <w:jc w:val="center"/>
        <w:rPr>
          <w:sz w:val="21"/>
          <w:szCs w:val="21"/>
        </w:rPr>
      </w:pPr>
      <w:r>
        <w:rPr>
          <w:rFonts w:hint="eastAsia"/>
          <w:noProof/>
          <w:sz w:val="21"/>
          <w:szCs w:val="21"/>
        </w:rPr>
        <w:drawing>
          <wp:inline distT="0" distB="0" distL="114300" distR="114300" wp14:anchorId="5F67AF1F" wp14:editId="27B6249C">
            <wp:extent cx="5253990" cy="1871345"/>
            <wp:effectExtent l="0" t="0" r="3810" b="14605"/>
            <wp:docPr id="2" name="图片 2" descr="Fig-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-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187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6E39B" w14:textId="77777777" w:rsidR="00A86EC3" w:rsidRDefault="00000000">
      <w:pPr>
        <w:pStyle w:val="a3"/>
        <w:widowControl/>
        <w:spacing w:beforeAutospacing="0"/>
        <w:ind w:firstLineChars="0" w:firstLine="0"/>
        <w:jc w:val="both"/>
        <w:rPr>
          <w:sz w:val="21"/>
          <w:szCs w:val="21"/>
        </w:rPr>
      </w:pPr>
      <w:r w:rsidRPr="00FC275D">
        <w:rPr>
          <w:b/>
          <w:bCs/>
          <w:sz w:val="21"/>
          <w:szCs w:val="21"/>
        </w:rPr>
        <w:t>Supplementary</w:t>
      </w:r>
      <w:r w:rsidRPr="00FC275D">
        <w:rPr>
          <w:rFonts w:hint="eastAsia"/>
          <w:b/>
          <w:bCs/>
          <w:sz w:val="21"/>
          <w:szCs w:val="21"/>
        </w:rPr>
        <w:t xml:space="preserve"> </w:t>
      </w:r>
      <w:r w:rsidRPr="00FC275D">
        <w:rPr>
          <w:b/>
          <w:bCs/>
          <w:sz w:val="21"/>
          <w:szCs w:val="21"/>
        </w:rPr>
        <w:t xml:space="preserve">Figure </w:t>
      </w:r>
      <w:r w:rsidRPr="00FC275D">
        <w:rPr>
          <w:rFonts w:hint="eastAsia"/>
          <w:b/>
          <w:bCs/>
          <w:sz w:val="21"/>
          <w:szCs w:val="21"/>
        </w:rPr>
        <w:t>2</w:t>
      </w:r>
      <w:r>
        <w:rPr>
          <w:sz w:val="21"/>
          <w:szCs w:val="21"/>
        </w:rPr>
        <w:t xml:space="preserve"> Joinpoint regression analysis of global lip and oral cavity cancer attributable to behavioral risk factors, 1990–2021.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>(A) ASDR;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>(B) ASMR.</w:t>
      </w:r>
    </w:p>
    <w:p w14:paraId="5A566D2D" w14:textId="77777777" w:rsidR="00A86EC3" w:rsidRDefault="00000000">
      <w:pPr>
        <w:pStyle w:val="a3"/>
        <w:widowControl/>
        <w:spacing w:beforeAutospacing="0"/>
        <w:ind w:firstLineChars="0" w:firstLine="0"/>
        <w:jc w:val="center"/>
        <w:rPr>
          <w:sz w:val="21"/>
          <w:szCs w:val="21"/>
        </w:rPr>
      </w:pPr>
      <w:r>
        <w:rPr>
          <w:rFonts w:hint="eastAsia"/>
          <w:noProof/>
          <w:sz w:val="21"/>
          <w:szCs w:val="21"/>
        </w:rPr>
        <w:lastRenderedPageBreak/>
        <w:drawing>
          <wp:inline distT="0" distB="0" distL="114300" distR="114300" wp14:anchorId="11A7412D" wp14:editId="628D1788">
            <wp:extent cx="5115406" cy="318643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5406" cy="318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73635" w14:textId="7F274600" w:rsidR="00A86EC3" w:rsidRDefault="00000000">
      <w:pPr>
        <w:pStyle w:val="a3"/>
        <w:widowControl/>
        <w:spacing w:beforeAutospacing="0"/>
        <w:ind w:firstLineChars="0" w:firstLine="0"/>
        <w:jc w:val="both"/>
        <w:rPr>
          <w:sz w:val="21"/>
          <w:szCs w:val="21"/>
        </w:rPr>
      </w:pPr>
      <w:r w:rsidRPr="00FC275D">
        <w:rPr>
          <w:b/>
          <w:bCs/>
          <w:sz w:val="21"/>
          <w:szCs w:val="21"/>
        </w:rPr>
        <w:t>Supplementary Figure 3</w:t>
      </w:r>
      <w:r w:rsidR="00FC275D" w:rsidRPr="00FC275D">
        <w:rPr>
          <w:rFonts w:hint="eastAsia"/>
          <w:b/>
          <w:bCs/>
          <w:sz w:val="21"/>
          <w:szCs w:val="21"/>
        </w:rPr>
        <w:t xml:space="preserve"> </w:t>
      </w:r>
      <w:r>
        <w:rPr>
          <w:sz w:val="21"/>
          <w:szCs w:val="21"/>
        </w:rPr>
        <w:t>Age-specific burden of lip and oral cavity cancer attributable to behavioral risk factors in 2021.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>(A) Mortality rate;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>(B) DALY</w:t>
      </w:r>
      <w:r>
        <w:rPr>
          <w:rFonts w:hint="eastAsia"/>
          <w:sz w:val="21"/>
          <w:szCs w:val="21"/>
        </w:rPr>
        <w:t>s</w:t>
      </w:r>
      <w:r>
        <w:rPr>
          <w:sz w:val="21"/>
          <w:szCs w:val="21"/>
        </w:rPr>
        <w:t xml:space="preserve"> rate.</w:t>
      </w:r>
    </w:p>
    <w:p w14:paraId="5D476548" w14:textId="573DEF42" w:rsidR="00FC275D" w:rsidRDefault="00FC275D">
      <w:pPr>
        <w:pStyle w:val="a3"/>
        <w:widowControl/>
        <w:spacing w:beforeAutospacing="0"/>
        <w:ind w:firstLineChars="0" w:firstLine="0"/>
        <w:jc w:val="both"/>
        <w:rPr>
          <w:sz w:val="21"/>
          <w:szCs w:val="21"/>
        </w:rPr>
      </w:pPr>
      <w:r>
        <w:rPr>
          <w:noProof/>
          <w:sz w:val="21"/>
          <w:szCs w:val="21"/>
        </w:rPr>
        <w:drawing>
          <wp:inline distT="0" distB="0" distL="0" distR="0" wp14:anchorId="0C439BC7" wp14:editId="5C9B9207">
            <wp:extent cx="5273675" cy="2590800"/>
            <wp:effectExtent l="0" t="0" r="3175" b="0"/>
            <wp:docPr id="11186432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829AED" w14:textId="02708339" w:rsidR="00FC275D" w:rsidRPr="00FC275D" w:rsidRDefault="00FC275D" w:rsidP="00FC275D">
      <w:pPr>
        <w:widowControl/>
        <w:spacing w:before="120" w:after="240" w:line="240" w:lineRule="auto"/>
        <w:ind w:firstLineChars="0" w:firstLine="0"/>
        <w:rPr>
          <w:kern w:val="0"/>
          <w:sz w:val="21"/>
          <w:szCs w:val="21"/>
        </w:rPr>
      </w:pPr>
      <w:bookmarkStart w:id="0" w:name="_Hlk219108627"/>
      <w:r w:rsidRPr="00FC275D">
        <w:rPr>
          <w:b/>
          <w:bCs/>
          <w:sz w:val="21"/>
          <w:szCs w:val="21"/>
        </w:rPr>
        <w:t>Supplementary</w:t>
      </w:r>
      <w:r w:rsidRPr="00FC275D">
        <w:rPr>
          <w:b/>
          <w:bCs/>
          <w:kern w:val="0"/>
          <w:sz w:val="21"/>
          <w:szCs w:val="21"/>
        </w:rPr>
        <w:t xml:space="preserve"> </w:t>
      </w:r>
      <w:r w:rsidRPr="00FC275D">
        <w:rPr>
          <w:b/>
          <w:bCs/>
          <w:kern w:val="0"/>
          <w:sz w:val="21"/>
          <w:szCs w:val="21"/>
        </w:rPr>
        <w:t xml:space="preserve">Figure </w:t>
      </w:r>
      <w:r w:rsidRPr="00FC275D">
        <w:rPr>
          <w:rFonts w:hint="eastAsia"/>
          <w:b/>
          <w:bCs/>
          <w:kern w:val="0"/>
          <w:sz w:val="21"/>
          <w:szCs w:val="21"/>
        </w:rPr>
        <w:t>4</w:t>
      </w:r>
      <w:bookmarkEnd w:id="0"/>
      <w:r w:rsidRPr="00FC275D">
        <w:rPr>
          <w:kern w:val="0"/>
          <w:sz w:val="21"/>
          <w:szCs w:val="21"/>
        </w:rPr>
        <w:t xml:space="preserve"> Projected global burden of LOC attributable to behavioral risk factors for the next 30 years. (A) ASDR; (B) ASMR.</w:t>
      </w:r>
    </w:p>
    <w:p w14:paraId="6B2BFB91" w14:textId="77777777" w:rsidR="00FC275D" w:rsidRDefault="00FC275D">
      <w:pPr>
        <w:pStyle w:val="a3"/>
        <w:widowControl/>
        <w:spacing w:beforeAutospacing="0"/>
        <w:ind w:firstLineChars="0" w:firstLine="0"/>
        <w:jc w:val="both"/>
        <w:rPr>
          <w:rFonts w:hint="eastAsia"/>
          <w:sz w:val="21"/>
          <w:szCs w:val="21"/>
        </w:rPr>
      </w:pPr>
    </w:p>
    <w:sectPr w:rsidR="00FC27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A2D11A2"/>
    <w:rsid w:val="00094AF3"/>
    <w:rsid w:val="000B28CD"/>
    <w:rsid w:val="00620961"/>
    <w:rsid w:val="00A86EC3"/>
    <w:rsid w:val="00FC275D"/>
    <w:rsid w:val="2A2D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C13513"/>
  <w15:docId w15:val="{2B06E172-50BC-410D-BDEC-7B33525F8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482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widowControl w:val="0"/>
      <w:spacing w:beforeAutospacing="1" w:after="100" w:afterAutospacing="1" w:line="360" w:lineRule="auto"/>
      <w:ind w:firstLineChars="200" w:firstLine="482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86</Words>
  <Characters>474</Characters>
  <Application>Microsoft Office Word</Application>
  <DocSecurity>0</DocSecurity>
  <Lines>12</Lines>
  <Paragraphs>4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星辰</dc:creator>
  <cp:lastModifiedBy>婷 邱</cp:lastModifiedBy>
  <cp:revision>3</cp:revision>
  <dcterms:created xsi:type="dcterms:W3CDTF">2025-09-18T12:57:00Z</dcterms:created>
  <dcterms:modified xsi:type="dcterms:W3CDTF">2026-01-12T03:10:00Z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