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644" w:rsidRPr="007F4B64" w:rsidRDefault="00C20EA7">
      <w:pPr>
        <w:rPr>
          <w:b/>
          <w:lang w:val="en-US"/>
        </w:rPr>
      </w:pPr>
      <w:r w:rsidRPr="007F4B64">
        <w:rPr>
          <w:b/>
          <w:lang w:val="en-US"/>
        </w:rPr>
        <w:t xml:space="preserve">Table S1. </w:t>
      </w:r>
      <w:r w:rsidR="007F4B64" w:rsidRPr="007F4B64">
        <w:rPr>
          <w:rFonts w:ascii="Times New Roman" w:hAnsi="Times New Roman" w:cs="Times New Roman"/>
          <w:lang w:val="en-US"/>
        </w:rPr>
        <w:t xml:space="preserve">Dependence of the </w:t>
      </w:r>
      <w:r w:rsidR="007F4B64">
        <w:rPr>
          <w:rFonts w:ascii="Times New Roman" w:hAnsi="Times New Roman" w:cs="Times New Roman"/>
          <w:lang w:val="en-US"/>
        </w:rPr>
        <w:t>i</w:t>
      </w:r>
      <w:r w:rsidR="007F4B64" w:rsidRPr="007F4B64">
        <w:rPr>
          <w:rFonts w:ascii="Times New Roman" w:hAnsi="Times New Roman" w:cs="Times New Roman"/>
          <w:lang w:val="en-US"/>
        </w:rPr>
        <w:t xml:space="preserve">ron ions concentration on time in water </w:t>
      </w:r>
      <w:r w:rsidR="007F4B64" w:rsidRPr="00CD287C">
        <w:rPr>
          <w:rFonts w:ascii="Times New Roman" w:hAnsi="Times New Roman" w:cs="Times New Roman"/>
          <w:color w:val="000000" w:themeColor="text1"/>
          <w:lang w:val="en-US"/>
        </w:rPr>
        <w:t>solutions with different pH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554"/>
        <w:gridCol w:w="1706"/>
        <w:gridCol w:w="1980"/>
        <w:gridCol w:w="1280"/>
      </w:tblGrid>
      <w:tr w:rsidR="00CD287C" w:rsidRPr="007F4B64" w:rsidTr="00CD287C">
        <w:trPr>
          <w:trHeight w:val="80"/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CD287C" w:rsidRPr="00C20EA7" w:rsidRDefault="00CD287C" w:rsidP="00CD287C">
            <w:pPr>
              <w:rPr>
                <w:b/>
                <w:sz w:val="24"/>
                <w:szCs w:val="24"/>
              </w:rPr>
            </w:pPr>
          </w:p>
        </w:tc>
        <w:tc>
          <w:tcPr>
            <w:tcW w:w="6520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CD287C" w:rsidRPr="007F4B64" w:rsidRDefault="00CD287C" w:rsidP="00CD287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F4B64">
              <w:rPr>
                <w:b/>
                <w:sz w:val="24"/>
                <w:szCs w:val="24"/>
                <w:lang w:val="en-US"/>
              </w:rPr>
              <w:t>Iron ions concentration (mg dm</w:t>
            </w:r>
            <w:r w:rsidRPr="007F4B64">
              <w:rPr>
                <w:b/>
                <w:sz w:val="24"/>
                <w:szCs w:val="24"/>
                <w:vertAlign w:val="superscript"/>
                <w:lang w:val="en-US"/>
              </w:rPr>
              <w:t>-3</w:t>
            </w:r>
            <w:r>
              <w:rPr>
                <w:b/>
                <w:sz w:val="24"/>
                <w:szCs w:val="24"/>
                <w:lang w:val="en-US"/>
              </w:rPr>
              <w:t>)</w:t>
            </w:r>
          </w:p>
          <w:p w:rsidR="00CD287C" w:rsidRPr="007F4B64" w:rsidRDefault="00CD287C" w:rsidP="00CD287C">
            <w:pPr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C20EA7">
              <w:rPr>
                <w:b/>
                <w:sz w:val="24"/>
                <w:szCs w:val="24"/>
              </w:rPr>
              <w:t>pH</w:t>
            </w:r>
            <w:proofErr w:type="spellEnd"/>
            <w:r w:rsidRPr="00C20EA7">
              <w:rPr>
                <w:b/>
                <w:sz w:val="24"/>
                <w:szCs w:val="24"/>
              </w:rPr>
              <w:t xml:space="preserve"> of </w:t>
            </w:r>
            <w:proofErr w:type="spellStart"/>
            <w:r w:rsidRPr="00C20EA7">
              <w:rPr>
                <w:b/>
                <w:sz w:val="24"/>
                <w:szCs w:val="24"/>
              </w:rPr>
              <w:t>solution</w:t>
            </w:r>
            <w:proofErr w:type="spellEnd"/>
          </w:p>
        </w:tc>
      </w:tr>
      <w:tr w:rsidR="00CD287C" w:rsidRPr="007F4B64" w:rsidTr="006543E3">
        <w:trPr>
          <w:trHeight w:val="293"/>
          <w:jc w:val="center"/>
        </w:trPr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287C" w:rsidRPr="007F4B64" w:rsidRDefault="00CD287C" w:rsidP="00CD287C">
            <w:pPr>
              <w:rPr>
                <w:b/>
                <w:sz w:val="24"/>
                <w:szCs w:val="24"/>
                <w:lang w:val="en-US"/>
              </w:rPr>
            </w:pPr>
            <w:r w:rsidRPr="00C20EA7">
              <w:rPr>
                <w:b/>
                <w:sz w:val="24"/>
                <w:szCs w:val="24"/>
              </w:rPr>
              <w:t>Time (h)</w:t>
            </w:r>
          </w:p>
        </w:tc>
        <w:tc>
          <w:tcPr>
            <w:tcW w:w="6520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CD287C" w:rsidRPr="007F4B64" w:rsidRDefault="00CD287C" w:rsidP="00CD287C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D287C" w:rsidRPr="00C20EA7" w:rsidTr="00CD287C">
        <w:trPr>
          <w:jc w:val="center"/>
        </w:trPr>
        <w:tc>
          <w:tcPr>
            <w:tcW w:w="1418" w:type="dxa"/>
            <w:vMerge/>
            <w:tcBorders>
              <w:left w:val="nil"/>
              <w:bottom w:val="nil"/>
              <w:right w:val="nil"/>
            </w:tcBorders>
          </w:tcPr>
          <w:p w:rsidR="00CD287C" w:rsidRPr="00C20EA7" w:rsidRDefault="00CD287C" w:rsidP="00CD287C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nil"/>
              <w:left w:val="nil"/>
              <w:right w:val="nil"/>
            </w:tcBorders>
          </w:tcPr>
          <w:p w:rsidR="00CD287C" w:rsidRPr="00C20EA7" w:rsidRDefault="00CD287C" w:rsidP="00CD287C">
            <w:pPr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2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</w:tcPr>
          <w:p w:rsidR="00CD287C" w:rsidRPr="00C20EA7" w:rsidRDefault="00CD287C" w:rsidP="00CD287C">
            <w:pPr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2.5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:rsidR="00CD287C" w:rsidRPr="00C20EA7" w:rsidRDefault="00CD287C" w:rsidP="00CD287C">
            <w:pPr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</w:tcPr>
          <w:p w:rsidR="00CD287C" w:rsidRPr="00C20EA7" w:rsidRDefault="00CD287C" w:rsidP="00CD287C">
            <w:pPr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3.5</w:t>
            </w:r>
          </w:p>
        </w:tc>
      </w:tr>
      <w:tr w:rsidR="00CD287C" w:rsidRPr="00C20EA7" w:rsidTr="00CD287C">
        <w:trPr>
          <w:jc w:val="center"/>
        </w:trPr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CD287C" w:rsidRPr="00C20EA7" w:rsidRDefault="00CD287C" w:rsidP="00CD287C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0.5</w:t>
            </w:r>
          </w:p>
          <w:p w:rsidR="00CD287C" w:rsidRPr="00C20EA7" w:rsidRDefault="00CD287C" w:rsidP="00CD287C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2</w:t>
            </w:r>
          </w:p>
          <w:p w:rsidR="00CD287C" w:rsidRPr="00C20EA7" w:rsidRDefault="00CD287C" w:rsidP="00CD287C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4</w:t>
            </w:r>
          </w:p>
          <w:p w:rsidR="00CD287C" w:rsidRPr="00C20EA7" w:rsidRDefault="00CD287C" w:rsidP="00CD287C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8</w:t>
            </w:r>
          </w:p>
          <w:p w:rsidR="00CD287C" w:rsidRPr="00C20EA7" w:rsidRDefault="00CD287C" w:rsidP="00CD287C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24</w:t>
            </w:r>
          </w:p>
          <w:p w:rsidR="00CD287C" w:rsidRPr="00C20EA7" w:rsidRDefault="00CD287C" w:rsidP="00CD287C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48</w:t>
            </w:r>
          </w:p>
        </w:tc>
        <w:tc>
          <w:tcPr>
            <w:tcW w:w="1554" w:type="dxa"/>
            <w:tcBorders>
              <w:left w:val="nil"/>
              <w:bottom w:val="nil"/>
              <w:right w:val="nil"/>
            </w:tcBorders>
          </w:tcPr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0.12 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2.3%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0.14 </w:t>
            </w:r>
            <w:r w:rsidRPr="00C20EA7">
              <w:rPr>
                <w:rFonts w:cstheme="minorHAnsi"/>
                <w:sz w:val="24"/>
                <w:szCs w:val="24"/>
              </w:rPr>
              <w:t>±</w:t>
            </w:r>
            <w:r w:rsidRPr="00C20EA7">
              <w:rPr>
                <w:rFonts w:cstheme="minorHAnsi"/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3</w:t>
            </w:r>
            <w:r w:rsidRPr="00C20EA7">
              <w:rPr>
                <w:sz w:val="24"/>
                <w:szCs w:val="24"/>
              </w:rPr>
              <w:t>.3%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0.16 </w:t>
            </w:r>
            <w:r w:rsidRPr="00C20EA7">
              <w:rPr>
                <w:rFonts w:cstheme="minorHAnsi"/>
                <w:sz w:val="24"/>
                <w:szCs w:val="24"/>
              </w:rPr>
              <w:t>±</w:t>
            </w:r>
            <w:r w:rsidRPr="00C20EA7">
              <w:rPr>
                <w:rFonts w:cstheme="minorHAnsi"/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2.</w:t>
            </w:r>
            <w:r w:rsidRPr="00C20EA7">
              <w:rPr>
                <w:sz w:val="24"/>
                <w:szCs w:val="24"/>
              </w:rPr>
              <w:t>7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0.32 </w:t>
            </w:r>
            <w:r w:rsidRPr="00C20EA7">
              <w:rPr>
                <w:rFonts w:cstheme="minorHAnsi"/>
                <w:sz w:val="24"/>
                <w:szCs w:val="24"/>
              </w:rPr>
              <w:t>±</w:t>
            </w:r>
            <w:r w:rsidRPr="00C20EA7">
              <w:rPr>
                <w:rFonts w:cstheme="minorHAnsi"/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0,5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0.48 </w:t>
            </w:r>
            <w:r w:rsidRPr="00C20EA7">
              <w:rPr>
                <w:rFonts w:cstheme="minorHAnsi"/>
                <w:sz w:val="24"/>
                <w:szCs w:val="24"/>
              </w:rPr>
              <w:t>±</w:t>
            </w:r>
            <w:r w:rsidRPr="00C20EA7">
              <w:rPr>
                <w:rFonts w:cstheme="minorHAnsi"/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0,7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nil"/>
              <w:bottom w:val="nil"/>
              <w:right w:val="nil"/>
            </w:tcBorders>
          </w:tcPr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</w:t>
            </w:r>
            <w:r w:rsidRPr="00C20EA7">
              <w:rPr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&lt;</w:t>
            </w:r>
            <w:r w:rsidRPr="00C20EA7">
              <w:rPr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</w:t>
            </w:r>
            <w:r w:rsidRPr="00C20EA7">
              <w:rPr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&lt;</w:t>
            </w:r>
            <w:r w:rsidRPr="00C20EA7">
              <w:rPr>
                <w:sz w:val="24"/>
                <w:szCs w:val="24"/>
              </w:rPr>
              <w:t xml:space="preserve"> </w:t>
            </w:r>
            <w:r w:rsidRPr="00C20EA7">
              <w:rPr>
                <w:sz w:val="24"/>
                <w:szCs w:val="24"/>
              </w:rPr>
              <w:t>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0.10</w:t>
            </w:r>
            <w:r w:rsidRPr="00C20EA7">
              <w:rPr>
                <w:sz w:val="24"/>
                <w:szCs w:val="24"/>
              </w:rPr>
              <w:t xml:space="preserve"> 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4.2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0.12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4.</w:t>
            </w:r>
            <w:r w:rsidRPr="00C20EA7">
              <w:rPr>
                <w:sz w:val="24"/>
                <w:szCs w:val="24"/>
              </w:rPr>
              <w:t>1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0.20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0.3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 xml:space="preserve">0.28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2.1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nil"/>
              <w:bottom w:val="nil"/>
              <w:right w:val="nil"/>
            </w:tcBorders>
          </w:tcPr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0.12</w:t>
            </w:r>
            <w:r w:rsidRPr="00C20EA7">
              <w:rPr>
                <w:sz w:val="24"/>
                <w:szCs w:val="24"/>
              </w:rPr>
              <w:t xml:space="preserve">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2.5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0.12</w:t>
            </w:r>
            <w:r w:rsidRPr="00C20EA7">
              <w:rPr>
                <w:sz w:val="24"/>
                <w:szCs w:val="24"/>
              </w:rPr>
              <w:t xml:space="preserve"> </w:t>
            </w:r>
            <w:r w:rsidRPr="00C20EA7">
              <w:rPr>
                <w:rFonts w:cstheme="minorHAnsi"/>
                <w:sz w:val="24"/>
                <w:szCs w:val="24"/>
              </w:rPr>
              <w:t xml:space="preserve">± </w:t>
            </w:r>
            <w:r w:rsidRPr="00C20EA7">
              <w:rPr>
                <w:sz w:val="24"/>
                <w:szCs w:val="24"/>
              </w:rPr>
              <w:t>4.7</w:t>
            </w:r>
            <w:r w:rsidRPr="00C20EA7">
              <w:rPr>
                <w:sz w:val="24"/>
                <w:szCs w:val="24"/>
              </w:rPr>
              <w:t>%</w:t>
            </w:r>
          </w:p>
          <w:p w:rsidR="00CD287C" w:rsidRPr="00C20EA7" w:rsidRDefault="00CD287C" w:rsidP="00C20EA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</w:tcPr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C20EA7">
            <w:pPr>
              <w:jc w:val="center"/>
              <w:rPr>
                <w:sz w:val="24"/>
                <w:szCs w:val="24"/>
              </w:rPr>
            </w:pPr>
            <w:r w:rsidRPr="00C20EA7">
              <w:rPr>
                <w:sz w:val="24"/>
                <w:szCs w:val="24"/>
              </w:rPr>
              <w:t>0.08 &lt; LOD</w:t>
            </w:r>
          </w:p>
          <w:p w:rsidR="00CD287C" w:rsidRPr="00C20EA7" w:rsidRDefault="00CD287C" w:rsidP="00B247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478B" w:rsidRPr="00C20EA7" w:rsidRDefault="00B2478B">
      <w:pPr>
        <w:rPr>
          <w:sz w:val="24"/>
          <w:szCs w:val="24"/>
        </w:rPr>
      </w:pPr>
    </w:p>
    <w:p w:rsidR="00B2478B" w:rsidRDefault="00B2478B"/>
    <w:p w:rsidR="00B2478B" w:rsidRDefault="008024CA" w:rsidP="00B2478B">
      <w:pPr>
        <w:jc w:val="center"/>
      </w:pPr>
      <w:r>
        <w:rPr>
          <w:noProof/>
          <w:lang w:eastAsia="pl-PL"/>
        </w:rPr>
        <w:drawing>
          <wp:inline distT="0" distB="0" distL="0" distR="0" wp14:anchorId="59AD896A" wp14:editId="23372B89">
            <wp:extent cx="5381625" cy="4052888"/>
            <wp:effectExtent l="0" t="0" r="9525" b="508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bookmarkStart w:id="0" w:name="_GoBack"/>
      <w:bookmarkEnd w:id="0"/>
      <w:r w:rsidR="00CD287C" w:rsidRPr="00CD287C">
        <w:t xml:space="preserve"> </w:t>
      </w:r>
    </w:p>
    <w:p w:rsidR="007F4B64" w:rsidRPr="00CD287C" w:rsidRDefault="007F4B64" w:rsidP="007F4B64">
      <w:pPr>
        <w:jc w:val="both"/>
        <w:rPr>
          <w:lang w:val="en-US"/>
        </w:rPr>
      </w:pPr>
      <w:proofErr w:type="spellStart"/>
      <w:r>
        <w:rPr>
          <w:b/>
          <w:lang w:val="en-US"/>
        </w:rPr>
        <w:t>Figue</w:t>
      </w:r>
      <w:proofErr w:type="spellEnd"/>
      <w:r w:rsidRPr="007F4B64">
        <w:rPr>
          <w:b/>
          <w:lang w:val="en-US"/>
        </w:rPr>
        <w:t xml:space="preserve"> S1. </w:t>
      </w:r>
      <w:r w:rsidRPr="007F4B64">
        <w:rPr>
          <w:rFonts w:ascii="Times New Roman" w:hAnsi="Times New Roman" w:cs="Times New Roman"/>
          <w:lang w:val="en-US"/>
        </w:rPr>
        <w:t>Dependence</w:t>
      </w:r>
      <w:r>
        <w:rPr>
          <w:rFonts w:ascii="Times New Roman" w:hAnsi="Times New Roman" w:cs="Times New Roman"/>
          <w:lang w:val="en-US"/>
        </w:rPr>
        <w:t xml:space="preserve"> of the </w:t>
      </w:r>
      <w:r w:rsidR="00CD287C">
        <w:rPr>
          <w:rFonts w:ascii="Times New Roman" w:hAnsi="Times New Roman" w:cs="Times New Roman"/>
          <w:lang w:val="en-US"/>
        </w:rPr>
        <w:t>i</w:t>
      </w:r>
      <w:r w:rsidR="00CD287C" w:rsidRPr="007F4B64">
        <w:rPr>
          <w:rFonts w:ascii="Times New Roman" w:hAnsi="Times New Roman" w:cs="Times New Roman"/>
          <w:lang w:val="en-US"/>
        </w:rPr>
        <w:t xml:space="preserve">ron ions concentration on time in water </w:t>
      </w:r>
      <w:r w:rsidR="00CD287C" w:rsidRPr="00CD287C">
        <w:rPr>
          <w:rFonts w:ascii="Times New Roman" w:hAnsi="Times New Roman" w:cs="Times New Roman"/>
          <w:color w:val="000000" w:themeColor="text1"/>
          <w:lang w:val="en-US"/>
        </w:rPr>
        <w:t>solutions with different pH</w:t>
      </w:r>
    </w:p>
    <w:p w:rsidR="007F4B64" w:rsidRPr="00CD287C" w:rsidRDefault="007F4B64" w:rsidP="00B2478B">
      <w:pPr>
        <w:jc w:val="center"/>
        <w:rPr>
          <w:lang w:val="en-US"/>
        </w:rPr>
      </w:pPr>
    </w:p>
    <w:sectPr w:rsidR="007F4B64" w:rsidRPr="00CD2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8B"/>
    <w:rsid w:val="006F722A"/>
    <w:rsid w:val="007F4B64"/>
    <w:rsid w:val="008024CA"/>
    <w:rsid w:val="00B2478B"/>
    <w:rsid w:val="00B3657B"/>
    <w:rsid w:val="00C20EA7"/>
    <w:rsid w:val="00C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89EC7-752C-41B5-9691-62C135EC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24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975695073514035"/>
          <c:y val="0.18349507807765725"/>
          <c:w val="0.75469903762029744"/>
          <c:h val="0.60133530183727035"/>
        </c:manualLayout>
      </c:layout>
      <c:scatterChart>
        <c:scatterStyle val="lineMarker"/>
        <c:varyColors val="0"/>
        <c:ser>
          <c:idx val="3"/>
          <c:order val="0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xVal>
            <c:numRef>
              <c:f>Arkusz1!$L$15:$L$20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24</c:v>
                </c:pt>
                <c:pt idx="5">
                  <c:v>48</c:v>
                </c:pt>
              </c:numCache>
            </c:numRef>
          </c:xVal>
          <c:yVal>
            <c:numRef>
              <c:f>Arkusz1!$M$15:$M$20</c:f>
              <c:numCache>
                <c:formatCode>General</c:formatCode>
                <c:ptCount val="6"/>
                <c:pt idx="0">
                  <c:v>0.08</c:v>
                </c:pt>
                <c:pt idx="1">
                  <c:v>0.12</c:v>
                </c:pt>
                <c:pt idx="2">
                  <c:v>0.14000000000000001</c:v>
                </c:pt>
                <c:pt idx="3">
                  <c:v>0.16</c:v>
                </c:pt>
                <c:pt idx="4">
                  <c:v>0.32</c:v>
                </c:pt>
                <c:pt idx="5">
                  <c:v>0.48</c:v>
                </c:pt>
              </c:numCache>
            </c:numRef>
          </c:yVal>
          <c:smooth val="0"/>
        </c:ser>
        <c:ser>
          <c:idx val="4"/>
          <c:order val="1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xVal>
            <c:numRef>
              <c:f>Arkusz1!$O$15:$O$20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24</c:v>
                </c:pt>
                <c:pt idx="5">
                  <c:v>48</c:v>
                </c:pt>
              </c:numCache>
            </c:numRef>
          </c:xVal>
          <c:yVal>
            <c:numRef>
              <c:f>Arkusz1!$P$15:$P$20</c:f>
              <c:numCache>
                <c:formatCode>General</c:formatCode>
                <c:ptCount val="6"/>
                <c:pt idx="0">
                  <c:v>0.08</c:v>
                </c:pt>
                <c:pt idx="1">
                  <c:v>0.08</c:v>
                </c:pt>
                <c:pt idx="2">
                  <c:v>0.1</c:v>
                </c:pt>
                <c:pt idx="3">
                  <c:v>0.12</c:v>
                </c:pt>
                <c:pt idx="4">
                  <c:v>0.2</c:v>
                </c:pt>
                <c:pt idx="5">
                  <c:v>0.28000000000000003</c:v>
                </c:pt>
              </c:numCache>
            </c:numRef>
          </c:yVal>
          <c:smooth val="0"/>
        </c:ser>
        <c:ser>
          <c:idx val="5"/>
          <c:order val="2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xVal>
            <c:numRef>
              <c:f>Arkusz1!$R$15:$R$20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24</c:v>
                </c:pt>
                <c:pt idx="5">
                  <c:v>48</c:v>
                </c:pt>
              </c:numCache>
            </c:numRef>
          </c:xVal>
          <c:yVal>
            <c:numRef>
              <c:f>Arkusz1!$S$15:$S$20</c:f>
              <c:numCache>
                <c:formatCode>General</c:formatCode>
                <c:ptCount val="6"/>
                <c:pt idx="0">
                  <c:v>0.08</c:v>
                </c:pt>
                <c:pt idx="1">
                  <c:v>0.08</c:v>
                </c:pt>
                <c:pt idx="2">
                  <c:v>0.08</c:v>
                </c:pt>
                <c:pt idx="3">
                  <c:v>0.08</c:v>
                </c:pt>
                <c:pt idx="4">
                  <c:v>0.12</c:v>
                </c:pt>
                <c:pt idx="5">
                  <c:v>0.12</c:v>
                </c:pt>
              </c:numCache>
            </c:numRef>
          </c:yVal>
          <c:smooth val="0"/>
        </c:ser>
        <c:ser>
          <c:idx val="0"/>
          <c:order val="3"/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Arkusz1!$L$15:$L$20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24</c:v>
                </c:pt>
                <c:pt idx="5">
                  <c:v>48</c:v>
                </c:pt>
              </c:numCache>
            </c:numRef>
          </c:xVal>
          <c:yVal>
            <c:numRef>
              <c:f>Arkusz1!$M$15:$M$20</c:f>
              <c:numCache>
                <c:formatCode>General</c:formatCode>
                <c:ptCount val="6"/>
                <c:pt idx="0">
                  <c:v>0.08</c:v>
                </c:pt>
                <c:pt idx="1">
                  <c:v>0.12</c:v>
                </c:pt>
                <c:pt idx="2">
                  <c:v>0.14000000000000001</c:v>
                </c:pt>
                <c:pt idx="3">
                  <c:v>0.16</c:v>
                </c:pt>
                <c:pt idx="4">
                  <c:v>0.32</c:v>
                </c:pt>
                <c:pt idx="5">
                  <c:v>0.48</c:v>
                </c:pt>
              </c:numCache>
            </c:numRef>
          </c:yVal>
          <c:smooth val="0"/>
        </c:ser>
        <c:ser>
          <c:idx val="1"/>
          <c:order val="4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Arkusz1!$O$15:$O$20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24</c:v>
                </c:pt>
                <c:pt idx="5">
                  <c:v>48</c:v>
                </c:pt>
              </c:numCache>
            </c:numRef>
          </c:xVal>
          <c:yVal>
            <c:numRef>
              <c:f>Arkusz1!$P$15:$P$20</c:f>
              <c:numCache>
                <c:formatCode>General</c:formatCode>
                <c:ptCount val="6"/>
                <c:pt idx="0">
                  <c:v>0.08</c:v>
                </c:pt>
                <c:pt idx="1">
                  <c:v>0.08</c:v>
                </c:pt>
                <c:pt idx="2">
                  <c:v>0.1</c:v>
                </c:pt>
                <c:pt idx="3">
                  <c:v>0.12</c:v>
                </c:pt>
                <c:pt idx="4">
                  <c:v>0.2</c:v>
                </c:pt>
                <c:pt idx="5">
                  <c:v>0.28000000000000003</c:v>
                </c:pt>
              </c:numCache>
            </c:numRef>
          </c:yVal>
          <c:smooth val="0"/>
        </c:ser>
        <c:ser>
          <c:idx val="2"/>
          <c:order val="5"/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xVal>
            <c:numRef>
              <c:f>Arkusz1!$R$15:$R$20</c:f>
              <c:numCache>
                <c:formatCode>General</c:formatCode>
                <c:ptCount val="6"/>
                <c:pt idx="0">
                  <c:v>0.5</c:v>
                </c:pt>
                <c:pt idx="1">
                  <c:v>2</c:v>
                </c:pt>
                <c:pt idx="2">
                  <c:v>4</c:v>
                </c:pt>
                <c:pt idx="3">
                  <c:v>8</c:v>
                </c:pt>
                <c:pt idx="4">
                  <c:v>24</c:v>
                </c:pt>
                <c:pt idx="5">
                  <c:v>48</c:v>
                </c:pt>
              </c:numCache>
            </c:numRef>
          </c:xVal>
          <c:yVal>
            <c:numRef>
              <c:f>Arkusz1!$S$15:$S$20</c:f>
              <c:numCache>
                <c:formatCode>General</c:formatCode>
                <c:ptCount val="6"/>
                <c:pt idx="0">
                  <c:v>0.08</c:v>
                </c:pt>
                <c:pt idx="1">
                  <c:v>0.08</c:v>
                </c:pt>
                <c:pt idx="2">
                  <c:v>0.08</c:v>
                </c:pt>
                <c:pt idx="3">
                  <c:v>0.08</c:v>
                </c:pt>
                <c:pt idx="4">
                  <c:v>0.12</c:v>
                </c:pt>
                <c:pt idx="5">
                  <c:v>0.12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481194640"/>
        <c:axId val="-481178320"/>
      </c:scatterChart>
      <c:valAx>
        <c:axId val="-481194640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481178320"/>
        <c:crosses val="autoZero"/>
        <c:crossBetween val="midCat"/>
      </c:valAx>
      <c:valAx>
        <c:axId val="-481178320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in"/>
        <c:minorTickMark val="none"/>
        <c:tickLblPos val="nextTo"/>
        <c:spPr>
          <a:noFill/>
          <a:ln w="190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481194640"/>
        <c:crosses val="autoZero"/>
        <c:crossBetween val="midCat"/>
      </c:valAx>
      <c:spPr>
        <a:noFill/>
        <a:ln w="19050">
          <a:solidFill>
            <a:schemeClr val="tx1"/>
          </a:solidFill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0.26195</cdr:x>
      <cdr:y>0.22444</cdr:y>
    </cdr:from>
    <cdr:to>
      <cdr:x>0.43186</cdr:x>
      <cdr:y>0.45006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1409701" y="9096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0.04513</cdr:x>
      <cdr:y>0.23032</cdr:y>
    </cdr:from>
    <cdr:to>
      <cdr:x>0.1</cdr:x>
      <cdr:y>0.71915</cdr:y>
    </cdr:to>
    <cdr:sp macro="" textlink="">
      <cdr:nvSpPr>
        <cdr:cNvPr id="3" name="pole tekstowe 2"/>
        <cdr:cNvSpPr txBox="1"/>
      </cdr:nvSpPr>
      <cdr:spPr>
        <a:xfrm xmlns:a="http://schemas.openxmlformats.org/drawingml/2006/main" rot="16200000">
          <a:off x="-600073" y="1776413"/>
          <a:ext cx="1981200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1400" b="1"/>
            <a:t>Concentration (mg/dm</a:t>
          </a:r>
          <a:r>
            <a:rPr lang="pl-PL" sz="1400" b="1" baseline="30000"/>
            <a:t>-3</a:t>
          </a:r>
          <a:r>
            <a:rPr lang="pl-PL" sz="1400" b="1"/>
            <a:t>)</a:t>
          </a:r>
          <a:r>
            <a:rPr lang="pl-PL" sz="1400" b="1" baseline="0"/>
            <a:t> </a:t>
          </a:r>
          <a:endParaRPr lang="pl-PL" sz="1400" b="1"/>
        </a:p>
      </cdr:txBody>
    </cdr:sp>
  </cdr:relSizeAnchor>
  <cdr:relSizeAnchor xmlns:cdr="http://schemas.openxmlformats.org/drawingml/2006/chartDrawing">
    <cdr:from>
      <cdr:x>0.26195</cdr:x>
      <cdr:y>0.22444</cdr:y>
    </cdr:from>
    <cdr:to>
      <cdr:x>0.43186</cdr:x>
      <cdr:y>0.45006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1409701" y="9096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0.04513</cdr:x>
      <cdr:y>0.23032</cdr:y>
    </cdr:from>
    <cdr:to>
      <cdr:x>0.1</cdr:x>
      <cdr:y>0.71915</cdr:y>
    </cdr:to>
    <cdr:sp macro="" textlink="">
      <cdr:nvSpPr>
        <cdr:cNvPr id="9" name="pole tekstowe 2"/>
        <cdr:cNvSpPr txBox="1"/>
      </cdr:nvSpPr>
      <cdr:spPr>
        <a:xfrm xmlns:a="http://schemas.openxmlformats.org/drawingml/2006/main" rot="16200000">
          <a:off x="-600073" y="1776413"/>
          <a:ext cx="1981200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1400" b="1"/>
            <a:t>Concentration (mg/dm</a:t>
          </a:r>
          <a:r>
            <a:rPr lang="pl-PL" sz="1400" b="1" baseline="30000"/>
            <a:t>-3</a:t>
          </a:r>
          <a:r>
            <a:rPr lang="pl-PL" sz="1400" b="1"/>
            <a:t>)</a:t>
          </a:r>
          <a:r>
            <a:rPr lang="pl-PL" sz="1400" b="1" baseline="0"/>
            <a:t> </a:t>
          </a:r>
          <a:endParaRPr lang="pl-PL" sz="1400" b="1"/>
        </a:p>
      </cdr:txBody>
    </cdr:sp>
  </cdr:relSizeAnchor>
  <cdr:relSizeAnchor xmlns:cdr="http://schemas.openxmlformats.org/drawingml/2006/chartDrawing">
    <cdr:from>
      <cdr:x>0.48466</cdr:x>
      <cdr:y>0.87622</cdr:y>
    </cdr:from>
    <cdr:to>
      <cdr:x>0.66903</cdr:x>
      <cdr:y>0.94908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2608263" y="3551239"/>
          <a:ext cx="992188" cy="2952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400" b="1"/>
            <a:t>Time (h)</a:t>
          </a:r>
          <a:r>
            <a:rPr lang="pl-PL" sz="1400" b="1" baseline="0"/>
            <a:t> </a:t>
          </a:r>
          <a:endParaRPr lang="pl-PL" sz="1400" b="1"/>
        </a:p>
      </cdr:txBody>
    </cdr:sp>
  </cdr:relSizeAnchor>
  <cdr:relSizeAnchor xmlns:cdr="http://schemas.openxmlformats.org/drawingml/2006/chartDrawing">
    <cdr:from>
      <cdr:x>0.4944</cdr:x>
      <cdr:y>0.37211</cdr:y>
    </cdr:from>
    <cdr:to>
      <cdr:x>0.67877</cdr:x>
      <cdr:y>0.44497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2660650" y="1508125"/>
          <a:ext cx="992211" cy="295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400" b="1">
              <a:solidFill>
                <a:srgbClr val="00B0F0"/>
              </a:solidFill>
            </a:rPr>
            <a:t>pH 2</a:t>
          </a:r>
        </a:p>
      </cdr:txBody>
    </cdr:sp>
  </cdr:relSizeAnchor>
  <cdr:relSizeAnchor xmlns:cdr="http://schemas.openxmlformats.org/drawingml/2006/chartDrawing">
    <cdr:from>
      <cdr:x>0.49086</cdr:x>
      <cdr:y>0.50372</cdr:y>
    </cdr:from>
    <cdr:to>
      <cdr:x>0.67523</cdr:x>
      <cdr:y>0.57658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2641600" y="2041525"/>
          <a:ext cx="992211" cy="295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400" b="1">
              <a:solidFill>
                <a:srgbClr val="FF0000"/>
              </a:solidFill>
            </a:rPr>
            <a:t>pH</a:t>
          </a:r>
          <a:r>
            <a:rPr lang="pl-PL" sz="1400" b="1" baseline="0">
              <a:solidFill>
                <a:srgbClr val="FF0000"/>
              </a:solidFill>
            </a:rPr>
            <a:t> 2.5 </a:t>
          </a:r>
          <a:endParaRPr lang="pl-PL" sz="1400" b="1">
            <a:solidFill>
              <a:srgbClr val="FF0000"/>
            </a:solidFill>
          </a:endParaRPr>
        </a:p>
      </cdr:txBody>
    </cdr:sp>
  </cdr:relSizeAnchor>
  <cdr:relSizeAnchor xmlns:cdr="http://schemas.openxmlformats.org/drawingml/2006/chartDrawing">
    <cdr:from>
      <cdr:x>0.49086</cdr:x>
      <cdr:y>0.65178</cdr:y>
    </cdr:from>
    <cdr:to>
      <cdr:x>0.67523</cdr:x>
      <cdr:y>0.72464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641600" y="2641600"/>
          <a:ext cx="992211" cy="2952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400" b="1">
              <a:solidFill>
                <a:schemeClr val="bg1">
                  <a:lumMod val="50000"/>
                </a:schemeClr>
              </a:solidFill>
            </a:rPr>
            <a:t>pH</a:t>
          </a:r>
          <a:r>
            <a:rPr lang="pl-PL" sz="1400" b="1" baseline="0">
              <a:solidFill>
                <a:schemeClr val="bg1">
                  <a:lumMod val="50000"/>
                </a:schemeClr>
              </a:solidFill>
            </a:rPr>
            <a:t> 3 </a:t>
          </a:r>
          <a:endParaRPr lang="pl-PL" sz="1400" b="1">
            <a:solidFill>
              <a:schemeClr val="bg1">
                <a:lumMod val="50000"/>
              </a:schemeClr>
            </a:solidFill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CHEMIA</dc:creator>
  <cp:keywords/>
  <dc:description/>
  <cp:lastModifiedBy>CHEMIA</cp:lastModifiedBy>
  <cp:revision>1</cp:revision>
  <dcterms:created xsi:type="dcterms:W3CDTF">2023-05-13T20:07:00Z</dcterms:created>
  <dcterms:modified xsi:type="dcterms:W3CDTF">2023-05-13T20:52:00Z</dcterms:modified>
</cp:coreProperties>
</file>