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869" w:rsidRPr="00110A1D" w:rsidRDefault="005943EF">
      <w:pPr>
        <w:rPr>
          <w:rFonts w:ascii="Avenir" w:eastAsia="Avenir" w:hAnsi="Avenir" w:cs="Avenir"/>
          <w:b/>
        </w:rPr>
      </w:pPr>
      <w:r>
        <w:rPr>
          <w:rFonts w:ascii="Avenir" w:eastAsia="Avenir" w:hAnsi="Avenir" w:cs="Avenir"/>
          <w:b/>
        </w:rPr>
        <w:t xml:space="preserve">Supplementary material for: </w:t>
      </w:r>
    </w:p>
    <w:p w:rsidR="00110A1D" w:rsidRDefault="00110A1D" w:rsidP="00110A1D">
      <w:pPr>
        <w:jc w:val="both"/>
        <w:rPr>
          <w:rFonts w:ascii="Avenir" w:eastAsia="Avenir" w:hAnsi="Avenir" w:cs="Avenir"/>
          <w:b/>
          <w:sz w:val="28"/>
          <w:szCs w:val="28"/>
        </w:rPr>
      </w:pPr>
      <w:r>
        <w:rPr>
          <w:rFonts w:ascii="Avenir" w:eastAsia="Avenir" w:hAnsi="Avenir" w:cs="Avenir"/>
          <w:b/>
          <w:sz w:val="28"/>
          <w:szCs w:val="28"/>
        </w:rPr>
        <w:t>Glacial meltwater increases the dependence on marine subsidies of fish in freshwater ecosystems</w:t>
      </w:r>
    </w:p>
    <w:p w:rsidR="00110A1D" w:rsidRDefault="00110A1D" w:rsidP="00110A1D">
      <w:pPr>
        <w:jc w:val="both"/>
        <w:rPr>
          <w:rFonts w:ascii="Avenir" w:eastAsia="Avenir" w:hAnsi="Avenir" w:cs="Avenir"/>
          <w:b/>
        </w:rPr>
      </w:pPr>
      <w:r>
        <w:rPr>
          <w:rFonts w:ascii="Avenir" w:eastAsia="Avenir" w:hAnsi="Avenir" w:cs="Avenir"/>
          <w:b/>
        </w:rPr>
        <w:t>Short: Proglacial streams depend more on subsidies</w:t>
      </w:r>
    </w:p>
    <w:p w:rsidR="00110A1D" w:rsidRDefault="00110A1D" w:rsidP="00110A1D">
      <w:pPr>
        <w:jc w:val="both"/>
        <w:rPr>
          <w:rFonts w:ascii="Avenir" w:eastAsia="Avenir" w:hAnsi="Avenir" w:cs="Avenir"/>
        </w:rPr>
      </w:pPr>
      <w:r>
        <w:rPr>
          <w:rFonts w:ascii="Avenir" w:eastAsia="Avenir" w:hAnsi="Avenir" w:cs="Avenir"/>
        </w:rPr>
        <w:t>G. Saboret</w:t>
      </w:r>
      <w:r>
        <w:rPr>
          <w:rFonts w:ascii="Avenir" w:eastAsia="Avenir" w:hAnsi="Avenir" w:cs="Avenir"/>
          <w:vertAlign w:val="superscript"/>
        </w:rPr>
        <w:t>1,3</w:t>
      </w:r>
      <w:r>
        <w:rPr>
          <w:rFonts w:ascii="Avenir" w:eastAsia="Avenir" w:hAnsi="Avenir" w:cs="Avenir"/>
        </w:rPr>
        <w:t>, C. Moccetti</w:t>
      </w:r>
      <w:r>
        <w:rPr>
          <w:rFonts w:ascii="Avenir" w:eastAsia="Avenir" w:hAnsi="Avenir" w:cs="Avenir"/>
          <w:vertAlign w:val="superscript"/>
        </w:rPr>
        <w:t>2,4</w:t>
      </w:r>
      <w:r>
        <w:rPr>
          <w:rFonts w:ascii="Avenir" w:eastAsia="Avenir" w:hAnsi="Avenir" w:cs="Avenir"/>
        </w:rPr>
        <w:t>, K. Takatsu</w:t>
      </w:r>
      <w:r>
        <w:rPr>
          <w:rFonts w:ascii="Avenir" w:eastAsia="Avenir" w:hAnsi="Avenir" w:cs="Avenir"/>
          <w:vertAlign w:val="superscript"/>
        </w:rPr>
        <w:t>5</w:t>
      </w:r>
      <w:r>
        <w:rPr>
          <w:rFonts w:ascii="Avenir" w:eastAsia="Avenir" w:hAnsi="Avenir" w:cs="Avenir"/>
        </w:rPr>
        <w:t>, D.J. Janssen</w:t>
      </w:r>
      <w:r>
        <w:rPr>
          <w:rFonts w:ascii="Avenir" w:eastAsia="Avenir" w:hAnsi="Avenir" w:cs="Avenir"/>
          <w:vertAlign w:val="superscript"/>
        </w:rPr>
        <w:t>1</w:t>
      </w:r>
      <w:r>
        <w:rPr>
          <w:rFonts w:ascii="Avenir" w:eastAsia="Avenir" w:hAnsi="Avenir" w:cs="Avenir"/>
        </w:rPr>
        <w:t>, B. Matthews</w:t>
      </w:r>
      <w:r>
        <w:rPr>
          <w:rFonts w:ascii="Avenir" w:eastAsia="Avenir" w:hAnsi="Avenir" w:cs="Avenir"/>
          <w:vertAlign w:val="superscript"/>
        </w:rPr>
        <w:t>2,4</w:t>
      </w:r>
      <w:r>
        <w:rPr>
          <w:rFonts w:ascii="Avenir" w:eastAsia="Avenir" w:hAnsi="Avenir" w:cs="Avenir"/>
        </w:rPr>
        <w:t>, J. Brodersen</w:t>
      </w:r>
      <w:r>
        <w:rPr>
          <w:rFonts w:ascii="Avenir" w:eastAsia="Avenir" w:hAnsi="Avenir" w:cs="Avenir"/>
          <w:vertAlign w:val="superscript"/>
        </w:rPr>
        <w:t>2,4</w:t>
      </w:r>
      <w:r>
        <w:rPr>
          <w:rFonts w:ascii="Avenir" w:eastAsia="Avenir" w:hAnsi="Avenir" w:cs="Avenir"/>
        </w:rPr>
        <w:t xml:space="preserve"> and C.J. Schubert</w:t>
      </w:r>
      <w:r>
        <w:rPr>
          <w:rFonts w:ascii="Avenir" w:eastAsia="Avenir" w:hAnsi="Avenir" w:cs="Avenir"/>
          <w:vertAlign w:val="superscript"/>
        </w:rPr>
        <w:t>1,3</w:t>
      </w:r>
      <w:r>
        <w:rPr>
          <w:rFonts w:ascii="Avenir" w:eastAsia="Avenir" w:hAnsi="Avenir" w:cs="Avenir"/>
        </w:rPr>
        <w:t xml:space="preserve"> </w:t>
      </w:r>
    </w:p>
    <w:p w:rsidR="00110A1D" w:rsidRDefault="00110A1D" w:rsidP="00110A1D">
      <w:pPr>
        <w:jc w:val="both"/>
        <w:rPr>
          <w:rFonts w:ascii="Avenir" w:eastAsia="Avenir" w:hAnsi="Avenir" w:cs="Avenir"/>
          <w:sz w:val="16"/>
          <w:szCs w:val="16"/>
        </w:rPr>
      </w:pPr>
      <w:r>
        <w:rPr>
          <w:rFonts w:ascii="Avenir" w:eastAsia="Avenir" w:hAnsi="Avenir" w:cs="Avenir"/>
          <w:sz w:val="16"/>
          <w:szCs w:val="16"/>
          <w:vertAlign w:val="superscript"/>
        </w:rPr>
        <w:t xml:space="preserve">1 </w:t>
      </w:r>
      <w:r>
        <w:rPr>
          <w:rFonts w:ascii="Avenir" w:eastAsia="Avenir" w:hAnsi="Avenir" w:cs="Avenir"/>
          <w:sz w:val="16"/>
          <w:szCs w:val="16"/>
        </w:rPr>
        <w:t xml:space="preserve">Dept. of Surface Waters-Research and Management, EAWAG, Swiss Federal Institute of Aquatic Science and Technology, </w:t>
      </w:r>
      <w:proofErr w:type="spellStart"/>
      <w:r>
        <w:rPr>
          <w:rFonts w:ascii="Avenir" w:eastAsia="Avenir" w:hAnsi="Avenir" w:cs="Avenir"/>
          <w:sz w:val="16"/>
          <w:szCs w:val="16"/>
        </w:rPr>
        <w:t>Kastanienbaum</w:t>
      </w:r>
      <w:proofErr w:type="spellEnd"/>
      <w:r>
        <w:rPr>
          <w:rFonts w:ascii="Avenir" w:eastAsia="Avenir" w:hAnsi="Avenir" w:cs="Avenir"/>
          <w:sz w:val="16"/>
          <w:szCs w:val="16"/>
        </w:rPr>
        <w:t>, Switzerland</w:t>
      </w:r>
    </w:p>
    <w:p w:rsidR="00110A1D" w:rsidRDefault="00110A1D" w:rsidP="00110A1D">
      <w:pPr>
        <w:jc w:val="both"/>
        <w:rPr>
          <w:rFonts w:ascii="Avenir" w:eastAsia="Avenir" w:hAnsi="Avenir" w:cs="Avenir"/>
          <w:sz w:val="16"/>
          <w:szCs w:val="16"/>
        </w:rPr>
      </w:pPr>
      <w:r>
        <w:rPr>
          <w:rFonts w:ascii="Avenir" w:eastAsia="Avenir" w:hAnsi="Avenir" w:cs="Avenir"/>
          <w:sz w:val="16"/>
          <w:szCs w:val="16"/>
          <w:vertAlign w:val="superscript"/>
        </w:rPr>
        <w:t>2</w:t>
      </w:r>
      <w:r>
        <w:rPr>
          <w:rFonts w:ascii="Avenir" w:eastAsia="Avenir" w:hAnsi="Avenir" w:cs="Avenir"/>
          <w:sz w:val="16"/>
          <w:szCs w:val="16"/>
        </w:rPr>
        <w:t xml:space="preserve"> Dept. of Fish Ecology and Evolution, EAWAG, Swiss Federal Institute of Aquatic Science and Technology, </w:t>
      </w:r>
      <w:proofErr w:type="spellStart"/>
      <w:r>
        <w:rPr>
          <w:rFonts w:ascii="Avenir" w:eastAsia="Avenir" w:hAnsi="Avenir" w:cs="Avenir"/>
          <w:sz w:val="16"/>
          <w:szCs w:val="16"/>
        </w:rPr>
        <w:t>Kastanienbaum</w:t>
      </w:r>
      <w:proofErr w:type="spellEnd"/>
      <w:r>
        <w:rPr>
          <w:rFonts w:ascii="Avenir" w:eastAsia="Avenir" w:hAnsi="Avenir" w:cs="Avenir"/>
          <w:sz w:val="16"/>
          <w:szCs w:val="16"/>
        </w:rPr>
        <w:t>, Switzerland</w:t>
      </w:r>
    </w:p>
    <w:p w:rsidR="00110A1D" w:rsidRDefault="00110A1D" w:rsidP="00110A1D">
      <w:pPr>
        <w:jc w:val="both"/>
        <w:rPr>
          <w:rFonts w:ascii="Avenir" w:eastAsia="Avenir" w:hAnsi="Avenir" w:cs="Avenir"/>
          <w:sz w:val="16"/>
          <w:szCs w:val="16"/>
        </w:rPr>
      </w:pPr>
      <w:r>
        <w:rPr>
          <w:rFonts w:ascii="Avenir" w:eastAsia="Avenir" w:hAnsi="Avenir" w:cs="Avenir"/>
          <w:sz w:val="16"/>
          <w:szCs w:val="16"/>
          <w:vertAlign w:val="superscript"/>
        </w:rPr>
        <w:t>3</w:t>
      </w:r>
      <w:r>
        <w:rPr>
          <w:rFonts w:ascii="Avenir" w:eastAsia="Avenir" w:hAnsi="Avenir" w:cs="Avenir"/>
          <w:sz w:val="16"/>
          <w:szCs w:val="16"/>
        </w:rPr>
        <w:t xml:space="preserve"> Institute of Biogeochemistry and Pollutant Dynamics, ETH Zürich, </w:t>
      </w:r>
      <w:proofErr w:type="spellStart"/>
      <w:r>
        <w:rPr>
          <w:rFonts w:ascii="Avenir" w:eastAsia="Avenir" w:hAnsi="Avenir" w:cs="Avenir"/>
          <w:sz w:val="16"/>
          <w:szCs w:val="16"/>
        </w:rPr>
        <w:t>Universitätstrasse</w:t>
      </w:r>
      <w:proofErr w:type="spellEnd"/>
      <w:r>
        <w:rPr>
          <w:rFonts w:ascii="Avenir" w:eastAsia="Avenir" w:hAnsi="Avenir" w:cs="Avenir"/>
          <w:sz w:val="16"/>
          <w:szCs w:val="16"/>
        </w:rPr>
        <w:t xml:space="preserve"> 16, 8092 Zürich, Switzerland</w:t>
      </w:r>
    </w:p>
    <w:p w:rsidR="00110A1D" w:rsidRDefault="00110A1D" w:rsidP="00110A1D">
      <w:pPr>
        <w:jc w:val="both"/>
        <w:rPr>
          <w:rFonts w:ascii="Avenir" w:eastAsia="Avenir" w:hAnsi="Avenir" w:cs="Avenir"/>
          <w:sz w:val="16"/>
          <w:szCs w:val="16"/>
        </w:rPr>
      </w:pPr>
      <w:r>
        <w:rPr>
          <w:rFonts w:ascii="Avenir" w:eastAsia="Avenir" w:hAnsi="Avenir" w:cs="Avenir"/>
          <w:sz w:val="16"/>
          <w:szCs w:val="16"/>
          <w:vertAlign w:val="superscript"/>
        </w:rPr>
        <w:t xml:space="preserve">4 </w:t>
      </w:r>
      <w:r>
        <w:rPr>
          <w:rFonts w:ascii="Avenir" w:eastAsia="Avenir" w:hAnsi="Avenir" w:cs="Avenir"/>
          <w:sz w:val="16"/>
          <w:szCs w:val="16"/>
        </w:rPr>
        <w:t>Institute of Ecology and Evolution, Aquatic Ecology, University of Bern, Bern, Switzerland</w:t>
      </w:r>
    </w:p>
    <w:p w:rsidR="00110A1D" w:rsidRDefault="00110A1D" w:rsidP="00110A1D">
      <w:pPr>
        <w:jc w:val="both"/>
        <w:rPr>
          <w:rFonts w:ascii="Avenir" w:eastAsia="Avenir" w:hAnsi="Avenir" w:cs="Avenir"/>
          <w:sz w:val="16"/>
          <w:szCs w:val="16"/>
        </w:rPr>
      </w:pPr>
      <w:r>
        <w:rPr>
          <w:rFonts w:ascii="Avenir" w:eastAsia="Avenir" w:hAnsi="Avenir" w:cs="Avenir"/>
          <w:sz w:val="16"/>
          <w:szCs w:val="16"/>
          <w:vertAlign w:val="superscript"/>
        </w:rPr>
        <w:t xml:space="preserve">5 </w:t>
      </w:r>
      <w:proofErr w:type="spellStart"/>
      <w:r>
        <w:rPr>
          <w:rFonts w:ascii="Avenir" w:eastAsia="Avenir" w:hAnsi="Avenir" w:cs="Avenir"/>
          <w:sz w:val="16"/>
          <w:szCs w:val="16"/>
        </w:rPr>
        <w:t>Sado</w:t>
      </w:r>
      <w:proofErr w:type="spellEnd"/>
      <w:r>
        <w:rPr>
          <w:rFonts w:ascii="Avenir" w:eastAsia="Avenir" w:hAnsi="Avenir" w:cs="Avenir"/>
          <w:sz w:val="16"/>
          <w:szCs w:val="16"/>
        </w:rPr>
        <w:t xml:space="preserve"> Island Center for Ecological Sustainability, Niigata University, </w:t>
      </w:r>
      <w:proofErr w:type="spellStart"/>
      <w:r>
        <w:rPr>
          <w:rFonts w:ascii="Avenir" w:eastAsia="Avenir" w:hAnsi="Avenir" w:cs="Avenir"/>
          <w:sz w:val="16"/>
          <w:szCs w:val="16"/>
        </w:rPr>
        <w:t>Niibo-Katagami</w:t>
      </w:r>
      <w:proofErr w:type="spellEnd"/>
      <w:r>
        <w:rPr>
          <w:rFonts w:ascii="Avenir" w:eastAsia="Avenir" w:hAnsi="Avenir" w:cs="Avenir"/>
          <w:sz w:val="16"/>
          <w:szCs w:val="16"/>
        </w:rPr>
        <w:t xml:space="preserve"> 1101-1, </w:t>
      </w:r>
      <w:proofErr w:type="spellStart"/>
      <w:r>
        <w:rPr>
          <w:rFonts w:ascii="Avenir" w:eastAsia="Avenir" w:hAnsi="Avenir" w:cs="Avenir"/>
          <w:sz w:val="16"/>
          <w:szCs w:val="16"/>
        </w:rPr>
        <w:t>Sado</w:t>
      </w:r>
      <w:proofErr w:type="spellEnd"/>
      <w:r>
        <w:rPr>
          <w:rFonts w:ascii="Avenir" w:eastAsia="Avenir" w:hAnsi="Avenir" w:cs="Avenir"/>
          <w:sz w:val="16"/>
          <w:szCs w:val="16"/>
        </w:rPr>
        <w:t>, Niigata 952-0103, Japan</w:t>
      </w:r>
    </w:p>
    <w:p w:rsidR="00886869" w:rsidRDefault="00886869"/>
    <w:p w:rsidR="00886869" w:rsidRDefault="00886869"/>
    <w:p w:rsidR="00886869" w:rsidRDefault="00886869"/>
    <w:p w:rsidR="00886869" w:rsidRDefault="00886869"/>
    <w:p w:rsidR="00886869" w:rsidRDefault="00886869"/>
    <w:p w:rsidR="00886869" w:rsidRDefault="00886869"/>
    <w:p w:rsidR="00886869" w:rsidRDefault="00886869"/>
    <w:p w:rsidR="00886869" w:rsidRDefault="00886869"/>
    <w:p w:rsidR="00886869" w:rsidRDefault="00886869"/>
    <w:p w:rsidR="00886869" w:rsidRDefault="00886869"/>
    <w:p w:rsidR="00886869" w:rsidRDefault="00886869"/>
    <w:p w:rsidR="00886869" w:rsidRDefault="00886869"/>
    <w:p w:rsidR="00886869" w:rsidRDefault="00886869"/>
    <w:p w:rsidR="00886869" w:rsidRDefault="00886869"/>
    <w:p w:rsidR="00886869" w:rsidRDefault="00886869"/>
    <w:p w:rsidR="00886869" w:rsidRDefault="00886869"/>
    <w:p w:rsidR="00886869" w:rsidRDefault="00886869"/>
    <w:p w:rsidR="00886869" w:rsidRDefault="00886869"/>
    <w:p w:rsidR="00886869" w:rsidRDefault="00886869"/>
    <w:p w:rsidR="00886869" w:rsidRDefault="00886869"/>
    <w:p w:rsidR="00886869" w:rsidRDefault="00886869"/>
    <w:p w:rsidR="00886869" w:rsidRDefault="005943EF">
      <w:pPr>
        <w:rPr>
          <w:rFonts w:ascii="Avenir" w:eastAsia="Avenir" w:hAnsi="Avenir" w:cs="Avenir"/>
          <w:b/>
          <w:u w:val="single"/>
        </w:rPr>
      </w:pPr>
      <w:r>
        <w:rPr>
          <w:rFonts w:ascii="Avenir" w:eastAsia="Avenir" w:hAnsi="Avenir" w:cs="Avenir"/>
          <w:b/>
          <w:u w:val="single"/>
        </w:rPr>
        <w:lastRenderedPageBreak/>
        <w:t>Tables</w:t>
      </w:r>
    </w:p>
    <w:p w:rsidR="00886869" w:rsidRDefault="00886869">
      <w:pPr>
        <w:rPr>
          <w:rFonts w:ascii="Avenir" w:eastAsia="Avenir" w:hAnsi="Avenir" w:cs="Avenir"/>
        </w:rPr>
      </w:pPr>
    </w:p>
    <w:p w:rsidR="00886869" w:rsidRDefault="005943EF">
      <w:pPr>
        <w:rPr>
          <w:rFonts w:ascii="Avenir" w:eastAsia="Avenir" w:hAnsi="Avenir" w:cs="Avenir"/>
        </w:rPr>
      </w:pPr>
      <w:r>
        <w:rPr>
          <w:noProof/>
        </w:rPr>
        <w:drawing>
          <wp:inline distT="0" distB="0" distL="0" distR="0">
            <wp:extent cx="6108616" cy="1689662"/>
            <wp:effectExtent l="0" t="0" r="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
                    <a:srcRect/>
                    <a:stretch>
                      <a:fillRect/>
                    </a:stretch>
                  </pic:blipFill>
                  <pic:spPr>
                    <a:xfrm>
                      <a:off x="0" y="0"/>
                      <a:ext cx="6108616" cy="1689662"/>
                    </a:xfrm>
                    <a:prstGeom prst="rect">
                      <a:avLst/>
                    </a:prstGeom>
                    <a:ln/>
                  </pic:spPr>
                </pic:pic>
              </a:graphicData>
            </a:graphic>
          </wp:inline>
        </w:drawing>
      </w:r>
    </w:p>
    <w:p w:rsidR="00886869" w:rsidRDefault="00886869">
      <w:pPr>
        <w:rPr>
          <w:rFonts w:ascii="Avenir" w:eastAsia="Avenir" w:hAnsi="Avenir" w:cs="Avenir"/>
          <w:b/>
        </w:rPr>
      </w:pPr>
    </w:p>
    <w:p w:rsidR="00886869" w:rsidRDefault="005943EF">
      <w:pPr>
        <w:rPr>
          <w:rFonts w:ascii="Avenir" w:eastAsia="Avenir" w:hAnsi="Avenir" w:cs="Avenir"/>
          <w:b/>
        </w:rPr>
      </w:pPr>
      <w:r>
        <w:rPr>
          <w:rFonts w:ascii="Avenir" w:eastAsia="Avenir" w:hAnsi="Avenir" w:cs="Avenir"/>
          <w:b/>
        </w:rPr>
        <w:t>Table S1-Summary of char collection</w:t>
      </w:r>
    </w:p>
    <w:p w:rsidR="00886869" w:rsidRDefault="005943EF">
      <w:pPr>
        <w:rPr>
          <w:rFonts w:ascii="Avenir" w:eastAsia="Avenir" w:hAnsi="Avenir" w:cs="Avenir"/>
        </w:rPr>
      </w:pPr>
      <w:r>
        <w:rPr>
          <w:rFonts w:ascii="Avenir" w:eastAsia="Avenir" w:hAnsi="Avenir" w:cs="Avenir"/>
        </w:rPr>
        <w:t xml:space="preserve">The table reports the sample size and fish size (standard length, in mm) for the three field campaigns. </w:t>
      </w:r>
    </w:p>
    <w:p w:rsidR="00886869" w:rsidRDefault="005943EF">
      <w:pPr>
        <w:rPr>
          <w:rFonts w:ascii="Avenir" w:eastAsia="Avenir" w:hAnsi="Avenir" w:cs="Avenir"/>
        </w:rPr>
      </w:pPr>
      <w:r>
        <w:rPr>
          <w:noProof/>
        </w:rPr>
        <w:drawing>
          <wp:inline distT="0" distB="0" distL="0" distR="0">
            <wp:extent cx="1237615" cy="1286510"/>
            <wp:effectExtent l="0" t="0" r="0" b="0"/>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1237615" cy="1286510"/>
                    </a:xfrm>
                    <a:prstGeom prst="rect">
                      <a:avLst/>
                    </a:prstGeom>
                    <a:ln/>
                  </pic:spPr>
                </pic:pic>
              </a:graphicData>
            </a:graphic>
          </wp:inline>
        </w:drawing>
      </w:r>
    </w:p>
    <w:p w:rsidR="00886869" w:rsidRDefault="005943EF">
      <w:pPr>
        <w:rPr>
          <w:rFonts w:ascii="Avenir" w:eastAsia="Avenir" w:hAnsi="Avenir" w:cs="Avenir"/>
          <w:b/>
        </w:rPr>
      </w:pPr>
      <w:r>
        <w:rPr>
          <w:rFonts w:ascii="Avenir" w:eastAsia="Avenir" w:hAnsi="Avenir" w:cs="Avenir"/>
          <w:b/>
        </w:rPr>
        <w:t>Table S2-Linear discriminant analysis loading</w:t>
      </w:r>
    </w:p>
    <w:p w:rsidR="00886869" w:rsidRDefault="005943EF">
      <w:pPr>
        <w:jc w:val="both"/>
        <w:rPr>
          <w:rFonts w:ascii="Avenir" w:eastAsia="Avenir" w:hAnsi="Avenir" w:cs="Avenir"/>
        </w:rPr>
      </w:pPr>
      <w:r>
        <w:rPr>
          <w:rFonts w:ascii="Avenir" w:eastAsia="Avenir" w:hAnsi="Avenir" w:cs="Avenir"/>
        </w:rPr>
        <w:t xml:space="preserve">Loadings of the linear component analysis (LDA) based on the </w:t>
      </w:r>
      <w:r>
        <w:t>δ</w:t>
      </w:r>
      <w:r>
        <w:rPr>
          <w:rFonts w:ascii="Avenir" w:eastAsia="Avenir" w:hAnsi="Avenir" w:cs="Avenir"/>
          <w:vertAlign w:val="superscript"/>
        </w:rPr>
        <w:t>13</w:t>
      </w:r>
      <w:r>
        <w:rPr>
          <w:rFonts w:ascii="Avenir" w:eastAsia="Avenir" w:hAnsi="Avenir" w:cs="Avenir"/>
        </w:rPr>
        <w:t>C values of six essential amino acids (EAAs), which values are mean-normalized, of freshwater resident char and marine feeding char. The table reports the contribution of the six EAAs to the LD axis: Isoleucine (Ile), Leucine (Leu), Valine (Val), Phenylalanine (</w:t>
      </w:r>
      <w:proofErr w:type="spellStart"/>
      <w:r>
        <w:rPr>
          <w:rFonts w:ascii="Avenir" w:eastAsia="Avenir" w:hAnsi="Avenir" w:cs="Avenir"/>
        </w:rPr>
        <w:t>Phe</w:t>
      </w:r>
      <w:proofErr w:type="spellEnd"/>
      <w:r>
        <w:rPr>
          <w:rFonts w:ascii="Avenir" w:eastAsia="Avenir" w:hAnsi="Avenir" w:cs="Avenir"/>
        </w:rPr>
        <w:t>), Threonine (</w:t>
      </w:r>
      <w:proofErr w:type="spellStart"/>
      <w:r>
        <w:rPr>
          <w:rFonts w:ascii="Avenir" w:eastAsia="Avenir" w:hAnsi="Avenir" w:cs="Avenir"/>
        </w:rPr>
        <w:t>Thr</w:t>
      </w:r>
      <w:proofErr w:type="spellEnd"/>
      <w:r>
        <w:rPr>
          <w:rFonts w:ascii="Avenir" w:eastAsia="Avenir" w:hAnsi="Avenir" w:cs="Avenir"/>
        </w:rPr>
        <w:t>), and Methionine (Met).</w:t>
      </w:r>
    </w:p>
    <w:p w:rsidR="00886869" w:rsidRDefault="005943EF">
      <w:pPr>
        <w:rPr>
          <w:rFonts w:ascii="Avenir" w:eastAsia="Avenir" w:hAnsi="Avenir" w:cs="Avenir"/>
        </w:rPr>
      </w:pPr>
      <w:r>
        <w:rPr>
          <w:noProof/>
        </w:rPr>
        <w:drawing>
          <wp:anchor distT="0" distB="0" distL="114300" distR="114300" simplePos="0" relativeHeight="251658240" behindDoc="0" locked="0" layoutInCell="1" hidden="0" allowOverlap="1">
            <wp:simplePos x="0" y="0"/>
            <wp:positionH relativeFrom="column">
              <wp:posOffset>1</wp:posOffset>
            </wp:positionH>
            <wp:positionV relativeFrom="paragraph">
              <wp:posOffset>388239</wp:posOffset>
            </wp:positionV>
            <wp:extent cx="3665220" cy="960755"/>
            <wp:effectExtent l="0" t="0" r="0" b="0"/>
            <wp:wrapTopAndBottom distT="0" distB="0"/>
            <wp:docPr id="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srcRect/>
                    <a:stretch>
                      <a:fillRect/>
                    </a:stretch>
                  </pic:blipFill>
                  <pic:spPr>
                    <a:xfrm>
                      <a:off x="0" y="0"/>
                      <a:ext cx="3665220" cy="960755"/>
                    </a:xfrm>
                    <a:prstGeom prst="rect">
                      <a:avLst/>
                    </a:prstGeom>
                    <a:ln/>
                  </pic:spPr>
                </pic:pic>
              </a:graphicData>
            </a:graphic>
          </wp:anchor>
        </w:drawing>
      </w:r>
    </w:p>
    <w:p w:rsidR="00886869" w:rsidRDefault="00886869">
      <w:pPr>
        <w:rPr>
          <w:rFonts w:ascii="Avenir" w:eastAsia="Avenir" w:hAnsi="Avenir" w:cs="Avenir"/>
        </w:rPr>
      </w:pPr>
    </w:p>
    <w:p w:rsidR="00886869" w:rsidRDefault="005943EF">
      <w:pPr>
        <w:rPr>
          <w:rFonts w:ascii="Avenir" w:eastAsia="Avenir" w:hAnsi="Avenir" w:cs="Avenir"/>
          <w:b/>
        </w:rPr>
      </w:pPr>
      <w:r>
        <w:rPr>
          <w:rFonts w:ascii="Avenir" w:eastAsia="Avenir" w:hAnsi="Avenir" w:cs="Avenir"/>
          <w:b/>
        </w:rPr>
        <w:t xml:space="preserve">Table S3-Generalized model summary of trophic position </w:t>
      </w:r>
    </w:p>
    <w:p w:rsidR="00886869" w:rsidRDefault="005943EF">
      <w:pPr>
        <w:spacing w:after="0" w:line="240" w:lineRule="auto"/>
        <w:jc w:val="both"/>
        <w:rPr>
          <w:rFonts w:ascii="Avenir" w:eastAsia="Avenir" w:hAnsi="Avenir" w:cs="Avenir"/>
          <w:sz w:val="20"/>
          <w:szCs w:val="20"/>
        </w:rPr>
      </w:pPr>
      <w:proofErr w:type="spellStart"/>
      <w:r>
        <w:rPr>
          <w:rFonts w:ascii="Avenir" w:eastAsia="Avenir" w:hAnsi="Avenir" w:cs="Avenir"/>
          <w:sz w:val="20"/>
          <w:szCs w:val="20"/>
        </w:rPr>
        <w:t>Glm</w:t>
      </w:r>
      <w:proofErr w:type="spellEnd"/>
      <w:r>
        <w:rPr>
          <w:rFonts w:ascii="Avenir" w:eastAsia="Avenir" w:hAnsi="Avenir" w:cs="Avenir"/>
          <w:sz w:val="20"/>
          <w:szCs w:val="20"/>
        </w:rPr>
        <w:t xml:space="preserve"> fitting trophic position (TP) in resident char in subsidized streams. TP was inferred by the amino acid method. For each model we report the best fit (first row, lowest AIC) and other considered models. Models are described by </w:t>
      </w:r>
      <w:proofErr w:type="spellStart"/>
      <w:r>
        <w:rPr>
          <w:rFonts w:ascii="Avenir" w:eastAsia="Avenir" w:hAnsi="Avenir" w:cs="Avenir"/>
          <w:sz w:val="20"/>
          <w:szCs w:val="20"/>
        </w:rPr>
        <w:t>Aikake</w:t>
      </w:r>
      <w:proofErr w:type="spellEnd"/>
      <w:r>
        <w:rPr>
          <w:rFonts w:ascii="Avenir" w:eastAsia="Avenir" w:hAnsi="Avenir" w:cs="Avenir"/>
          <w:sz w:val="20"/>
          <w:szCs w:val="20"/>
        </w:rPr>
        <w:t xml:space="preserve"> information criteria (AIC), ΔAIC (the difference between the model and the lowest AIC), degree of freedom (</w:t>
      </w:r>
      <w:proofErr w:type="spellStart"/>
      <w:r>
        <w:rPr>
          <w:rFonts w:ascii="Avenir" w:eastAsia="Avenir" w:hAnsi="Avenir" w:cs="Avenir"/>
          <w:sz w:val="20"/>
          <w:szCs w:val="20"/>
        </w:rPr>
        <w:t>d.f.</w:t>
      </w:r>
      <w:proofErr w:type="spellEnd"/>
      <w:r>
        <w:rPr>
          <w:rFonts w:ascii="Avenir" w:eastAsia="Avenir" w:hAnsi="Avenir" w:cs="Avenir"/>
          <w:sz w:val="20"/>
          <w:szCs w:val="20"/>
        </w:rPr>
        <w:t xml:space="preserve">). Variables include the river type (River), i.e., proglacial or tundra river, and one continuous factor, the marine resource use (Marine), as inferred by mixing model of the essential amino acid carbon fingerprinting. </w:t>
      </w:r>
    </w:p>
    <w:p w:rsidR="00886869" w:rsidRDefault="00886869">
      <w:pPr>
        <w:rPr>
          <w:rFonts w:ascii="Avenir" w:eastAsia="Avenir" w:hAnsi="Avenir" w:cs="Avenir"/>
        </w:rPr>
      </w:pPr>
    </w:p>
    <w:p w:rsidR="00886869" w:rsidRDefault="005943EF">
      <w:pPr>
        <w:rPr>
          <w:rFonts w:ascii="Avenir" w:eastAsia="Avenir" w:hAnsi="Avenir" w:cs="Avenir"/>
        </w:rPr>
      </w:pPr>
      <w:r>
        <w:rPr>
          <w:noProof/>
        </w:rPr>
        <w:lastRenderedPageBreak/>
        <w:drawing>
          <wp:inline distT="0" distB="0" distL="0" distR="0">
            <wp:extent cx="4318635" cy="1344930"/>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318635" cy="1344930"/>
                    </a:xfrm>
                    <a:prstGeom prst="rect">
                      <a:avLst/>
                    </a:prstGeom>
                    <a:ln/>
                  </pic:spPr>
                </pic:pic>
              </a:graphicData>
            </a:graphic>
          </wp:inline>
        </w:drawing>
      </w:r>
    </w:p>
    <w:p w:rsidR="00886869" w:rsidRDefault="00886869">
      <w:pPr>
        <w:rPr>
          <w:rFonts w:ascii="Avenir" w:eastAsia="Avenir" w:hAnsi="Avenir" w:cs="Avenir"/>
        </w:rPr>
      </w:pPr>
    </w:p>
    <w:p w:rsidR="00886869" w:rsidRDefault="005943EF">
      <w:pPr>
        <w:rPr>
          <w:rFonts w:ascii="Avenir" w:eastAsia="Avenir" w:hAnsi="Avenir" w:cs="Avenir"/>
          <w:b/>
        </w:rPr>
      </w:pPr>
      <w:r>
        <w:rPr>
          <w:rFonts w:ascii="Avenir" w:eastAsia="Avenir" w:hAnsi="Avenir" w:cs="Avenir"/>
          <w:b/>
        </w:rPr>
        <w:t xml:space="preserve">Table S4-Generalized model summary of marine subsidy use </w:t>
      </w:r>
    </w:p>
    <w:p w:rsidR="00886869" w:rsidRDefault="005943EF">
      <w:pPr>
        <w:spacing w:after="0" w:line="240" w:lineRule="auto"/>
        <w:jc w:val="both"/>
        <w:rPr>
          <w:rFonts w:ascii="Avenir" w:eastAsia="Avenir" w:hAnsi="Avenir" w:cs="Avenir"/>
          <w:sz w:val="20"/>
          <w:szCs w:val="20"/>
        </w:rPr>
      </w:pPr>
      <w:proofErr w:type="spellStart"/>
      <w:r>
        <w:rPr>
          <w:rFonts w:ascii="Avenir" w:eastAsia="Avenir" w:hAnsi="Avenir" w:cs="Avenir"/>
          <w:sz w:val="20"/>
          <w:szCs w:val="20"/>
        </w:rPr>
        <w:t>Glm</w:t>
      </w:r>
      <w:proofErr w:type="spellEnd"/>
      <w:r>
        <w:rPr>
          <w:rFonts w:ascii="Avenir" w:eastAsia="Avenir" w:hAnsi="Avenir" w:cs="Avenir"/>
          <w:sz w:val="20"/>
          <w:szCs w:val="20"/>
        </w:rPr>
        <w:t xml:space="preserve"> fitting marine subsidy use (Marine) in resident char in subsidized streams. Marine subsidy use was inferred using mixing models of bulk carbon isotopes. For each model we report the best fit (first row, lowest AIC) and other considered models. Models are described by </w:t>
      </w:r>
      <w:proofErr w:type="spellStart"/>
      <w:r>
        <w:rPr>
          <w:rFonts w:ascii="Avenir" w:eastAsia="Avenir" w:hAnsi="Avenir" w:cs="Avenir"/>
          <w:sz w:val="20"/>
          <w:szCs w:val="20"/>
        </w:rPr>
        <w:t>Aikake</w:t>
      </w:r>
      <w:proofErr w:type="spellEnd"/>
      <w:r>
        <w:rPr>
          <w:rFonts w:ascii="Avenir" w:eastAsia="Avenir" w:hAnsi="Avenir" w:cs="Avenir"/>
          <w:sz w:val="20"/>
          <w:szCs w:val="20"/>
        </w:rPr>
        <w:t xml:space="preserve"> information criteria (AIC), ΔAIC (the difference between the model and the lowest AIC), degree of freedom (</w:t>
      </w:r>
      <w:proofErr w:type="spellStart"/>
      <w:r>
        <w:rPr>
          <w:rFonts w:ascii="Avenir" w:eastAsia="Avenir" w:hAnsi="Avenir" w:cs="Avenir"/>
          <w:sz w:val="20"/>
          <w:szCs w:val="20"/>
        </w:rPr>
        <w:t>d.f.</w:t>
      </w:r>
      <w:proofErr w:type="spellEnd"/>
      <w:r>
        <w:rPr>
          <w:rFonts w:ascii="Avenir" w:eastAsia="Avenir" w:hAnsi="Avenir" w:cs="Avenir"/>
          <w:sz w:val="20"/>
          <w:szCs w:val="20"/>
        </w:rPr>
        <w:t xml:space="preserve">). Variables include the river type (River), i.e., proglacial or tundra river, and two continuous factors, standard body size in mm (Size), and day of the year at capture (DOY). </w:t>
      </w:r>
    </w:p>
    <w:p w:rsidR="00886869" w:rsidRDefault="00886869">
      <w:pPr>
        <w:rPr>
          <w:rFonts w:ascii="Avenir" w:eastAsia="Avenir" w:hAnsi="Avenir" w:cs="Avenir"/>
          <w:b/>
        </w:rPr>
      </w:pP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886869">
      <w:pPr>
        <w:rPr>
          <w:rFonts w:ascii="Avenir" w:eastAsia="Avenir" w:hAnsi="Avenir" w:cs="Avenir"/>
        </w:rPr>
      </w:pPr>
    </w:p>
    <w:p w:rsidR="00110A1D" w:rsidRDefault="00110A1D">
      <w:pPr>
        <w:rPr>
          <w:rFonts w:ascii="Avenir" w:eastAsia="Avenir" w:hAnsi="Avenir" w:cs="Avenir"/>
        </w:rPr>
      </w:pPr>
    </w:p>
    <w:p w:rsidR="00886869" w:rsidRDefault="005943EF">
      <w:pPr>
        <w:rPr>
          <w:rFonts w:ascii="Avenir" w:eastAsia="Avenir" w:hAnsi="Avenir" w:cs="Avenir"/>
          <w:b/>
          <w:u w:val="single"/>
        </w:rPr>
      </w:pPr>
      <w:r>
        <w:rPr>
          <w:rFonts w:ascii="Avenir" w:eastAsia="Avenir" w:hAnsi="Avenir" w:cs="Avenir"/>
          <w:b/>
          <w:u w:val="single"/>
        </w:rPr>
        <w:lastRenderedPageBreak/>
        <w:t>Figures</w:t>
      </w:r>
    </w:p>
    <w:p w:rsidR="00886869" w:rsidRDefault="00886869">
      <w:pPr>
        <w:rPr>
          <w:rFonts w:ascii="Avenir" w:eastAsia="Avenir" w:hAnsi="Avenir" w:cs="Avenir"/>
          <w:b/>
          <w:u w:val="single"/>
        </w:rPr>
      </w:pPr>
    </w:p>
    <w:p w:rsidR="00886869" w:rsidRDefault="00886869">
      <w:pPr>
        <w:rPr>
          <w:rFonts w:ascii="Avenir" w:eastAsia="Avenir" w:hAnsi="Avenir" w:cs="Avenir"/>
        </w:rPr>
      </w:pPr>
    </w:p>
    <w:p w:rsidR="00886869" w:rsidRDefault="005943EF">
      <w:pPr>
        <w:rPr>
          <w:rFonts w:ascii="Avenir" w:eastAsia="Avenir" w:hAnsi="Avenir" w:cs="Avenir"/>
        </w:rPr>
      </w:pPr>
      <w:r>
        <w:rPr>
          <w:rFonts w:ascii="Avenir" w:eastAsia="Avenir" w:hAnsi="Avenir" w:cs="Avenir"/>
          <w:noProof/>
        </w:rPr>
        <w:drawing>
          <wp:inline distT="0" distB="0" distL="0" distR="0">
            <wp:extent cx="4570113" cy="3390785"/>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1"/>
                    <a:srcRect/>
                    <a:stretch>
                      <a:fillRect/>
                    </a:stretch>
                  </pic:blipFill>
                  <pic:spPr>
                    <a:xfrm>
                      <a:off x="0" y="0"/>
                      <a:ext cx="4570113" cy="3390785"/>
                    </a:xfrm>
                    <a:prstGeom prst="rect">
                      <a:avLst/>
                    </a:prstGeom>
                    <a:ln/>
                  </pic:spPr>
                </pic:pic>
              </a:graphicData>
            </a:graphic>
          </wp:inline>
        </w:drawing>
      </w:r>
    </w:p>
    <w:p w:rsidR="00886869" w:rsidRDefault="00886869">
      <w:pPr>
        <w:jc w:val="both"/>
        <w:rPr>
          <w:rFonts w:ascii="Avenir" w:eastAsia="Avenir" w:hAnsi="Avenir" w:cs="Avenir"/>
        </w:rPr>
      </w:pPr>
    </w:p>
    <w:p w:rsidR="00886869" w:rsidRDefault="005943EF">
      <w:pPr>
        <w:jc w:val="both"/>
        <w:rPr>
          <w:rFonts w:ascii="Avenir" w:eastAsia="Avenir" w:hAnsi="Avenir" w:cs="Avenir"/>
          <w:b/>
        </w:rPr>
      </w:pPr>
      <w:r>
        <w:rPr>
          <w:rFonts w:ascii="Avenir" w:eastAsia="Avenir" w:hAnsi="Avenir" w:cs="Avenir"/>
          <w:b/>
        </w:rPr>
        <w:t xml:space="preserve">Figure S1. </w:t>
      </w:r>
      <w:r>
        <w:rPr>
          <w:rFonts w:ascii="Avenir" w:eastAsia="Avenir" w:hAnsi="Avenir" w:cs="Avenir"/>
        </w:rPr>
        <w:t xml:space="preserve">Counts of invertebrates of three standardized kick samples in three rivers. The bar plots show the cumulative counts of seven invertebrate categories. Proglacial river with migration was not sampled.   </w:t>
      </w: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5943EF">
      <w:pPr>
        <w:rPr>
          <w:rFonts w:ascii="Avenir" w:eastAsia="Avenir" w:hAnsi="Avenir" w:cs="Avenir"/>
        </w:rPr>
      </w:pPr>
      <w:r>
        <w:rPr>
          <w:rFonts w:ascii="Avenir" w:eastAsia="Avenir" w:hAnsi="Avenir" w:cs="Avenir"/>
          <w:noProof/>
        </w:rPr>
        <w:lastRenderedPageBreak/>
        <w:drawing>
          <wp:inline distT="0" distB="0" distL="0" distR="0">
            <wp:extent cx="4617638" cy="7554973"/>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617638" cy="7554973"/>
                    </a:xfrm>
                    <a:prstGeom prst="rect">
                      <a:avLst/>
                    </a:prstGeom>
                    <a:ln/>
                  </pic:spPr>
                </pic:pic>
              </a:graphicData>
            </a:graphic>
          </wp:inline>
        </w:drawing>
      </w:r>
    </w:p>
    <w:p w:rsidR="00886869" w:rsidRDefault="00886869">
      <w:pPr>
        <w:jc w:val="both"/>
        <w:rPr>
          <w:rFonts w:ascii="Avenir" w:eastAsia="Avenir" w:hAnsi="Avenir" w:cs="Avenir"/>
        </w:rPr>
      </w:pPr>
    </w:p>
    <w:p w:rsidR="00886869" w:rsidRDefault="005943EF">
      <w:pPr>
        <w:jc w:val="both"/>
        <w:rPr>
          <w:rFonts w:ascii="Avenir" w:eastAsia="Avenir" w:hAnsi="Avenir" w:cs="Avenir"/>
          <w:b/>
        </w:rPr>
      </w:pPr>
      <w:r>
        <w:rPr>
          <w:rFonts w:ascii="Avenir" w:eastAsia="Avenir" w:hAnsi="Avenir" w:cs="Avenir"/>
          <w:b/>
        </w:rPr>
        <w:t xml:space="preserve">Figure S2. </w:t>
      </w:r>
      <w:r>
        <w:rPr>
          <w:rFonts w:ascii="Avenir" w:eastAsia="Avenir" w:hAnsi="Avenir" w:cs="Avenir"/>
        </w:rPr>
        <w:t xml:space="preserve">Predicted reliance on three clades of primary producers: algae (top), bacteria (middle), and plants (bottom). Predictions are made from bootstrapped LDA, see methods and </w:t>
      </w:r>
      <w:r w:rsidR="008B0618">
        <w:fldChar w:fldCharType="begin"/>
      </w:r>
      <w:r w:rsidR="008B0618">
        <w:instrText xml:space="preserve"> ADDIN ZOTERO_ITEM CSL_CITATION {"citationID":"G4b96VSK","properties":{"formattedCitation":"(Saboret and others 2023)","plainCitation":"(Saboret and others 2023)","noteIndex":0},"citationItems":[{"id":3887,"uris":["http://zotero.org/users/3681450/items/IZSRKRVW"],"uri":["http://zotero.org/users/3681450/items/IZSRKRVW"],"itemData":{"id":3887,"type":"article-journal","container-title":"Freshwater Biology","DOI":"https://onlinelibrary.wiley.com/doi/full/10.1111/fwb.14071","issue":"5","note":"ISBN: 0046-5070\npublisher: Wiley Online Library","page":"870-887","title":"Autochthonous production sustains food webs in large perialpine lakes, independent of trophic status: Evidence from amino acid stable isotopes","volume":"68","author":[{"family":"Saboret","given":"Grégoire"},{"family":"Stalder","given":"Dominique"},{"family":"Matthews","given":"Blake"},{"family":"Brodersen","given":"Jakob"},{"family":"Schubert","given":"Carsten Johnny"}],"issued":{"date-parts":[["2023"]]}}}],"schema":"https://github.com/citation-style-language/schema/raw/master/csl-citation.json"} </w:instrText>
      </w:r>
      <w:r w:rsidR="008B0618">
        <w:fldChar w:fldCharType="separate"/>
      </w:r>
      <w:r w:rsidR="008B0618" w:rsidRPr="008B0618">
        <w:t>(Saboret and others 2023)</w:t>
      </w:r>
      <w:r w:rsidR="008B0618">
        <w:fldChar w:fldCharType="end"/>
      </w:r>
      <w:r>
        <w:rPr>
          <w:rFonts w:ascii="Avenir" w:eastAsia="Avenir" w:hAnsi="Avenir" w:cs="Avenir"/>
        </w:rPr>
        <w:t xml:space="preserve">. The plots show the distribution of reliance for the six different char cohorts (see legend). Dots show individual char, while segments around dots show one standard deviation of model prediction. </w:t>
      </w:r>
    </w:p>
    <w:p w:rsidR="00886869" w:rsidRDefault="00886869">
      <w:pPr>
        <w:rPr>
          <w:rFonts w:ascii="Avenir" w:eastAsia="Avenir" w:hAnsi="Avenir" w:cs="Avenir"/>
        </w:rPr>
      </w:pPr>
    </w:p>
    <w:p w:rsidR="00886869" w:rsidRDefault="00886869">
      <w:pPr>
        <w:rPr>
          <w:rFonts w:ascii="Avenir" w:eastAsia="Avenir" w:hAnsi="Avenir" w:cs="Avenir"/>
        </w:rPr>
      </w:pPr>
    </w:p>
    <w:p w:rsidR="00886869" w:rsidRDefault="005943EF">
      <w:pPr>
        <w:rPr>
          <w:rFonts w:ascii="Avenir" w:eastAsia="Avenir" w:hAnsi="Avenir" w:cs="Avenir"/>
          <w:b/>
        </w:rPr>
      </w:pPr>
      <w:r>
        <w:rPr>
          <w:rFonts w:ascii="Avenir" w:eastAsia="Avenir" w:hAnsi="Avenir" w:cs="Avenir"/>
          <w:b/>
          <w:noProof/>
        </w:rPr>
        <w:drawing>
          <wp:inline distT="0" distB="0" distL="0" distR="0">
            <wp:extent cx="4146679" cy="5337287"/>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146679" cy="5337287"/>
                    </a:xfrm>
                    <a:prstGeom prst="rect">
                      <a:avLst/>
                    </a:prstGeom>
                    <a:ln/>
                  </pic:spPr>
                </pic:pic>
              </a:graphicData>
            </a:graphic>
          </wp:inline>
        </w:drawing>
      </w:r>
    </w:p>
    <w:p w:rsidR="00886869" w:rsidRDefault="005943EF">
      <w:pPr>
        <w:jc w:val="both"/>
        <w:rPr>
          <w:rFonts w:ascii="Avenir" w:eastAsia="Avenir" w:hAnsi="Avenir" w:cs="Avenir"/>
          <w:b/>
        </w:rPr>
      </w:pPr>
      <w:r>
        <w:rPr>
          <w:rFonts w:ascii="Avenir" w:eastAsia="Avenir" w:hAnsi="Avenir" w:cs="Avenir"/>
          <w:b/>
        </w:rPr>
        <w:t xml:space="preserve">Figure S3. </w:t>
      </w:r>
      <w:r>
        <w:t>δ</w:t>
      </w:r>
      <w:r>
        <w:rPr>
          <w:rFonts w:ascii="Avenir" w:eastAsia="Avenir" w:hAnsi="Avenir" w:cs="Avenir"/>
          <w:vertAlign w:val="superscript"/>
        </w:rPr>
        <w:t>13</w:t>
      </w:r>
      <w:r>
        <w:rPr>
          <w:rFonts w:ascii="Avenir" w:eastAsia="Avenir" w:hAnsi="Avenir" w:cs="Avenir"/>
        </w:rPr>
        <w:t xml:space="preserve">C mean-centered values in six essential amino acids (from left to right and top to bottom: Isoleucine, Leucine, Valine, </w:t>
      </w:r>
      <w:proofErr w:type="spellStart"/>
      <w:r>
        <w:rPr>
          <w:rFonts w:ascii="Avenir" w:eastAsia="Avenir" w:hAnsi="Avenir" w:cs="Avenir"/>
        </w:rPr>
        <w:t>Phenylalaine</w:t>
      </w:r>
      <w:proofErr w:type="spellEnd"/>
      <w:r>
        <w:rPr>
          <w:rFonts w:ascii="Avenir" w:eastAsia="Avenir" w:hAnsi="Avenir" w:cs="Avenir"/>
        </w:rPr>
        <w:t xml:space="preserve">, Threonine, and Methionine) for three groups of char. Letters show significant differences based on Kruskal-Wallis test, with post-hoc comparison using the criterion Fisher’s least significant difference. </w:t>
      </w:r>
    </w:p>
    <w:p w:rsidR="00886869" w:rsidRDefault="00886869">
      <w:pPr>
        <w:rPr>
          <w:rFonts w:ascii="Avenir" w:eastAsia="Avenir" w:hAnsi="Avenir" w:cs="Avenir"/>
          <w:b/>
        </w:rPr>
      </w:pPr>
    </w:p>
    <w:p w:rsidR="00886869" w:rsidRDefault="00886869">
      <w:pPr>
        <w:rPr>
          <w:rFonts w:ascii="Avenir" w:eastAsia="Avenir" w:hAnsi="Avenir" w:cs="Avenir"/>
          <w:b/>
        </w:rPr>
      </w:pPr>
    </w:p>
    <w:p w:rsidR="00886869" w:rsidRDefault="00886869">
      <w:pPr>
        <w:rPr>
          <w:rFonts w:ascii="Avenir" w:eastAsia="Avenir" w:hAnsi="Avenir" w:cs="Avenir"/>
          <w:b/>
        </w:rPr>
      </w:pPr>
    </w:p>
    <w:p w:rsidR="00886869" w:rsidRDefault="00886869">
      <w:pPr>
        <w:rPr>
          <w:rFonts w:ascii="Avenir" w:eastAsia="Avenir" w:hAnsi="Avenir" w:cs="Avenir"/>
          <w:b/>
        </w:rPr>
      </w:pPr>
    </w:p>
    <w:p w:rsidR="00886869" w:rsidRDefault="005943EF">
      <w:pPr>
        <w:rPr>
          <w:rFonts w:ascii="Avenir" w:eastAsia="Avenir" w:hAnsi="Avenir" w:cs="Avenir"/>
          <w:b/>
        </w:rPr>
      </w:pPr>
      <w:r>
        <w:rPr>
          <w:rFonts w:ascii="Avenir" w:eastAsia="Avenir" w:hAnsi="Avenir" w:cs="Avenir"/>
        </w:rPr>
        <w:t xml:space="preserve"> </w:t>
      </w:r>
    </w:p>
    <w:p w:rsidR="00886869" w:rsidRDefault="00886869">
      <w:pPr>
        <w:rPr>
          <w:rFonts w:ascii="Avenir" w:eastAsia="Avenir" w:hAnsi="Avenir" w:cs="Avenir"/>
          <w:b/>
        </w:rPr>
      </w:pPr>
    </w:p>
    <w:p w:rsidR="00886869" w:rsidRDefault="00886869">
      <w:pPr>
        <w:jc w:val="both"/>
        <w:rPr>
          <w:rFonts w:ascii="Avenir" w:eastAsia="Avenir" w:hAnsi="Avenir" w:cs="Avenir"/>
        </w:rPr>
      </w:pPr>
    </w:p>
    <w:p w:rsidR="00886869" w:rsidRDefault="00886869">
      <w:pPr>
        <w:jc w:val="both"/>
        <w:rPr>
          <w:rFonts w:ascii="Avenir" w:eastAsia="Avenir" w:hAnsi="Avenir" w:cs="Avenir"/>
        </w:rPr>
      </w:pPr>
    </w:p>
    <w:p w:rsidR="00886869" w:rsidRDefault="005943EF">
      <w:pPr>
        <w:jc w:val="both"/>
        <w:rPr>
          <w:rFonts w:ascii="Avenir" w:eastAsia="Avenir" w:hAnsi="Avenir" w:cs="Avenir"/>
        </w:rPr>
      </w:pPr>
      <w:r>
        <w:rPr>
          <w:rFonts w:ascii="Avenir" w:eastAsia="Avenir" w:hAnsi="Avenir" w:cs="Avenir"/>
          <w:noProof/>
        </w:rPr>
        <w:lastRenderedPageBreak/>
        <w:drawing>
          <wp:inline distT="0" distB="0" distL="0" distR="0">
            <wp:extent cx="4993005" cy="7407275"/>
            <wp:effectExtent l="0" t="0" r="0" b="0"/>
            <wp:docPr id="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4"/>
                    <a:srcRect/>
                    <a:stretch>
                      <a:fillRect/>
                    </a:stretch>
                  </pic:blipFill>
                  <pic:spPr>
                    <a:xfrm>
                      <a:off x="0" y="0"/>
                      <a:ext cx="4993005" cy="7407275"/>
                    </a:xfrm>
                    <a:prstGeom prst="rect">
                      <a:avLst/>
                    </a:prstGeom>
                    <a:ln/>
                  </pic:spPr>
                </pic:pic>
              </a:graphicData>
            </a:graphic>
          </wp:inline>
        </w:drawing>
      </w:r>
    </w:p>
    <w:p w:rsidR="00886869" w:rsidRDefault="005943EF">
      <w:pPr>
        <w:jc w:val="both"/>
        <w:rPr>
          <w:rFonts w:ascii="Avenir" w:eastAsia="Avenir" w:hAnsi="Avenir" w:cs="Avenir"/>
        </w:rPr>
      </w:pPr>
      <w:r>
        <w:rPr>
          <w:rFonts w:ascii="Avenir" w:eastAsia="Avenir" w:hAnsi="Avenir" w:cs="Avenir"/>
          <w:b/>
        </w:rPr>
        <w:t xml:space="preserve">Figure S4. </w:t>
      </w:r>
      <w:r>
        <w:rPr>
          <w:rFonts w:ascii="Avenir" w:eastAsia="Avenir" w:hAnsi="Avenir" w:cs="Avenir"/>
        </w:rPr>
        <w:t xml:space="preserve">Comparison between marine reliance of three mixing models: bulk raw </w:t>
      </w:r>
      <w:r>
        <w:t>δ</w:t>
      </w:r>
      <w:r>
        <w:rPr>
          <w:rFonts w:ascii="Avenir" w:eastAsia="Avenir" w:hAnsi="Avenir" w:cs="Avenir"/>
          <w:vertAlign w:val="superscript"/>
        </w:rPr>
        <w:t>13</w:t>
      </w:r>
      <w:r>
        <w:rPr>
          <w:rFonts w:ascii="Avenir" w:eastAsia="Avenir" w:hAnsi="Avenir" w:cs="Avenir"/>
        </w:rPr>
        <w:t xml:space="preserve">C, bulk lipid-corrected </w:t>
      </w:r>
      <w:r>
        <w:t>δ</w:t>
      </w:r>
      <w:r>
        <w:rPr>
          <w:rFonts w:ascii="Avenir" w:eastAsia="Avenir" w:hAnsi="Avenir" w:cs="Avenir"/>
          <w:vertAlign w:val="superscript"/>
        </w:rPr>
        <w:t>13</w:t>
      </w:r>
      <w:r>
        <w:rPr>
          <w:rFonts w:ascii="Avenir" w:eastAsia="Avenir" w:hAnsi="Avenir" w:cs="Avenir"/>
        </w:rPr>
        <w:t>C, and essential amino acid (EAA) fingerprinting. Panels (A), (B), and (C) show the relationship between the pairs of model estimates. Black lines depict the one-to-one lines. Dots represent individual fish, while segments around dots show one standard deviation around mean estimates. Panels (D), (E), and (F) display the distribution of mean differences between model estimates. Red dotted lines indicate zero.</w:t>
      </w:r>
    </w:p>
    <w:p w:rsidR="00886869" w:rsidRDefault="00886869">
      <w:pPr>
        <w:jc w:val="both"/>
        <w:rPr>
          <w:rFonts w:ascii="Avenir" w:eastAsia="Avenir" w:hAnsi="Avenir" w:cs="Avenir"/>
        </w:rPr>
      </w:pPr>
    </w:p>
    <w:p w:rsidR="00886869" w:rsidRDefault="00886869">
      <w:pPr>
        <w:rPr>
          <w:rFonts w:ascii="Avenir" w:eastAsia="Avenir" w:hAnsi="Avenir" w:cs="Avenir"/>
          <w:b/>
          <w:u w:val="single"/>
        </w:rPr>
      </w:pPr>
    </w:p>
    <w:p w:rsidR="00110A1D" w:rsidRDefault="00110A1D">
      <w:pPr>
        <w:rPr>
          <w:rFonts w:ascii="Avenir" w:eastAsia="Avenir" w:hAnsi="Avenir" w:cs="Avenir"/>
          <w:b/>
          <w:noProof/>
          <w:u w:val="single"/>
        </w:rPr>
      </w:pPr>
    </w:p>
    <w:p w:rsidR="00886869" w:rsidRDefault="005943EF">
      <w:pPr>
        <w:rPr>
          <w:rFonts w:ascii="Avenir" w:eastAsia="Avenir" w:hAnsi="Avenir" w:cs="Avenir"/>
          <w:b/>
          <w:u w:val="single"/>
        </w:rPr>
      </w:pPr>
      <w:r>
        <w:rPr>
          <w:rFonts w:ascii="Avenir" w:eastAsia="Avenir" w:hAnsi="Avenir" w:cs="Avenir"/>
          <w:b/>
          <w:noProof/>
          <w:u w:val="single"/>
        </w:rPr>
        <w:drawing>
          <wp:inline distT="0" distB="0" distL="0" distR="0">
            <wp:extent cx="4195375" cy="4091940"/>
            <wp:effectExtent l="0" t="0" r="0" b="381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5"/>
                    <a:srcRect t="1" b="2363"/>
                    <a:stretch/>
                  </pic:blipFill>
                  <pic:spPr bwMode="auto">
                    <a:xfrm>
                      <a:off x="0" y="0"/>
                      <a:ext cx="4195531" cy="4092092"/>
                    </a:xfrm>
                    <a:prstGeom prst="rect">
                      <a:avLst/>
                    </a:prstGeom>
                    <a:ln>
                      <a:noFill/>
                    </a:ln>
                    <a:extLst>
                      <a:ext uri="{53640926-AAD7-44D8-BBD7-CCE9431645EC}">
                        <a14:shadowObscured xmlns:a14="http://schemas.microsoft.com/office/drawing/2010/main"/>
                      </a:ext>
                    </a:extLst>
                  </pic:spPr>
                </pic:pic>
              </a:graphicData>
            </a:graphic>
          </wp:inline>
        </w:drawing>
      </w:r>
    </w:p>
    <w:p w:rsidR="00886869" w:rsidRDefault="005943EF">
      <w:pPr>
        <w:rPr>
          <w:rFonts w:ascii="Avenir" w:eastAsia="Avenir" w:hAnsi="Avenir" w:cs="Avenir"/>
          <w:b/>
          <w:u w:val="single"/>
        </w:rPr>
      </w:pPr>
      <w:r>
        <w:rPr>
          <w:rFonts w:ascii="Avenir" w:eastAsia="Avenir" w:hAnsi="Avenir" w:cs="Avenir"/>
          <w:b/>
        </w:rPr>
        <w:t xml:space="preserve">Figure S5. </w:t>
      </w:r>
      <w:r>
        <w:rPr>
          <w:rFonts w:ascii="Avenir" w:eastAsia="Avenir" w:hAnsi="Avenir" w:cs="Avenir"/>
        </w:rPr>
        <w:t xml:space="preserve">Char size distribution (standard length, in mm) in the two tributaries, with migration. </w:t>
      </w:r>
    </w:p>
    <w:p w:rsidR="00110A1D" w:rsidRDefault="005943EF">
      <w:pPr>
        <w:rPr>
          <w:rFonts w:ascii="Avenir" w:eastAsia="Avenir" w:hAnsi="Avenir" w:cs="Avenir"/>
          <w:b/>
          <w:u w:val="single"/>
        </w:rPr>
      </w:pPr>
      <w:r>
        <w:rPr>
          <w:rFonts w:ascii="Avenir" w:eastAsia="Avenir" w:hAnsi="Avenir" w:cs="Avenir"/>
          <w:b/>
          <w:noProof/>
          <w:u w:val="single"/>
        </w:rPr>
        <w:drawing>
          <wp:inline distT="0" distB="0" distL="0" distR="0">
            <wp:extent cx="4510703" cy="3325420"/>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b="2877"/>
                    <a:stretch>
                      <a:fillRect/>
                    </a:stretch>
                  </pic:blipFill>
                  <pic:spPr>
                    <a:xfrm>
                      <a:off x="0" y="0"/>
                      <a:ext cx="4510703" cy="3325420"/>
                    </a:xfrm>
                    <a:prstGeom prst="rect">
                      <a:avLst/>
                    </a:prstGeom>
                    <a:ln/>
                  </pic:spPr>
                </pic:pic>
              </a:graphicData>
            </a:graphic>
          </wp:inline>
        </w:drawing>
      </w:r>
    </w:p>
    <w:p w:rsidR="00886869" w:rsidRDefault="005943EF">
      <w:pPr>
        <w:jc w:val="both"/>
        <w:rPr>
          <w:rFonts w:ascii="Avenir" w:eastAsia="Avenir" w:hAnsi="Avenir" w:cs="Avenir"/>
        </w:rPr>
      </w:pPr>
      <w:r>
        <w:rPr>
          <w:rFonts w:ascii="Avenir" w:eastAsia="Avenir" w:hAnsi="Avenir" w:cs="Avenir"/>
          <w:b/>
        </w:rPr>
        <w:t xml:space="preserve">Figure S6. </w:t>
      </w:r>
      <w:r>
        <w:rPr>
          <w:rFonts w:ascii="Avenir" w:eastAsia="Avenir" w:hAnsi="Avenir" w:cs="Avenir"/>
        </w:rPr>
        <w:t xml:space="preserve">Relationship between marine subsidy reliance (y-axis) and char body size (x-axis), in tundra (dark green) or proglacial (light green) streams. Here, marine reliance is derived from the raw </w:t>
      </w:r>
      <w:r>
        <w:t>δ</w:t>
      </w:r>
      <w:r>
        <w:rPr>
          <w:rFonts w:ascii="Avenir" w:eastAsia="Avenir" w:hAnsi="Avenir" w:cs="Avenir"/>
          <w:vertAlign w:val="superscript"/>
        </w:rPr>
        <w:t>13</w:t>
      </w:r>
      <w:r>
        <w:rPr>
          <w:rFonts w:ascii="Avenir" w:eastAsia="Avenir" w:hAnsi="Avenir" w:cs="Avenir"/>
        </w:rPr>
        <w:t xml:space="preserve">C (i.e., </w:t>
      </w:r>
      <w:r>
        <w:rPr>
          <w:rFonts w:ascii="Avenir" w:eastAsia="Avenir" w:hAnsi="Avenir" w:cs="Avenir"/>
        </w:rPr>
        <w:lastRenderedPageBreak/>
        <w:t>no lipid correction) bulk mixing model. Dots show individual estimates from bulk mixing model. Lines with shaded area show the mean estimates and associated 95% confidence intervals from logistic regression.</w:t>
      </w:r>
    </w:p>
    <w:p w:rsidR="00886869" w:rsidRDefault="00886869">
      <w:pPr>
        <w:rPr>
          <w:rFonts w:ascii="Avenir" w:eastAsia="Avenir" w:hAnsi="Avenir" w:cs="Avenir"/>
          <w:b/>
          <w:u w:val="single"/>
        </w:rPr>
      </w:pPr>
    </w:p>
    <w:p w:rsidR="00886869" w:rsidRDefault="005943EF">
      <w:pPr>
        <w:rPr>
          <w:rFonts w:ascii="Avenir" w:eastAsia="Avenir" w:hAnsi="Avenir" w:cs="Avenir"/>
          <w:b/>
          <w:u w:val="single"/>
        </w:rPr>
      </w:pPr>
      <w:r>
        <w:rPr>
          <w:rFonts w:ascii="Avenir" w:eastAsia="Avenir" w:hAnsi="Avenir" w:cs="Avenir"/>
          <w:b/>
          <w:noProof/>
          <w:u w:val="single"/>
        </w:rPr>
        <w:drawing>
          <wp:inline distT="0" distB="0" distL="0" distR="0">
            <wp:extent cx="4639310" cy="4608830"/>
            <wp:effectExtent l="0" t="0" r="0" b="0"/>
            <wp:docPr id="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4639310" cy="4608830"/>
                    </a:xfrm>
                    <a:prstGeom prst="rect">
                      <a:avLst/>
                    </a:prstGeom>
                    <a:ln/>
                  </pic:spPr>
                </pic:pic>
              </a:graphicData>
            </a:graphic>
          </wp:inline>
        </w:drawing>
      </w:r>
    </w:p>
    <w:p w:rsidR="00886869" w:rsidRDefault="005943EF">
      <w:pPr>
        <w:rPr>
          <w:rFonts w:ascii="Avenir" w:eastAsia="Avenir" w:hAnsi="Avenir" w:cs="Avenir"/>
        </w:rPr>
      </w:pPr>
      <w:r>
        <w:rPr>
          <w:rFonts w:ascii="Avenir" w:eastAsia="Avenir" w:hAnsi="Avenir" w:cs="Avenir"/>
          <w:b/>
        </w:rPr>
        <w:t xml:space="preserve">Figure S7. </w:t>
      </w:r>
      <w:r>
        <w:rPr>
          <w:rFonts w:ascii="Avenir" w:eastAsia="Avenir" w:hAnsi="Avenir" w:cs="Avenir"/>
        </w:rPr>
        <w:t xml:space="preserve">Comparison of </w:t>
      </w:r>
      <w:r>
        <w:t>δ</w:t>
      </w:r>
      <w:r>
        <w:rPr>
          <w:rFonts w:ascii="Avenir" w:eastAsia="Avenir" w:hAnsi="Avenir" w:cs="Avenir"/>
          <w:vertAlign w:val="superscript"/>
        </w:rPr>
        <w:t>13</w:t>
      </w:r>
      <w:r>
        <w:rPr>
          <w:rFonts w:ascii="Avenir" w:eastAsia="Avenir" w:hAnsi="Avenir" w:cs="Avenir"/>
        </w:rPr>
        <w:t>C in char muscle tissue after lipid extraction (y-axis), and values without lipid extraction (</w:t>
      </w:r>
      <w:r>
        <w:rPr>
          <w:rFonts w:ascii="Avenir" w:eastAsia="Avenir" w:hAnsi="Avenir" w:cs="Avenir"/>
          <w:b/>
        </w:rPr>
        <w:t>A</w:t>
      </w:r>
      <w:r>
        <w:rPr>
          <w:rFonts w:ascii="Avenir" w:eastAsia="Avenir" w:hAnsi="Avenir" w:cs="Avenir"/>
        </w:rPr>
        <w:t>), corrected with Hoffman mass balance approach (</w:t>
      </w:r>
      <w:r>
        <w:rPr>
          <w:rFonts w:ascii="Avenir" w:eastAsia="Avenir" w:hAnsi="Avenir" w:cs="Avenir"/>
          <w:b/>
        </w:rPr>
        <w:t>B</w:t>
      </w:r>
      <w:r>
        <w:rPr>
          <w:rFonts w:ascii="Avenir" w:eastAsia="Avenir" w:hAnsi="Avenir" w:cs="Avenir"/>
        </w:rPr>
        <w:t>), and corrected with global Post aquatic animal equation (</w:t>
      </w:r>
      <w:r>
        <w:rPr>
          <w:rFonts w:ascii="Avenir" w:eastAsia="Avenir" w:hAnsi="Avenir" w:cs="Avenir"/>
          <w:b/>
        </w:rPr>
        <w:t>C</w:t>
      </w:r>
      <w:r>
        <w:rPr>
          <w:rFonts w:ascii="Avenir" w:eastAsia="Avenir" w:hAnsi="Avenir" w:cs="Avenir"/>
        </w:rPr>
        <w:t xml:space="preserve">). Dot shapes and colors show char migratory strategy, and </w:t>
      </w:r>
      <w:proofErr w:type="gramStart"/>
      <w:r>
        <w:rPr>
          <w:rFonts w:ascii="Avenir" w:eastAsia="Avenir" w:hAnsi="Avenir" w:cs="Avenir"/>
        </w:rPr>
        <w:t>C:N</w:t>
      </w:r>
      <w:proofErr w:type="gramEnd"/>
      <w:r>
        <w:rPr>
          <w:rFonts w:ascii="Avenir" w:eastAsia="Avenir" w:hAnsi="Avenir" w:cs="Avenir"/>
        </w:rPr>
        <w:t xml:space="preserve"> molar ratio in muscle biopsy, before lipid extraction. </w:t>
      </w:r>
    </w:p>
    <w:p w:rsidR="00886869" w:rsidRDefault="00886869">
      <w:pPr>
        <w:rPr>
          <w:rFonts w:ascii="Avenir" w:eastAsia="Avenir" w:hAnsi="Avenir" w:cs="Avenir"/>
          <w:b/>
          <w:u w:val="single"/>
        </w:rPr>
      </w:pPr>
    </w:p>
    <w:p w:rsidR="00886869" w:rsidRDefault="00886869">
      <w:pPr>
        <w:rPr>
          <w:rFonts w:ascii="Avenir" w:eastAsia="Avenir" w:hAnsi="Avenir" w:cs="Avenir"/>
          <w:b/>
          <w:u w:val="single"/>
        </w:rPr>
      </w:pPr>
    </w:p>
    <w:p w:rsidR="00886869" w:rsidRDefault="00886869">
      <w:pPr>
        <w:rPr>
          <w:rFonts w:ascii="Avenir" w:eastAsia="Avenir" w:hAnsi="Avenir" w:cs="Avenir"/>
          <w:b/>
          <w:u w:val="single"/>
        </w:rPr>
      </w:pPr>
    </w:p>
    <w:p w:rsidR="00886869" w:rsidRDefault="005943EF">
      <w:pPr>
        <w:rPr>
          <w:rFonts w:ascii="Avenir" w:eastAsia="Avenir" w:hAnsi="Avenir" w:cs="Avenir"/>
          <w:b/>
          <w:u w:val="single"/>
        </w:rPr>
      </w:pPr>
      <w:r>
        <w:rPr>
          <w:rFonts w:ascii="Avenir" w:eastAsia="Avenir" w:hAnsi="Avenir" w:cs="Avenir"/>
          <w:noProof/>
        </w:rPr>
        <w:lastRenderedPageBreak/>
        <w:drawing>
          <wp:inline distT="0" distB="0" distL="0" distR="0">
            <wp:extent cx="5760720" cy="1943328"/>
            <wp:effectExtent l="0" t="0" r="0" b="0"/>
            <wp:docPr id="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a:stretch>
                      <a:fillRect/>
                    </a:stretch>
                  </pic:blipFill>
                  <pic:spPr>
                    <a:xfrm>
                      <a:off x="0" y="0"/>
                      <a:ext cx="5760720" cy="1943328"/>
                    </a:xfrm>
                    <a:prstGeom prst="rect">
                      <a:avLst/>
                    </a:prstGeom>
                    <a:ln/>
                  </pic:spPr>
                </pic:pic>
              </a:graphicData>
            </a:graphic>
          </wp:inline>
        </w:drawing>
      </w:r>
    </w:p>
    <w:p w:rsidR="00886869" w:rsidRDefault="00886869">
      <w:pPr>
        <w:rPr>
          <w:rFonts w:ascii="Avenir" w:eastAsia="Avenir" w:hAnsi="Avenir" w:cs="Avenir"/>
          <w:b/>
          <w:u w:val="single"/>
        </w:rPr>
      </w:pPr>
    </w:p>
    <w:p w:rsidR="00886869" w:rsidRDefault="005943EF">
      <w:pPr>
        <w:jc w:val="both"/>
        <w:rPr>
          <w:rFonts w:ascii="Avenir" w:eastAsia="Avenir" w:hAnsi="Avenir" w:cs="Avenir"/>
        </w:rPr>
      </w:pPr>
      <w:r>
        <w:rPr>
          <w:rFonts w:ascii="Avenir" w:eastAsia="Avenir" w:hAnsi="Avenir" w:cs="Avenir"/>
          <w:b/>
        </w:rPr>
        <w:t xml:space="preserve">Figure S8. </w:t>
      </w:r>
      <w:r>
        <w:rPr>
          <w:rFonts w:ascii="Avenir" w:eastAsia="Avenir" w:hAnsi="Avenir" w:cs="Avenir"/>
        </w:rPr>
        <w:t xml:space="preserve">Comparison between isotopic ratio of carbon and nitrogen between anadromous mature char caught in proglacial (orange) or tundra (green) river. (A) Bulk stable isotope of carbon (x-axis) and nitrogen (y-axis). (B) and (C) show the relationship between char body length (x-axis) and bulk stable isotopes of nitrogen and carbon, respectively. </w:t>
      </w:r>
    </w:p>
    <w:p w:rsidR="00886869" w:rsidRDefault="00886869">
      <w:pPr>
        <w:rPr>
          <w:rFonts w:ascii="Avenir" w:eastAsia="Avenir" w:hAnsi="Avenir" w:cs="Avenir"/>
          <w:b/>
          <w:u w:val="single"/>
        </w:rPr>
      </w:pPr>
    </w:p>
    <w:p w:rsidR="00886869" w:rsidRDefault="00886869">
      <w:pPr>
        <w:rPr>
          <w:rFonts w:ascii="Avenir" w:eastAsia="Avenir" w:hAnsi="Avenir" w:cs="Avenir"/>
          <w:b/>
          <w:u w:val="single"/>
        </w:rPr>
      </w:pPr>
    </w:p>
    <w:p w:rsidR="00886869" w:rsidRDefault="00886869">
      <w:pPr>
        <w:rPr>
          <w:rFonts w:ascii="Avenir" w:eastAsia="Avenir" w:hAnsi="Avenir" w:cs="Avenir"/>
          <w:b/>
          <w:u w:val="single"/>
        </w:rPr>
      </w:pPr>
    </w:p>
    <w:p w:rsidR="00886869" w:rsidRDefault="005943EF">
      <w:pPr>
        <w:rPr>
          <w:rFonts w:ascii="Avenir" w:eastAsia="Avenir" w:hAnsi="Avenir" w:cs="Avenir"/>
          <w:b/>
          <w:u w:val="single"/>
        </w:rPr>
      </w:pPr>
      <w:r>
        <w:rPr>
          <w:rFonts w:ascii="Avenir" w:eastAsia="Avenir" w:hAnsi="Avenir" w:cs="Avenir"/>
          <w:b/>
          <w:noProof/>
          <w:u w:val="single"/>
        </w:rPr>
        <w:lastRenderedPageBreak/>
        <w:drawing>
          <wp:inline distT="0" distB="0" distL="0" distR="0">
            <wp:extent cx="4822190" cy="5499100"/>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4822190" cy="5499100"/>
                    </a:xfrm>
                    <a:prstGeom prst="rect">
                      <a:avLst/>
                    </a:prstGeom>
                    <a:ln/>
                  </pic:spPr>
                </pic:pic>
              </a:graphicData>
            </a:graphic>
          </wp:inline>
        </w:drawing>
      </w:r>
    </w:p>
    <w:p w:rsidR="00886869" w:rsidRDefault="00886869">
      <w:pPr>
        <w:jc w:val="both"/>
        <w:rPr>
          <w:rFonts w:ascii="Avenir" w:eastAsia="Avenir" w:hAnsi="Avenir" w:cs="Avenir"/>
        </w:rPr>
      </w:pPr>
    </w:p>
    <w:p w:rsidR="00886869" w:rsidRDefault="005943EF">
      <w:pPr>
        <w:jc w:val="both"/>
        <w:rPr>
          <w:rFonts w:ascii="Avenir" w:eastAsia="Avenir" w:hAnsi="Avenir" w:cs="Avenir"/>
        </w:rPr>
      </w:pPr>
      <w:r>
        <w:rPr>
          <w:rFonts w:ascii="Avenir" w:eastAsia="Avenir" w:hAnsi="Avenir" w:cs="Avenir"/>
          <w:b/>
        </w:rPr>
        <w:t xml:space="preserve">Figure S9. </w:t>
      </w:r>
      <w:r>
        <w:rPr>
          <w:rFonts w:ascii="Avenir" w:eastAsia="Avenir" w:hAnsi="Avenir" w:cs="Avenir"/>
        </w:rPr>
        <w:t>Comparison between maternal muscle and egg bulk isotopic composition. (A) (B), and (C) show relationship between egg (y-axis) and muscle (x-axis) isotopic ratios of carbon, carbon corrected for lipid depletion, and nitrogen, respectively. Lines show linear regressions. Dot colors show the carbon-to-nitrogen (</w:t>
      </w:r>
      <w:proofErr w:type="gramStart"/>
      <w:r>
        <w:rPr>
          <w:rFonts w:ascii="Avenir" w:eastAsia="Avenir" w:hAnsi="Avenir" w:cs="Avenir"/>
        </w:rPr>
        <w:t>C:N</w:t>
      </w:r>
      <w:proofErr w:type="gramEnd"/>
      <w:r>
        <w:rPr>
          <w:rFonts w:ascii="Avenir" w:eastAsia="Avenir" w:hAnsi="Avenir" w:cs="Avenir"/>
        </w:rPr>
        <w:t>) molar ratio in eggs, see legend. (D), (E) and (F) show the distribution of the relative difference between egg and muscle isotopic ratios of carbon, carbon corrected for lipid depletion, and nitrogen, respectively.</w:t>
      </w:r>
    </w:p>
    <w:p w:rsidR="00886869" w:rsidRDefault="00886869">
      <w:pPr>
        <w:rPr>
          <w:rFonts w:ascii="Avenir" w:eastAsia="Avenir" w:hAnsi="Avenir" w:cs="Avenir"/>
          <w:b/>
          <w:u w:val="single"/>
        </w:rPr>
      </w:pPr>
    </w:p>
    <w:p w:rsidR="00886869" w:rsidRDefault="00886869">
      <w:pPr>
        <w:rPr>
          <w:rFonts w:ascii="Avenir" w:eastAsia="Avenir" w:hAnsi="Avenir" w:cs="Avenir"/>
          <w:b/>
          <w:u w:val="single"/>
        </w:rPr>
      </w:pPr>
    </w:p>
    <w:p w:rsidR="00886869" w:rsidRDefault="00886869">
      <w:pPr>
        <w:rPr>
          <w:rFonts w:ascii="Avenir" w:eastAsia="Avenir" w:hAnsi="Avenir" w:cs="Avenir"/>
          <w:b/>
          <w:u w:val="single"/>
        </w:rPr>
      </w:pPr>
    </w:p>
    <w:p w:rsidR="00886869" w:rsidRDefault="00886869">
      <w:pPr>
        <w:rPr>
          <w:rFonts w:ascii="Avenir" w:eastAsia="Avenir" w:hAnsi="Avenir" w:cs="Avenir"/>
          <w:b/>
          <w:u w:val="single"/>
        </w:rPr>
      </w:pPr>
    </w:p>
    <w:p w:rsidR="00886869" w:rsidRDefault="00886869">
      <w:pPr>
        <w:rPr>
          <w:rFonts w:ascii="Avenir" w:eastAsia="Avenir" w:hAnsi="Avenir" w:cs="Avenir"/>
          <w:b/>
          <w:u w:val="single"/>
        </w:rPr>
      </w:pPr>
    </w:p>
    <w:p w:rsidR="00110A1D" w:rsidRDefault="00110A1D">
      <w:pPr>
        <w:rPr>
          <w:rFonts w:ascii="Avenir" w:eastAsia="Avenir" w:hAnsi="Avenir" w:cs="Avenir"/>
          <w:b/>
          <w:u w:val="single"/>
        </w:rPr>
      </w:pPr>
    </w:p>
    <w:p w:rsidR="00886869" w:rsidRDefault="005943EF">
      <w:pPr>
        <w:rPr>
          <w:rFonts w:ascii="Avenir" w:eastAsia="Avenir" w:hAnsi="Avenir" w:cs="Avenir"/>
          <w:b/>
          <w:u w:val="single"/>
        </w:rPr>
      </w:pPr>
      <w:r>
        <w:rPr>
          <w:rFonts w:ascii="Avenir" w:eastAsia="Avenir" w:hAnsi="Avenir" w:cs="Avenir"/>
          <w:b/>
          <w:u w:val="single"/>
        </w:rPr>
        <w:lastRenderedPageBreak/>
        <w:t>Appendix</w:t>
      </w:r>
    </w:p>
    <w:p w:rsidR="00886869" w:rsidRDefault="005943EF">
      <w:pPr>
        <w:rPr>
          <w:rFonts w:ascii="Avenir" w:eastAsia="Avenir" w:hAnsi="Avenir" w:cs="Avenir"/>
          <w:b/>
        </w:rPr>
      </w:pPr>
      <w:r>
        <w:rPr>
          <w:rFonts w:ascii="Avenir" w:eastAsia="Avenir" w:hAnsi="Avenir" w:cs="Avenir"/>
          <w:b/>
        </w:rPr>
        <w:t>Appendix 1. River physical and chemical data</w:t>
      </w:r>
    </w:p>
    <w:p w:rsidR="00886869" w:rsidRDefault="005943EF">
      <w:pPr>
        <w:jc w:val="both"/>
        <w:rPr>
          <w:rFonts w:ascii="Avenir" w:eastAsia="Avenir" w:hAnsi="Avenir" w:cs="Avenir"/>
          <w:b/>
        </w:rPr>
      </w:pPr>
      <w:r>
        <w:rPr>
          <w:rFonts w:ascii="Avenir" w:eastAsia="Avenir" w:hAnsi="Avenir" w:cs="Avenir"/>
        </w:rPr>
        <w:t xml:space="preserve">River temperature and conductivity were determined with </w:t>
      </w:r>
      <w:proofErr w:type="gramStart"/>
      <w:r>
        <w:rPr>
          <w:rFonts w:ascii="Avenir" w:eastAsia="Avenir" w:hAnsi="Avenir" w:cs="Avenir"/>
        </w:rPr>
        <w:t>a</w:t>
      </w:r>
      <w:proofErr w:type="gramEnd"/>
      <w:r>
        <w:rPr>
          <w:rFonts w:ascii="Avenir" w:eastAsia="Avenir" w:hAnsi="Avenir" w:cs="Avenir"/>
        </w:rPr>
        <w:t xml:space="preserve"> </w:t>
      </w:r>
      <w:r>
        <w:rPr>
          <w:rFonts w:ascii="Roboto" w:eastAsia="Roboto" w:hAnsi="Roboto" w:cs="Roboto"/>
          <w:color w:val="444746"/>
          <w:sz w:val="21"/>
          <w:szCs w:val="21"/>
        </w:rPr>
        <w:t>RBR Concerto CTD in 2022</w:t>
      </w:r>
      <w:r>
        <w:rPr>
          <w:rFonts w:ascii="Avenir" w:eastAsia="Avenir" w:hAnsi="Avenir" w:cs="Avenir"/>
        </w:rPr>
        <w:t xml:space="preserve">. Total dissolved phosphorus concentrations were determined by ICP-MS/MS (Agilent 8900) with </w:t>
      </w:r>
      <w:proofErr w:type="gramStart"/>
      <w:r>
        <w:rPr>
          <w:rFonts w:ascii="Avenir" w:eastAsia="Avenir" w:hAnsi="Avenir" w:cs="Avenir"/>
        </w:rPr>
        <w:t>In</w:t>
      </w:r>
      <w:proofErr w:type="gramEnd"/>
      <w:r>
        <w:rPr>
          <w:rFonts w:ascii="Avenir" w:eastAsia="Avenir" w:hAnsi="Avenir" w:cs="Avenir"/>
        </w:rPr>
        <w:t xml:space="preserve"> as an internal standard. Accuracy was confirmed with the standard reference material SRLS-6 (determined value = 172 ± 9 nmol/L, literature value = 167 ± 33 nmol/L, </w:t>
      </w:r>
      <w:r w:rsidR="008B0618">
        <w:fldChar w:fldCharType="begin"/>
      </w:r>
      <w:r w:rsidR="008B0618">
        <w:instrText xml:space="preserve"> ADDIN ZOTERO_ITEM CSL_CITATION {"citationID":"lyn7HhP7","properties":{"formattedCitation":"(Yeghicheyan and others 2019)","plainCitation":"(Yeghicheyan and others 2019)","noteIndex":0},"citationItems":[{"id":4091,"uris":["http://zotero.org/users/3681450/items/UUNMPEX4"],"uri":["http://zotero.org/users/3681450/items/UUNMPEX4"],"itemData":{"id":4091,"type":"article-journal","container-title":"Geostandards and Geoanalytical Research","issue":"3","note":"ISBN: 1639-4488\npublisher: Wiley Online Library","page":"475-496","title":"A new interlaboratory characterisation of silicon, rare earth elements and twenty‐two other trace element concentrations in the natural river water certified reference material SLRS‐6 (NRC‐CNRC)","volume":"43","author":[{"family":"Yeghicheyan","given":"Delphine"},{"family":"Aubert","given":"Dominique"},{"family":"Bouhnik‐le Coz","given":"Martine"},{"family":"Chmeleff","given":"Jérôme"},{"family":"Delpoux","given":"Sophie"},{"family":"Djouraev","given":"Irina"},{"family":"Granier","given":"Guy"},{"family":"Lacan","given":"Francois"},{"family":"Piro","given":"Jean-Luc"},{"family":"Rousseau","given":"Tristan"}],"issued":{"date-parts":[["2019"]]}}}],"schema":"https://github.com/citation-style-language/schema/raw/master/csl-citation.json"} </w:instrText>
      </w:r>
      <w:r w:rsidR="008B0618">
        <w:fldChar w:fldCharType="separate"/>
      </w:r>
      <w:r w:rsidR="008B0618" w:rsidRPr="008B0618">
        <w:t>(Yeghicheyan and others 2019)</w:t>
      </w:r>
      <w:r w:rsidR="008B0618">
        <w:fldChar w:fldCharType="end"/>
      </w:r>
      <w:r>
        <w:rPr>
          <w:rFonts w:ascii="Avenir" w:eastAsia="Avenir" w:hAnsi="Avenir" w:cs="Avenir"/>
        </w:rPr>
        <w:t xml:space="preserve"> and the detection limit, defined as three times the standard deviation of the blank, was 4 nmol/L.</w:t>
      </w:r>
    </w:p>
    <w:p w:rsidR="00886869" w:rsidRDefault="005943EF">
      <w:pPr>
        <w:rPr>
          <w:rFonts w:ascii="Avenir" w:eastAsia="Avenir" w:hAnsi="Avenir" w:cs="Avenir"/>
          <w:b/>
        </w:rPr>
      </w:pPr>
      <w:r>
        <w:rPr>
          <w:rFonts w:ascii="Avenir" w:eastAsia="Avenir" w:hAnsi="Avenir" w:cs="Avenir"/>
          <w:b/>
        </w:rPr>
        <w:t>Appendix 2. Bulk stable isotope analysis and lipid correction</w:t>
      </w:r>
    </w:p>
    <w:p w:rsidR="00886869" w:rsidRDefault="005943EF">
      <w:pPr>
        <w:jc w:val="both"/>
        <w:rPr>
          <w:rFonts w:ascii="Avenir" w:eastAsia="Avenir" w:hAnsi="Avenir" w:cs="Avenir"/>
        </w:rPr>
      </w:pPr>
      <w:r>
        <w:rPr>
          <w:rFonts w:ascii="Avenir" w:eastAsia="Avenir" w:hAnsi="Avenir" w:cs="Avenir"/>
        </w:rPr>
        <w:t xml:space="preserve">We dried the samples at 60°C for at least two days. We homogenized the samples by grinding them using tungsten beads (3 min at 30 hertz). For bulk stable isotope analysis, we measured </w:t>
      </w:r>
      <w:r>
        <w:t>δ</w:t>
      </w:r>
      <w:r>
        <w:rPr>
          <w:rFonts w:ascii="Avenir" w:eastAsia="Avenir" w:hAnsi="Avenir" w:cs="Avenir"/>
          <w:vertAlign w:val="superscript"/>
        </w:rPr>
        <w:t>13</w:t>
      </w:r>
      <w:r>
        <w:rPr>
          <w:rFonts w:ascii="Avenir" w:eastAsia="Avenir" w:hAnsi="Avenir" w:cs="Avenir"/>
        </w:rPr>
        <w:t xml:space="preserve">C and </w:t>
      </w:r>
      <w:r>
        <w:t>δ</w:t>
      </w:r>
      <w:r>
        <w:rPr>
          <w:rFonts w:ascii="Avenir" w:eastAsia="Avenir" w:hAnsi="Avenir" w:cs="Avenir"/>
          <w:vertAlign w:val="superscript"/>
        </w:rPr>
        <w:t>15</w:t>
      </w:r>
      <w:r>
        <w:rPr>
          <w:rFonts w:ascii="Avenir" w:eastAsia="Avenir" w:hAnsi="Avenir" w:cs="Avenir"/>
        </w:rPr>
        <w:t xml:space="preserve">N using a </w:t>
      </w:r>
      <w:proofErr w:type="spellStart"/>
      <w:r>
        <w:rPr>
          <w:rFonts w:ascii="Avenir" w:eastAsia="Avenir" w:hAnsi="Avenir" w:cs="Avenir"/>
        </w:rPr>
        <w:t>Vario</w:t>
      </w:r>
      <w:proofErr w:type="spellEnd"/>
      <w:r>
        <w:rPr>
          <w:rFonts w:ascii="Avenir" w:eastAsia="Avenir" w:hAnsi="Avenir" w:cs="Avenir"/>
        </w:rPr>
        <w:t xml:space="preserve"> PYRO CUBE CN elemental </w:t>
      </w:r>
      <w:proofErr w:type="spellStart"/>
      <w:r>
        <w:rPr>
          <w:rFonts w:ascii="Avenir" w:eastAsia="Avenir" w:hAnsi="Avenir" w:cs="Avenir"/>
        </w:rPr>
        <w:t>analyser</w:t>
      </w:r>
      <w:proofErr w:type="spellEnd"/>
      <w:r>
        <w:rPr>
          <w:rFonts w:ascii="Avenir" w:eastAsia="Avenir" w:hAnsi="Avenir" w:cs="Avenir"/>
        </w:rPr>
        <w:t xml:space="preserve"> (</w:t>
      </w:r>
      <w:proofErr w:type="spellStart"/>
      <w:r>
        <w:rPr>
          <w:rFonts w:ascii="Avenir" w:eastAsia="Avenir" w:hAnsi="Avenir" w:cs="Avenir"/>
        </w:rPr>
        <w:t>Elementar</w:t>
      </w:r>
      <w:proofErr w:type="spellEnd"/>
      <w:r>
        <w:rPr>
          <w:rFonts w:ascii="Avenir" w:eastAsia="Avenir" w:hAnsi="Avenir" w:cs="Avenir"/>
        </w:rPr>
        <w:t xml:space="preserve">, </w:t>
      </w:r>
      <w:proofErr w:type="spellStart"/>
      <w:r>
        <w:rPr>
          <w:rFonts w:ascii="Avenir" w:eastAsia="Avenir" w:hAnsi="Avenir" w:cs="Avenir"/>
        </w:rPr>
        <w:t>Langenselbold</w:t>
      </w:r>
      <w:proofErr w:type="spellEnd"/>
      <w:r>
        <w:rPr>
          <w:rFonts w:ascii="Avenir" w:eastAsia="Avenir" w:hAnsi="Avenir" w:cs="Avenir"/>
        </w:rPr>
        <w:t xml:space="preserve">, Germany) connected to an isotope ratio mass spectrometer (IRMS, </w:t>
      </w:r>
      <w:proofErr w:type="spellStart"/>
      <w:r>
        <w:rPr>
          <w:rFonts w:ascii="Avenir" w:eastAsia="Avenir" w:hAnsi="Avenir" w:cs="Avenir"/>
        </w:rPr>
        <w:t>Elementar</w:t>
      </w:r>
      <w:proofErr w:type="spellEnd"/>
      <w:r>
        <w:rPr>
          <w:rFonts w:ascii="Avenir" w:eastAsia="Avenir" w:hAnsi="Avenir" w:cs="Avenir"/>
        </w:rPr>
        <w:t xml:space="preserve">, </w:t>
      </w:r>
      <w:proofErr w:type="spellStart"/>
      <w:r>
        <w:rPr>
          <w:rFonts w:ascii="Avenir" w:eastAsia="Avenir" w:hAnsi="Avenir" w:cs="Avenir"/>
        </w:rPr>
        <w:t>Langenselbold</w:t>
      </w:r>
      <w:proofErr w:type="spellEnd"/>
      <w:r>
        <w:rPr>
          <w:rFonts w:ascii="Avenir" w:eastAsia="Avenir" w:hAnsi="Avenir" w:cs="Avenir"/>
        </w:rPr>
        <w:t>, Germany). We weighed ~0.5 mg of the dorsal muscle. Every tenth sample we ran Urea and acetanilide standards with certified values (</w:t>
      </w:r>
      <w:proofErr w:type="spellStart"/>
      <w:r>
        <w:rPr>
          <w:rFonts w:ascii="Avenir" w:eastAsia="Avenir" w:hAnsi="Avenir" w:cs="Avenir"/>
        </w:rPr>
        <w:t>Schimmelmann</w:t>
      </w:r>
      <w:proofErr w:type="spellEnd"/>
      <w:r>
        <w:rPr>
          <w:rFonts w:ascii="Avenir" w:eastAsia="Avenir" w:hAnsi="Avenir" w:cs="Avenir"/>
        </w:rPr>
        <w:t xml:space="preserve">, Indiana University). We corrected the measured stable isotope ratios for sample weight (i.e. considering peak intensity), and drift in the sequence, when we observed a significant drift (linear regression). The </w:t>
      </w:r>
      <w:r>
        <w:t>δ</w:t>
      </w:r>
      <w:r>
        <w:rPr>
          <w:rFonts w:ascii="Avenir" w:eastAsia="Avenir" w:hAnsi="Avenir" w:cs="Avenir"/>
          <w:vertAlign w:val="superscript"/>
        </w:rPr>
        <w:t>13</w:t>
      </w:r>
      <w:r>
        <w:rPr>
          <w:rFonts w:ascii="Avenir" w:eastAsia="Avenir" w:hAnsi="Avenir" w:cs="Avenir"/>
        </w:rPr>
        <w:t xml:space="preserve">C and </w:t>
      </w:r>
      <w:r>
        <w:t>δ</w:t>
      </w:r>
      <w:r>
        <w:rPr>
          <w:rFonts w:ascii="Avenir" w:eastAsia="Avenir" w:hAnsi="Avenir" w:cs="Avenir"/>
          <w:vertAlign w:val="superscript"/>
        </w:rPr>
        <w:t>15</w:t>
      </w:r>
      <w:r>
        <w:rPr>
          <w:rFonts w:ascii="Avenir" w:eastAsia="Avenir" w:hAnsi="Avenir" w:cs="Avenir"/>
        </w:rPr>
        <w:t xml:space="preserve">N values of all samples were normalized to the Vienna Pee Dee Belemnite (VPDB) and atmospheric air, respectively. The standard deviation of the acetanilide standard in one batch was at maximum 0.15‰ for both </w:t>
      </w:r>
      <w:r>
        <w:t>δ</w:t>
      </w:r>
      <w:r>
        <w:rPr>
          <w:rFonts w:ascii="Avenir" w:eastAsia="Avenir" w:hAnsi="Avenir" w:cs="Avenir"/>
          <w:vertAlign w:val="superscript"/>
        </w:rPr>
        <w:t>13</w:t>
      </w:r>
      <w:r>
        <w:rPr>
          <w:rFonts w:ascii="Avenir" w:eastAsia="Avenir" w:hAnsi="Avenir" w:cs="Avenir"/>
        </w:rPr>
        <w:t xml:space="preserve">C and </w:t>
      </w:r>
      <w:r>
        <w:t>δ</w:t>
      </w:r>
      <w:r>
        <w:rPr>
          <w:rFonts w:ascii="Avenir" w:eastAsia="Avenir" w:hAnsi="Avenir" w:cs="Avenir"/>
          <w:vertAlign w:val="superscript"/>
        </w:rPr>
        <w:t>15</w:t>
      </w:r>
      <w:r>
        <w:rPr>
          <w:rFonts w:ascii="Avenir" w:eastAsia="Avenir" w:hAnsi="Avenir" w:cs="Avenir"/>
        </w:rPr>
        <w:t xml:space="preserve">N. </w:t>
      </w:r>
    </w:p>
    <w:p w:rsidR="00886869" w:rsidRDefault="005943EF">
      <w:pPr>
        <w:jc w:val="both"/>
        <w:rPr>
          <w:rFonts w:ascii="Avenir" w:eastAsia="Avenir" w:hAnsi="Avenir" w:cs="Avenir"/>
        </w:rPr>
      </w:pPr>
      <w:r>
        <w:rPr>
          <w:rFonts w:ascii="Avenir" w:eastAsia="Avenir" w:hAnsi="Avenir" w:cs="Avenir"/>
        </w:rPr>
        <w:t xml:space="preserve">Biopsies were preserved in ethanol, which is well known to affect the isotopic composition of carbon, but has little effect on nitrogen </w:t>
      </w:r>
      <w:r w:rsidR="008B0618">
        <w:fldChar w:fldCharType="begin"/>
      </w:r>
      <w:r w:rsidR="008B0618">
        <w:instrText xml:space="preserve"> ADDIN ZOTERO_ITEM CSL_CITATION {"citationID":"N9zMWtRM","properties":{"formattedCitation":"(Arrington and Winemiller 2002)","plainCitation":"(Arrington and Winemiller 2002)","noteIndex":0},"citationItems":[{"id":755,"uris":["http://zotero.org/users/3681450/items/HUWJNC8V"],"uri":["http://zotero.org/users/3681450/items/HUWJNC8V"],"itemData":{"id":755,"type":"article-journal","abstract":"We evaluated the effect of salt and formalin–ethanol sample preservation on carbon and nitrogen isotopic signatures of ﬁsh muscle tissue. We found statistically signiﬁcant effects of the tissue preservation technique on both ␦13C and ␦15N; however, the magnitude of change was small and directionally uniform. Isotopic shifts were similar to those observed in previous studies in which formalin was used to preserve samples of quail blood and muscle and sheep blood. Because salt preservation caused minimal isotopic shifts (ϩ0.13‰ ␦13C, ϩ0.72‰ ␦15N), we propose salt as an easy, inexpensive preservation technique for biological samples collected in remote ﬁeld settings. Specimens preserved with formalin and ethanol were minimally affected by preservation (Ϫ1.12‰ ␦13C, ϩ0.62‰ ␦15N) and therefore may be suitable for ecological applications of stable isotope analysis when carbon and nitrogen sources are differentiated by more than 2‰. Further research is required to evaluate potential long-term storage effects of formalin ﬁxation and alcohol preservation on isotopic signatures of ﬁsh tissues.","language":"en","page":"6","source":"Zotero","title":"Preservation Effects on Stable Isotope Analysis of Fish Muscle","author":[{"family":"Arrington","given":"D Albrey"},{"family":"Winemiller","given":"Kirk O"}],"issued":{"date-parts":[["2002"]]}}}],"schema":"https://github.com/citation-style-language/schema/raw/master/csl-citation.json"} </w:instrText>
      </w:r>
      <w:r w:rsidR="008B0618">
        <w:fldChar w:fldCharType="separate"/>
      </w:r>
      <w:r w:rsidR="008B0618" w:rsidRPr="008B0618">
        <w:t>(Arrington and Winemiller 2002)</w:t>
      </w:r>
      <w:r w:rsidR="008B0618">
        <w:fldChar w:fldCharType="end"/>
      </w:r>
      <w:r>
        <w:rPr>
          <w:rFonts w:ascii="Avenir" w:eastAsia="Avenir" w:hAnsi="Avenir" w:cs="Avenir"/>
        </w:rPr>
        <w:t xml:space="preserve">. However, this effect is mainly driven by ethanol-extraction of lipids </w:t>
      </w:r>
      <w:r w:rsidR="008B0618">
        <w:fldChar w:fldCharType="begin"/>
      </w:r>
      <w:r w:rsidR="008B0618">
        <w:instrText xml:space="preserve"> ADDIN ZOTERO_ITEM CSL_CITATION {"citationID":"WjGo6p7h","properties":{"formattedCitation":"(Vizza and others 2013; Durante and others 2020)","plainCitation":"(Vizza and others 2013; Durante and others 2020)","noteIndex":0},"citationItems":[{"id":73,"uris":["http://zotero.org/users/3681450/items/2PB7ZK4I"],"uri":["http://zotero.org/users/3681450/items/2PB7ZK4I"],"itemData":{"id":73,"type":"article-journal","abstract":"Isotopic ecology has been widely used to understand spatial connectivity and trophic interactions in marine systems. However, its potential for monitoring an ecosystem’s health and function has been hampered by the lack of consistent sample storage and long-term studies. Preserved specimens from museum collections are a valuable source of tissue for analyses from ancient and pre-modern times, but isotopic signatures are known to be affected by commonly used fixatives. The aim of the present study was to understand the effects of fixatives on isotopic signatures of bulk tissue (d13Cm and d15Nm) and amino acids (d13CAA and d15NAA) of fish muscle and to provide correction equations for the isotopic shifts. Two specimens of each: blue cod (Parapercis colias), blue warehou (Seriolella brama), and king salmon (Oncorhynchus tschawytscha) were sampled at five locations along their dorsal musculature, at four time periods: (1) fresh, (2) after 1 month preserved in formalin, and after (3) 3 and (4) 12 months fixed in either ethanol or isopropanol. Lipid content was positively correlated with C: N ratio (r² = 0.83) and had a significant effect on d13C after treatments, but not on d15N. C:N ratio (for d13Cm) and percent N (for d15Nm) from preserved specimens contributed to the most parsimonious mixed models, which explained 79% of the variation due to fixation and preservation for d13C and 81% for d15N. d13CAA were generally not affected by fixatives and preservatives, while most d15NAA showed different signatures between treatments. d15NAA variations did not affect the magnitude of differences between amino acids, allowing scientists to retrieve ecological information (e.g., trophic level) independently of time under preservation. Corrections were applied to the raw data of the experiment, highlighting the importance of d13Cm and d15Nm correction when fish muscle tissues from wet collections are compared to fresh samples. Our results make it possible to retrieve d13Cm, d15Nm, d13CAA, and d15NAA from museum specimens and can be applied to some of the fundamental questions in ecology, such as trophic baseline shifts and changes in community’s food web structure through time.","container-title":"Ecological Applications","DOI":"10.1002/eap.2080","ISSN":"1051-0761, 1939-5582","issue":"4","journalAbbreviation":"Ecol Appl","language":"en","source":"DOI.org (Crossref)","title":"Effects of fixatives on stable isotopes of fish muscle tissue: implications for trophic studies on preserved specimens","title-short":"Effects of fixatives on stable isotopes of fish muscle tissue","URL":"https://onlinelibrary.wiley.com/doi/abs/10.1002/eap.2080","volume":"30","author":[{"family":"Durante","given":"L. M."},{"family":"Sabadel","given":"A. J. M."},{"family":"Frew","given":"R. D."},{"family":"Ingram","given":"T."},{"family":"Wing","given":"S. R."}],"accessed":{"date-parts":[["2020",7,8]]},"issued":{"date-parts":[["2020",6]]}}},{"id":773,"uris":["http://zotero.org/users/3681450/items/S6ETRZJI"],"uri":["http://zotero.org/users/3681450/items/S6ETRZJI"],"itemData":{"id":773,"type":"article-journal","abstract":"Although chemical preservation of stable isotope samples has been studied in a variety of species and tissue types, the effects of ethanol preservation on ﬁsh ﬁn tissue have not been examined. Using caudal ﬁn samples from juvenile Chinook Salmon Oncorhynchus tshawytscha and Rainbow Trout O. mykiss or steelhead (the anadromous form of Rainbow Trout), we investigated how storage time (2, 4, and 6 months), ﬁn composition (C:N ratio), and ﬁsh body size (50–130 mm FL) inﬂuence preservation-induced changes in δ13C and δ15N. In both species, we found that treatment ﬁns (frozen and later preserved in ethanol) exhibited higher δ13C than did paired reference ﬁns (frozen). The changes in δ15N, however, were smaller in magnitude and less consistent. Preservationinduced increases in ﬁn δ13C, but not δ15N, were signiﬁcantly correlated with the change in C:N ratio (treatment–reference) in both species. In addition, these increases in δ13C were more highly correlated with body size in O. mykiss than in Chinook Salmon. Storage time had a signiﬁcant effect on the shift in treatment ﬁn δ13C and a small, but insigniﬁcant, effect on δ15N in O. mykiss. However, storage time was not a signiﬁcant factor for explaining the isotopic shifts observed in Chinook Salmon ﬁn tissue. This is the ﬁrst study to document variation in preservation-induced changes in δ13C within a species and to link this variation to C:N ratio. Future studies using species-speciﬁc and tissue-speciﬁc models to correct for preservation-induced shifts in stable isotope ratios should be aware that these models do not account for intraspeciﬁc variation in tissue composition.","container-title":"Transactions of the American Fisheries Society","DOI":"10.1080/00028487.2013.816366","ISSN":"0002-8487, 1548-8659","issue":"5","journalAbbreviation":"Transactions of the American Fisheries Society","language":"en","page":"1469-1476","source":"DOI.org (Crossref)","title":"The Effects of Ethanol Preservation on Fish Fin Stable Isotopes: Does Variation in C:N Ratio and Body Size Matter?","title-short":"The Effects of Ethanol Preservation on Fish Fin Stable Isotopes","volume":"142","author":[{"family":"Vizza","given":"Carmella"},{"family":"Sanderson","given":"Beth L."},{"family":"Burrows","given":"Douglas G."},{"family":"Coe","given":"Holly J."}],"issued":{"date-parts":[["2013",9]]}}}],"schema":"https://github.com/citation-style-language/schema/raw/master/csl-citation.json"} </w:instrText>
      </w:r>
      <w:r w:rsidR="008B0618">
        <w:fldChar w:fldCharType="separate"/>
      </w:r>
      <w:r w:rsidR="008B0618" w:rsidRPr="008B0618">
        <w:t>(Vizza and others 2013; Durante and others 2020)</w:t>
      </w:r>
      <w:r w:rsidR="008B0618">
        <w:fldChar w:fldCharType="end"/>
      </w:r>
      <w:r>
        <w:rPr>
          <w:rFonts w:ascii="Avenir" w:eastAsia="Avenir" w:hAnsi="Avenir" w:cs="Avenir"/>
        </w:rPr>
        <w:t xml:space="preserve">; which we corrected for. </w:t>
      </w:r>
    </w:p>
    <w:p w:rsidR="00886869" w:rsidRDefault="005943EF">
      <w:pPr>
        <w:jc w:val="both"/>
        <w:rPr>
          <w:rFonts w:ascii="Avenir" w:eastAsia="Avenir" w:hAnsi="Avenir" w:cs="Avenir"/>
        </w:rPr>
      </w:pPr>
      <w:r>
        <w:rPr>
          <w:rFonts w:ascii="Avenir" w:eastAsia="Avenir" w:hAnsi="Avenir" w:cs="Avenir"/>
        </w:rPr>
        <w:t xml:space="preserve">We corrected fish </w:t>
      </w:r>
      <w:r>
        <w:t>δ</w:t>
      </w:r>
      <w:r>
        <w:rPr>
          <w:rFonts w:ascii="Avenir" w:eastAsia="Avenir" w:hAnsi="Avenir" w:cs="Avenir"/>
          <w:vertAlign w:val="superscript"/>
        </w:rPr>
        <w:t>13</w:t>
      </w:r>
      <w:r>
        <w:rPr>
          <w:rFonts w:ascii="Avenir" w:eastAsia="Avenir" w:hAnsi="Avenir" w:cs="Avenir"/>
        </w:rPr>
        <w:t xml:space="preserve">C for lipid depletion in </w:t>
      </w:r>
      <w:r>
        <w:rPr>
          <w:rFonts w:ascii="Avenir" w:eastAsia="Avenir" w:hAnsi="Avenir" w:cs="Avenir"/>
          <w:vertAlign w:val="superscript"/>
        </w:rPr>
        <w:t>13</w:t>
      </w:r>
      <w:r>
        <w:rPr>
          <w:rFonts w:ascii="Avenir" w:eastAsia="Avenir" w:hAnsi="Avenir" w:cs="Avenir"/>
        </w:rPr>
        <w:t>C (Δ</w:t>
      </w:r>
      <w:r>
        <w:t>δ</w:t>
      </w:r>
      <w:r>
        <w:rPr>
          <w:rFonts w:ascii="Avenir" w:eastAsia="Avenir" w:hAnsi="Avenir" w:cs="Avenir"/>
          <w:vertAlign w:val="superscript"/>
        </w:rPr>
        <w:t>13</w:t>
      </w:r>
      <w:r>
        <w:rPr>
          <w:rFonts w:ascii="Avenir" w:eastAsia="Avenir" w:hAnsi="Avenir" w:cs="Avenir"/>
        </w:rPr>
        <w:t>C</w:t>
      </w:r>
      <w:r>
        <w:rPr>
          <w:rFonts w:ascii="Avenir" w:eastAsia="Avenir" w:hAnsi="Avenir" w:cs="Avenir"/>
          <w:vertAlign w:val="subscript"/>
        </w:rPr>
        <w:t>lipid</w:t>
      </w:r>
      <w:r>
        <w:rPr>
          <w:rFonts w:ascii="Avenir" w:eastAsia="Avenir" w:hAnsi="Avenir" w:cs="Avenir"/>
        </w:rPr>
        <w:t xml:space="preserve">), using a mass balance approach </w:t>
      </w:r>
      <w:r w:rsidR="008B0618">
        <w:fldChar w:fldCharType="begin"/>
      </w:r>
      <w:r w:rsidR="008B0618">
        <w:instrText xml:space="preserve"> ADDIN ZOTERO_ITEM CSL_CITATION {"citationID":"EFz4Nfo7","properties":{"formattedCitation":"(Hoffman and others 2015)","plainCitation":"(Hoffman and others 2015)","noteIndex":0},"citationItems":[{"id":770,"uris":["http://zotero.org/users/3681450/items/AHP6M2N5"],"uri":["http://zotero.org/users/3681450/items/AHP6M2N5"],"itemData":{"id":770,"type":"article-journal","abstract":"METHODS: We evaluated two commonly used models for estimating tissue lipid content based on C:N ratio (a mass balance model and a stoichiometric model) by comparing model predictions to measure the lipid content of white muscle tissue. We then determined the effect of lipid model choice on δ13C values normalized using arithmetic mass balance. To do so, we used a collection of ﬁsh from Lake Superior spanning a wide range in lipid content (5% to 73% lipid).\nRESULTS: We found that the lipid content was positively related to the bulk muscle tissue C:N ratio. The two different lipid models produced similar estimates of lipid content based on tissue C:N, within 6% for tissue C:N values &lt;7. Normalizing δ13C values using an arithmetic mass-balance equation based on either model yielded similar results, with a small bias (&lt;1‰) compared with results based on chemical extraction.\nCONCLUSIONS: Among-species consistency in the relationship between ﬁsh muscle tissue C:N ratio and lipid content supports the application of arithmetic mass balance to normalize δ13C values for lipid content. The uncertainty associated with both lipid extraction quality and choice of model parameters constrains the achievable precision of normalized δ13C values to about ±1.0‰. Published in 2015. This article is a U.S. Government work and is in the public domain in the U.S.A.","container-title":"Rapid Communications in Mass Spectrometry","DOI":"10.1002/rcm.7367","ISSN":"09514198","issue":"21","journalAbbreviation":"Rapid Commun. Mass Spectrom.","language":"en","page":"2069-2077","source":"DOI.org (Crossref)","title":"Fish tissue lipid-C:N relationships for correcting δ &lt;sup&gt;13&lt;/sup&gt; C values and estimating lipid content in aquatic food-web studies: Fish tissue lipid-C:N relationships","title-short":"Fish tissue lipid-C","volume":"29","author":[{"family":"Hoffman","given":"Joel C."},{"family":"Sierszen","given":"Michael E."},{"family":"Cotter","given":"Anne M."}],"issued":{"date-parts":[["2015",11,15]]}}}],"schema":"https://github.com/citation-style-language/schema/raw/master/csl-citation.json"} </w:instrText>
      </w:r>
      <w:r w:rsidR="008B0618">
        <w:fldChar w:fldCharType="separate"/>
      </w:r>
      <w:r w:rsidR="008B0618" w:rsidRPr="008B0618">
        <w:t>(Hoffman and others 2015)</w:t>
      </w:r>
      <w:r w:rsidR="008B0618">
        <w:fldChar w:fldCharType="end"/>
      </w:r>
      <w:r>
        <w:rPr>
          <w:rFonts w:ascii="Avenir" w:eastAsia="Avenir" w:hAnsi="Avenir" w:cs="Avenir"/>
        </w:rPr>
        <w:t xml:space="preserve">: </w:t>
      </w:r>
    </w:p>
    <w:p w:rsidR="00886869" w:rsidRDefault="005943EF">
      <w:pPr>
        <w:jc w:val="both"/>
        <w:rPr>
          <w:rFonts w:ascii="Avenir" w:eastAsia="Avenir" w:hAnsi="Avenir" w:cs="Avenir"/>
        </w:rPr>
      </w:pPr>
      <w:bookmarkStart w:id="0" w:name="_1t3h5sf" w:colFirst="0" w:colLast="0"/>
      <w:bookmarkEnd w:id="0"/>
      <w:r>
        <w:t>δ</w:t>
      </w:r>
      <w:r>
        <w:rPr>
          <w:rFonts w:ascii="Avenir" w:eastAsia="Avenir" w:hAnsi="Avenir" w:cs="Avenir"/>
          <w:vertAlign w:val="superscript"/>
        </w:rPr>
        <w:t>13</w:t>
      </w:r>
      <w:r>
        <w:rPr>
          <w:rFonts w:ascii="Avenir" w:eastAsia="Avenir" w:hAnsi="Avenir" w:cs="Avenir"/>
        </w:rPr>
        <w:t>C</w:t>
      </w:r>
      <w:r>
        <w:rPr>
          <w:rFonts w:ascii="Avenir" w:eastAsia="Avenir" w:hAnsi="Avenir" w:cs="Avenir"/>
          <w:vertAlign w:val="subscript"/>
        </w:rPr>
        <w:t>lipid free</w:t>
      </w:r>
      <w:r>
        <w:rPr>
          <w:rFonts w:ascii="Avenir" w:eastAsia="Avenir" w:hAnsi="Avenir" w:cs="Avenir"/>
        </w:rPr>
        <w:t xml:space="preserve"> = </w:t>
      </w:r>
      <w:r>
        <w:t>δ</w:t>
      </w:r>
      <w:r>
        <w:rPr>
          <w:rFonts w:ascii="Avenir" w:eastAsia="Avenir" w:hAnsi="Avenir" w:cs="Avenir"/>
          <w:vertAlign w:val="superscript"/>
        </w:rPr>
        <w:t>13</w:t>
      </w:r>
      <w:r>
        <w:rPr>
          <w:rFonts w:ascii="Avenir" w:eastAsia="Avenir" w:hAnsi="Avenir" w:cs="Avenir"/>
        </w:rPr>
        <w:t>C</w:t>
      </w:r>
      <w:r>
        <w:rPr>
          <w:rFonts w:ascii="Avenir" w:eastAsia="Avenir" w:hAnsi="Avenir" w:cs="Avenir"/>
          <w:vertAlign w:val="subscript"/>
        </w:rPr>
        <w:t>bulk</w:t>
      </w:r>
      <w:r>
        <w:rPr>
          <w:rFonts w:ascii="Avenir" w:eastAsia="Avenir" w:hAnsi="Avenir" w:cs="Avenir"/>
        </w:rPr>
        <w:t xml:space="preserve"> – </w:t>
      </w:r>
      <w:proofErr w:type="spellStart"/>
      <w:proofErr w:type="gramStart"/>
      <w:r>
        <w:rPr>
          <w:rFonts w:ascii="Avenir" w:eastAsia="Avenir" w:hAnsi="Avenir" w:cs="Avenir"/>
        </w:rPr>
        <w:t>f</w:t>
      </w:r>
      <w:r>
        <w:rPr>
          <w:rFonts w:ascii="Avenir" w:eastAsia="Avenir" w:hAnsi="Avenir" w:cs="Avenir"/>
          <w:vertAlign w:val="subscript"/>
        </w:rPr>
        <w:t>lipid</w:t>
      </w:r>
      <w:proofErr w:type="spellEnd"/>
      <w:r>
        <w:rPr>
          <w:rFonts w:ascii="Avenir" w:eastAsia="Avenir" w:hAnsi="Avenir" w:cs="Avenir"/>
          <w:vertAlign w:val="subscript"/>
        </w:rPr>
        <w:t xml:space="preserve"> </w:t>
      </w:r>
      <w:r>
        <w:rPr>
          <w:rFonts w:ascii="Avenir" w:eastAsia="Avenir" w:hAnsi="Avenir" w:cs="Avenir"/>
        </w:rPr>
        <w:t>.</w:t>
      </w:r>
      <w:proofErr w:type="gramEnd"/>
      <w:r>
        <w:rPr>
          <w:rFonts w:ascii="Avenir" w:eastAsia="Avenir" w:hAnsi="Avenir" w:cs="Avenir"/>
        </w:rPr>
        <w:t xml:space="preserve"> Δ</w:t>
      </w:r>
      <w:r>
        <w:t>δ</w:t>
      </w:r>
      <w:r>
        <w:rPr>
          <w:rFonts w:ascii="Avenir" w:eastAsia="Avenir" w:hAnsi="Avenir" w:cs="Avenir"/>
          <w:vertAlign w:val="superscript"/>
        </w:rPr>
        <w:t>13</w:t>
      </w:r>
      <w:r>
        <w:rPr>
          <w:rFonts w:ascii="Avenir" w:eastAsia="Avenir" w:hAnsi="Avenir" w:cs="Avenir"/>
        </w:rPr>
        <w:t>C</w:t>
      </w:r>
      <w:r>
        <w:rPr>
          <w:rFonts w:ascii="Avenir" w:eastAsia="Avenir" w:hAnsi="Avenir" w:cs="Avenir"/>
          <w:vertAlign w:val="subscript"/>
        </w:rPr>
        <w:t>lipid</w:t>
      </w:r>
      <w:r>
        <w:rPr>
          <w:rFonts w:ascii="Avenir" w:eastAsia="Avenir" w:hAnsi="Avenir" w:cs="Avenir"/>
        </w:rPr>
        <w:t xml:space="preserve">, with </w:t>
      </w:r>
      <w:proofErr w:type="spellStart"/>
      <w:r>
        <w:rPr>
          <w:rFonts w:ascii="Avenir" w:eastAsia="Avenir" w:hAnsi="Avenir" w:cs="Avenir"/>
        </w:rPr>
        <w:t>f</w:t>
      </w:r>
      <w:r>
        <w:rPr>
          <w:rFonts w:ascii="Avenir" w:eastAsia="Avenir" w:hAnsi="Avenir" w:cs="Avenir"/>
          <w:vertAlign w:val="subscript"/>
        </w:rPr>
        <w:t>lipid</w:t>
      </w:r>
      <w:proofErr w:type="spellEnd"/>
      <w:r>
        <w:rPr>
          <w:rFonts w:ascii="Avenir" w:eastAsia="Avenir" w:hAnsi="Avenir" w:cs="Avenir"/>
          <w:vertAlign w:val="subscript"/>
        </w:rPr>
        <w:t xml:space="preserve"> </w:t>
      </w:r>
      <w:r>
        <w:rPr>
          <w:rFonts w:ascii="Avenir" w:eastAsia="Avenir" w:hAnsi="Avenir" w:cs="Avenir"/>
        </w:rPr>
        <w:t xml:space="preserve">the fraction of lipids, given by: </w:t>
      </w:r>
    </w:p>
    <w:p w:rsidR="00886869" w:rsidRDefault="005943EF">
      <w:pPr>
        <w:jc w:val="both"/>
        <w:rPr>
          <w:rFonts w:ascii="Avenir" w:eastAsia="Avenir" w:hAnsi="Avenir" w:cs="Avenir"/>
        </w:rPr>
      </w:pPr>
      <w:bookmarkStart w:id="1" w:name="_4d34og8" w:colFirst="0" w:colLast="0"/>
      <w:bookmarkEnd w:id="1"/>
      <w:proofErr w:type="spellStart"/>
      <w:r>
        <w:rPr>
          <w:rFonts w:ascii="Avenir" w:eastAsia="Avenir" w:hAnsi="Avenir" w:cs="Avenir"/>
        </w:rPr>
        <w:t>f</w:t>
      </w:r>
      <w:r>
        <w:rPr>
          <w:rFonts w:ascii="Avenir" w:eastAsia="Avenir" w:hAnsi="Avenir" w:cs="Avenir"/>
          <w:vertAlign w:val="subscript"/>
        </w:rPr>
        <w:t>lipid</w:t>
      </w:r>
      <w:proofErr w:type="spellEnd"/>
      <w:r>
        <w:rPr>
          <w:rFonts w:ascii="Avenir" w:eastAsia="Avenir" w:hAnsi="Avenir" w:cs="Avenir"/>
          <w:vertAlign w:val="subscript"/>
        </w:rPr>
        <w:t xml:space="preserve"> </w:t>
      </w:r>
      <w:r>
        <w:rPr>
          <w:rFonts w:ascii="Avenir" w:eastAsia="Avenir" w:hAnsi="Avenir" w:cs="Avenir"/>
        </w:rPr>
        <w:t xml:space="preserve">= 1 - </w:t>
      </w:r>
      <w:proofErr w:type="gramStart"/>
      <w:r>
        <w:rPr>
          <w:rFonts w:ascii="Avenir" w:eastAsia="Avenir" w:hAnsi="Avenir" w:cs="Avenir"/>
        </w:rPr>
        <w:t>C:N</w:t>
      </w:r>
      <w:r>
        <w:rPr>
          <w:rFonts w:ascii="Avenir" w:eastAsia="Avenir" w:hAnsi="Avenir" w:cs="Avenir"/>
          <w:vertAlign w:val="subscript"/>
        </w:rPr>
        <w:t>lipid</w:t>
      </w:r>
      <w:proofErr w:type="gramEnd"/>
      <w:r>
        <w:rPr>
          <w:rFonts w:ascii="Avenir" w:eastAsia="Avenir" w:hAnsi="Avenir" w:cs="Avenir"/>
          <w:vertAlign w:val="subscript"/>
        </w:rPr>
        <w:t xml:space="preserve"> free</w:t>
      </w:r>
      <w:r>
        <w:rPr>
          <w:rFonts w:ascii="Avenir" w:eastAsia="Avenir" w:hAnsi="Avenir" w:cs="Avenir"/>
        </w:rPr>
        <w:t>/</w:t>
      </w:r>
      <w:proofErr w:type="spellStart"/>
      <w:r>
        <w:rPr>
          <w:rFonts w:ascii="Avenir" w:eastAsia="Avenir" w:hAnsi="Avenir" w:cs="Avenir"/>
        </w:rPr>
        <w:t>C:N</w:t>
      </w:r>
      <w:r>
        <w:rPr>
          <w:rFonts w:ascii="Avenir" w:eastAsia="Avenir" w:hAnsi="Avenir" w:cs="Avenir"/>
          <w:vertAlign w:val="subscript"/>
        </w:rPr>
        <w:t>bulk</w:t>
      </w:r>
      <w:proofErr w:type="spellEnd"/>
      <w:r>
        <w:rPr>
          <w:rFonts w:ascii="Avenir" w:eastAsia="Avenir" w:hAnsi="Avenir" w:cs="Avenir"/>
          <w:vertAlign w:val="subscript"/>
        </w:rPr>
        <w:t xml:space="preserve"> , </w:t>
      </w:r>
      <w:r>
        <w:rPr>
          <w:rFonts w:ascii="Avenir" w:eastAsia="Avenir" w:hAnsi="Avenir" w:cs="Avenir"/>
        </w:rPr>
        <w:t xml:space="preserve">with C:N the molar C:N ratio. </w:t>
      </w:r>
    </w:p>
    <w:p w:rsidR="00886869" w:rsidRDefault="005943EF">
      <w:pPr>
        <w:jc w:val="both"/>
        <w:rPr>
          <w:rFonts w:ascii="Avenir" w:eastAsia="Avenir" w:hAnsi="Avenir" w:cs="Avenir"/>
        </w:rPr>
      </w:pPr>
      <w:bookmarkStart w:id="2" w:name="_2s8eyo1" w:colFirst="0" w:colLast="0"/>
      <w:bookmarkEnd w:id="2"/>
      <w:r>
        <w:rPr>
          <w:rFonts w:ascii="Avenir" w:eastAsia="Avenir" w:hAnsi="Avenir" w:cs="Avenir"/>
        </w:rPr>
        <w:t>We used Δ</w:t>
      </w:r>
      <w:r>
        <w:t>δ</w:t>
      </w:r>
      <w:r>
        <w:rPr>
          <w:rFonts w:ascii="Avenir" w:eastAsia="Avenir" w:hAnsi="Avenir" w:cs="Avenir"/>
          <w:vertAlign w:val="superscript"/>
        </w:rPr>
        <w:t>13</w:t>
      </w:r>
      <w:r>
        <w:rPr>
          <w:rFonts w:ascii="Avenir" w:eastAsia="Avenir" w:hAnsi="Avenir" w:cs="Avenir"/>
        </w:rPr>
        <w:t>C</w:t>
      </w:r>
      <w:r>
        <w:rPr>
          <w:rFonts w:ascii="Avenir" w:eastAsia="Avenir" w:hAnsi="Avenir" w:cs="Avenir"/>
          <w:vertAlign w:val="subscript"/>
        </w:rPr>
        <w:t xml:space="preserve">lipid </w:t>
      </w:r>
      <w:r>
        <w:rPr>
          <w:rFonts w:ascii="Avenir" w:eastAsia="Avenir" w:hAnsi="Avenir" w:cs="Avenir"/>
        </w:rPr>
        <w:t xml:space="preserve">= 7 ‰, which is a common value reported on fish and salmonid </w:t>
      </w:r>
      <w:r w:rsidR="008B0618">
        <w:fldChar w:fldCharType="begin"/>
      </w:r>
      <w:r w:rsidR="008B0618">
        <w:instrText xml:space="preserve"> ADDIN ZOTERO_ITEM CSL_CITATION {"citationID":"Pff2dUFU","properties":{"formattedCitation":"(Post and others 2007; Hoffman and others 2015; Mumby and others 2018)","plainCitation":"(Post and others 2007; Hoffman and others 2015; Mumby and others 2018)","noteIndex":0},"citationItems":[{"id":"zkv17BnY/5ivuekEB","uris":["http://zotero.org/users/3681450/items/CKW7UKNF"],"uri":["http://zotero.org/users/3681450/items/CKW7UKNF"],"itemData":{"id":452,"type":"article-journal","container-title":"Oecologia","DOI":"10.1007/s00442-006-0630-x","ISSN":"0029-8549, 1432-1939","issue":"1","journalAbbreviation":"Oecologia","language":"en","page":"179-189","source":"link.springer.com","title":"Getting to the fat of the matter: models, methods and assumptions for dealing with lipids in stable isotope analyses","title-short":"Getting to the fat of the matter","volume":"152","author":[{"family":"Post","given":"David M."},{"family":"Layman","given":"Craig A."},{"family":"Arrington","given":"D. Albrey"},{"family":"Takimoto","given":"Gaku"},{"family":"Quattrochi","given":"John"},{"family":"Montaña","given":"Carman G."}],"issued":{"date-parts":[["2007",5,1]]}}},{"id":770,"uris":["http://zotero.org/users/3681450/items/AHP6M2N5"],"uri":["http://zotero.org/users/3681450/items/AHP6M2N5"],"itemData":{"id":770,"type":"article-journal","abstract":"METHODS: We evaluated two commonly used models for estimating tissue lipid content based on C:N ratio (a mass balance model and a stoichiometric model) by comparing model predictions to measure the lipid content of white muscle tissue. We then determined the effect of lipid model choice on δ13C values normalized using arithmetic mass balance. To do so, we used a collection of ﬁsh from Lake Superior spanning a wide range in lipid content (5% to 73% lipid).\nRESULTS: We found that the lipid content was positively related to the bulk muscle tissue C:N ratio. The two different lipid models produced similar estimates of lipid content based on tissue C:N, within 6% for tissue C:N values &lt;7. Normalizing δ13C values using an arithmetic mass-balance equation based on either model yielded similar results, with a small bias (&lt;1‰) compared with results based on chemical extraction.\nCONCLUSIONS: Among-species consistency in the relationship between ﬁsh muscle tissue C:N ratio and lipid content supports the application of arithmetic mass balance to normalize δ13C values for lipid content. The uncertainty associated with both lipid extraction quality and choice of model parameters constrains the achievable precision of normalized δ13C values to about ±1.0‰. Published in 2015. This article is a U.S. Government work and is in the public domain in the U.S.A.","container-title":"Rapid Communications in Mass Spectrometry","DOI":"10.1002/rcm.7367","ISSN":"09514198","issue":"21","journalAbbreviation":"Rapid Commun. Mass Spectrom.","language":"en","page":"2069-2077","source":"DOI.org (Crossref)","title":"Fish tissue lipid-C:N relationships for correcting δ &lt;sup&gt;13&lt;/sup&gt; C values and estimating lipid content in aquatic food-web studies: Fish tissue lipid-C:N relationships","title-short":"Fish tissue lipid-C","volume":"29","author":[{"family":"Hoffman","given":"Joel C."},{"family":"Sierszen","given":"Michael E."},{"family":"Cotter","given":"Anne M."}],"issued":{"date-parts":[["2015",11,15]]}}},{"id":3402,"uris":["http://zotero.org/users/3681450/items/Z3GPIDN2"],"uri":["http://zotero.org/users/3681450/items/Z3GPIDN2"],"itemData":{"id":3402,"type":"article-journal","abstract":"Lake Ontario supports a diversity of native and non-native salmonids which are managed largely through stocking practices. Ecological changes (e.g., invasive species) altering the food web structure accompanied with shifts in prey abundance, necessitate understanding the trophic niches of Lake Ontario salmonids to aid in management. The objectives of this study were to quantify salmonid (5 species) trophic niches and dietary proportions using stable isotope ratios (δ13C and δ15N) of a large sample set (adult ﬁsh (N300 mm; n = 672) and key offshore prey (5 species, n = 2037)) collected across Lake Ontario in 2013. Estimates of prey based on stable isotope ratios were similar to stomach contents. Based on stable isotope ratios, non-native prey dominated salmonid diet; in particular alewife (Alosa pseudoharengus) constituted the majority (0.31 to 0.93) of all salmonid diets, and round goby (Neogobius melanostomus) contributed 0.26 and 0.19 of brown trout (Salmo trutta) and lake trout (Salvelinus namaycush) diets, respectively. Trophic niche overlap was high between all salmonids, except lake trout. The largest trophic niche overlap occurred between Chinook (Oncorhynchus tshawytscha), coho (Oncorhynchus kisutch), and Atlantic salmon (Salmo salar), and their reliance on alewife infers a strong pelagic foraging strategy. Lake, brown and rainbow (Oncorhynchus mykiss) trout had larger and/or more distinct trophic niches indicative of a more variable diet across individuals and utilizing different foraging strategies and/or habitats. Overall, Lake Ontario salmonids maintained a high reliance on alewife, and their potential for plasticity in diet provides important information to management regarding population sustainability.","container-title":"Journal of Great Lakes Research","DOI":"10.1016/j.jglr.2018.08.009","ISSN":"03801330","issue":"6","journalAbbreviation":"Journal of Great Lakes Research","language":"en","page":"1383-1392","source":"DOI.org (Crossref)","title":"Diet and trophic niche space and overlap of Lake Ontario salmonid species using stable isotopes and stomach contents","volume":"44","author":[{"family":"Mumby","given":"James A."},{"family":"Larocque","given":"Sarah M."},{"family":"Johnson","given":"Timothy B."},{"family":"Stewart","given":"Thomas J."},{"family":"Fitzsimons","given":"John D."},{"family":"Weidel","given":"Brian C."},{"family":"Walsh","given":"Maureen G."},{"family":"Lantry","given":"Jana R."},{"family":"Yuille","given":"Michael J."},{"family":"Fisk","given":"Aaron T."}],"issued":{"date-parts":[["2018",12]]}}}],"schema":"https://github.com/citation-style-language/schema/raw/master/csl-citation.json"} </w:instrText>
      </w:r>
      <w:r w:rsidR="008B0618">
        <w:fldChar w:fldCharType="separate"/>
      </w:r>
      <w:r w:rsidR="008B0618" w:rsidRPr="008B0618">
        <w:t>(Post and others 2007; Hoffman and others 2015; Mumby and others 2018)</w:t>
      </w:r>
      <w:r w:rsidR="008B0618">
        <w:fldChar w:fldCharType="end"/>
      </w:r>
      <w:r>
        <w:rPr>
          <w:rFonts w:ascii="Avenir" w:eastAsia="Avenir" w:hAnsi="Avenir" w:cs="Avenir"/>
        </w:rPr>
        <w:t xml:space="preserve">. We measured </w:t>
      </w:r>
      <w:proofErr w:type="gramStart"/>
      <w:r>
        <w:rPr>
          <w:rFonts w:ascii="Avenir" w:eastAsia="Avenir" w:hAnsi="Avenir" w:cs="Avenir"/>
        </w:rPr>
        <w:t>C:N</w:t>
      </w:r>
      <w:r>
        <w:rPr>
          <w:rFonts w:ascii="Avenir" w:eastAsia="Avenir" w:hAnsi="Avenir" w:cs="Avenir"/>
          <w:vertAlign w:val="subscript"/>
        </w:rPr>
        <w:t>lipid</w:t>
      </w:r>
      <w:proofErr w:type="gramEnd"/>
      <w:r>
        <w:rPr>
          <w:rFonts w:ascii="Avenir" w:eastAsia="Avenir" w:hAnsi="Avenir" w:cs="Avenir"/>
          <w:vertAlign w:val="subscript"/>
        </w:rPr>
        <w:t xml:space="preserve"> free </w:t>
      </w:r>
      <w:r>
        <w:rPr>
          <w:rFonts w:ascii="Avenir" w:eastAsia="Avenir" w:hAnsi="Avenir" w:cs="Avenir"/>
        </w:rPr>
        <w:t xml:space="preserve">using anadromous and resident char of another study in a similar system in Southern Greenland. For this study, we had frozen-preserved muscle samples and we run elemental and bulk stable isotope analysis with and without lipid extraction by three extraction </w:t>
      </w:r>
      <w:proofErr w:type="spellStart"/>
      <w:proofErr w:type="gramStart"/>
      <w:r>
        <w:rPr>
          <w:rFonts w:ascii="Avenir" w:eastAsia="Avenir" w:hAnsi="Avenir" w:cs="Avenir"/>
        </w:rPr>
        <w:t>Methanol:Dichloromethane</w:t>
      </w:r>
      <w:proofErr w:type="spellEnd"/>
      <w:proofErr w:type="gramEnd"/>
      <w:r>
        <w:rPr>
          <w:rFonts w:ascii="Avenir" w:eastAsia="Avenir" w:hAnsi="Avenir" w:cs="Avenir"/>
        </w:rPr>
        <w:t xml:space="preserve"> 1:1 (unpublished data). We found </w:t>
      </w:r>
      <w:proofErr w:type="gramStart"/>
      <w:r>
        <w:rPr>
          <w:rFonts w:ascii="Avenir" w:eastAsia="Avenir" w:hAnsi="Avenir" w:cs="Avenir"/>
        </w:rPr>
        <w:t>C:N</w:t>
      </w:r>
      <w:r>
        <w:rPr>
          <w:rFonts w:ascii="Avenir" w:eastAsia="Avenir" w:hAnsi="Avenir" w:cs="Avenir"/>
          <w:vertAlign w:val="subscript"/>
        </w:rPr>
        <w:t>lipid</w:t>
      </w:r>
      <w:proofErr w:type="gramEnd"/>
      <w:r>
        <w:rPr>
          <w:rFonts w:ascii="Avenir" w:eastAsia="Avenir" w:hAnsi="Avenir" w:cs="Avenir"/>
          <w:vertAlign w:val="subscript"/>
        </w:rPr>
        <w:t xml:space="preserve"> free</w:t>
      </w:r>
      <w:r>
        <w:rPr>
          <w:rFonts w:ascii="Avenir" w:eastAsia="Avenir" w:hAnsi="Avenir" w:cs="Avenir"/>
        </w:rPr>
        <w:t xml:space="preserve">= 3.4, which was also the value that maximized the fit between lipid extracted and normalized </w:t>
      </w:r>
      <w:r>
        <w:t>δ</w:t>
      </w:r>
      <w:r>
        <w:rPr>
          <w:rFonts w:ascii="Avenir" w:eastAsia="Avenir" w:hAnsi="Avenir" w:cs="Avenir"/>
          <w:vertAlign w:val="superscript"/>
        </w:rPr>
        <w:t>13</w:t>
      </w:r>
      <w:r>
        <w:rPr>
          <w:rFonts w:ascii="Avenir" w:eastAsia="Avenir" w:hAnsi="Avenir" w:cs="Avenir"/>
        </w:rPr>
        <w:t xml:space="preserve">C. </w:t>
      </w:r>
    </w:p>
    <w:p w:rsidR="00886869" w:rsidRDefault="005943EF">
      <w:pPr>
        <w:jc w:val="both"/>
        <w:rPr>
          <w:rFonts w:ascii="Avenir" w:eastAsia="Avenir" w:hAnsi="Avenir" w:cs="Avenir"/>
        </w:rPr>
      </w:pPr>
      <w:r>
        <w:rPr>
          <w:rFonts w:ascii="Avenir" w:eastAsia="Avenir" w:hAnsi="Avenir" w:cs="Avenir"/>
        </w:rPr>
        <w:t xml:space="preserve">We compared this approach to the commonly used approach following </w:t>
      </w:r>
      <w:r w:rsidR="008B0618">
        <w:fldChar w:fldCharType="begin"/>
      </w:r>
      <w:r w:rsidR="008B0618">
        <w:instrText xml:space="preserve"> ADDIN ZOTERO_ITEM CSL_CITATION {"citationID":"g4ZZquW9","properties":{"formattedCitation":"(Post and others 2007)","plainCitation":"(Post and others 2007)","noteIndex":0},"citationItems":[{"id":"zkv17BnY/5ivuekEB","uris":["http://zotero.org/users/3681450/items/CKW7UKNF"],"uri":["http://zotero.org/users/3681450/items/CKW7UKNF"],"itemData":{"id":"DvOs4mpm/WnuQxGg6","type":"article-journal","container-title":"Oecologia","DOI":"10.1007/s00442-006-0630-x","ISSN":"0029-8549, 1432-1939","issue":"1","journalAbbreviation":"Oecologia","language":"en","page":"179-189","source":"link.springer.com","title":"Getting to the fat of the matter: models, methods and assumptions for dealing with lipids in stable isotope analyses","title-short":"Getting to the fat of the matter","volume":"152","author":[{"family":"Post","given":"David M."},{"family":"Layman","given":"Craig A."},{"family":"Arrington","given":"D. Albrey"},{"family":"Takimoto","given":"Gaku"},{"family":"Quattrochi","given":"John"},{"family":"Montaña","given":"Carman G."}],"issued":{"date-parts":[["2007",5,1]]}}}],"schema":"https://github.com/citation-style-language/schema/raw/master/csl-citation.json"} </w:instrText>
      </w:r>
      <w:r w:rsidR="008B0618">
        <w:fldChar w:fldCharType="separate"/>
      </w:r>
      <w:r w:rsidR="008B0618" w:rsidRPr="008B0618">
        <w:t>(Post and others 2007)</w:t>
      </w:r>
      <w:r w:rsidR="008B0618">
        <w:fldChar w:fldCharType="end"/>
      </w:r>
      <w:r>
        <w:rPr>
          <w:rFonts w:ascii="Avenir" w:eastAsia="Avenir" w:hAnsi="Avenir" w:cs="Avenir"/>
        </w:rPr>
        <w:t>, based on the global formula for aquatic animals:</w:t>
      </w:r>
    </w:p>
    <w:p w:rsidR="00886869" w:rsidRDefault="005943EF">
      <w:pPr>
        <w:jc w:val="both"/>
        <w:rPr>
          <w:rFonts w:ascii="Avenir" w:eastAsia="Avenir" w:hAnsi="Avenir" w:cs="Avenir"/>
          <w:vertAlign w:val="subscript"/>
        </w:rPr>
      </w:pPr>
      <w:r>
        <w:t>δ</w:t>
      </w:r>
      <w:r>
        <w:rPr>
          <w:rFonts w:ascii="Avenir" w:eastAsia="Avenir" w:hAnsi="Avenir" w:cs="Avenir"/>
          <w:vertAlign w:val="superscript"/>
        </w:rPr>
        <w:t>13</w:t>
      </w:r>
      <w:r>
        <w:rPr>
          <w:rFonts w:ascii="Avenir" w:eastAsia="Avenir" w:hAnsi="Avenir" w:cs="Avenir"/>
        </w:rPr>
        <w:t>C</w:t>
      </w:r>
      <w:r>
        <w:rPr>
          <w:rFonts w:ascii="Avenir" w:eastAsia="Avenir" w:hAnsi="Avenir" w:cs="Avenir"/>
          <w:vertAlign w:val="subscript"/>
        </w:rPr>
        <w:t>lipid free</w:t>
      </w:r>
      <w:r>
        <w:rPr>
          <w:rFonts w:ascii="Avenir" w:eastAsia="Avenir" w:hAnsi="Avenir" w:cs="Avenir"/>
        </w:rPr>
        <w:t xml:space="preserve"> = </w:t>
      </w:r>
      <w:r>
        <w:t>δ</w:t>
      </w:r>
      <w:r>
        <w:rPr>
          <w:rFonts w:ascii="Avenir" w:eastAsia="Avenir" w:hAnsi="Avenir" w:cs="Avenir"/>
          <w:vertAlign w:val="superscript"/>
        </w:rPr>
        <w:t>13</w:t>
      </w:r>
      <w:r>
        <w:rPr>
          <w:rFonts w:ascii="Avenir" w:eastAsia="Avenir" w:hAnsi="Avenir" w:cs="Avenir"/>
        </w:rPr>
        <w:t>C</w:t>
      </w:r>
      <w:r>
        <w:rPr>
          <w:rFonts w:ascii="Avenir" w:eastAsia="Avenir" w:hAnsi="Avenir" w:cs="Avenir"/>
          <w:vertAlign w:val="subscript"/>
        </w:rPr>
        <w:t>bulk</w:t>
      </w:r>
      <w:r>
        <w:rPr>
          <w:rFonts w:ascii="Avenir" w:eastAsia="Avenir" w:hAnsi="Avenir" w:cs="Avenir"/>
        </w:rPr>
        <w:t xml:space="preserve"> –3.32 + 0.99 * </w:t>
      </w:r>
      <w:proofErr w:type="gramStart"/>
      <w:r>
        <w:rPr>
          <w:rFonts w:ascii="Avenir" w:eastAsia="Avenir" w:hAnsi="Avenir" w:cs="Avenir"/>
        </w:rPr>
        <w:t>C:N</w:t>
      </w:r>
      <w:r>
        <w:rPr>
          <w:rFonts w:ascii="Avenir" w:eastAsia="Avenir" w:hAnsi="Avenir" w:cs="Avenir"/>
          <w:vertAlign w:val="subscript"/>
        </w:rPr>
        <w:t>bulk</w:t>
      </w:r>
      <w:proofErr w:type="gramEnd"/>
      <w:r>
        <w:rPr>
          <w:rFonts w:ascii="Avenir" w:eastAsia="Avenir" w:hAnsi="Avenir" w:cs="Avenir"/>
          <w:vertAlign w:val="subscript"/>
        </w:rPr>
        <w:t xml:space="preserve"> </w:t>
      </w:r>
    </w:p>
    <w:p w:rsidR="00886869" w:rsidRDefault="005943EF">
      <w:pPr>
        <w:jc w:val="both"/>
        <w:rPr>
          <w:rFonts w:ascii="Avenir" w:eastAsia="Avenir" w:hAnsi="Avenir" w:cs="Avenir"/>
        </w:rPr>
      </w:pPr>
      <w:r>
        <w:rPr>
          <w:rFonts w:ascii="Avenir" w:eastAsia="Avenir" w:hAnsi="Avenir" w:cs="Avenir"/>
        </w:rPr>
        <w:t xml:space="preserve">In this equation, </w:t>
      </w:r>
      <w:proofErr w:type="gramStart"/>
      <w:r>
        <w:rPr>
          <w:rFonts w:ascii="Avenir" w:eastAsia="Avenir" w:hAnsi="Avenir" w:cs="Avenir"/>
        </w:rPr>
        <w:t>C:N</w:t>
      </w:r>
      <w:r>
        <w:rPr>
          <w:rFonts w:ascii="Avenir" w:eastAsia="Avenir" w:hAnsi="Avenir" w:cs="Avenir"/>
          <w:vertAlign w:val="subscript"/>
        </w:rPr>
        <w:t>bulk</w:t>
      </w:r>
      <w:proofErr w:type="gramEnd"/>
      <w:r>
        <w:rPr>
          <w:rFonts w:ascii="Avenir" w:eastAsia="Avenir" w:hAnsi="Avenir" w:cs="Avenir"/>
          <w:vertAlign w:val="subscript"/>
        </w:rPr>
        <w:t xml:space="preserve"> </w:t>
      </w:r>
      <w:r>
        <w:rPr>
          <w:rFonts w:ascii="Avenir" w:eastAsia="Avenir" w:hAnsi="Avenir" w:cs="Avenir"/>
        </w:rPr>
        <w:t xml:space="preserve">is the mass ratio (instead of molar ratio, which we converted for this calculation).  </w:t>
      </w:r>
    </w:p>
    <w:p w:rsidR="00886869" w:rsidRDefault="005943EF">
      <w:pPr>
        <w:jc w:val="both"/>
        <w:rPr>
          <w:rFonts w:ascii="Avenir" w:eastAsia="Avenir" w:hAnsi="Avenir" w:cs="Avenir"/>
        </w:rPr>
      </w:pPr>
      <w:r>
        <w:rPr>
          <w:rFonts w:ascii="Avenir" w:eastAsia="Avenir" w:hAnsi="Avenir" w:cs="Avenir"/>
        </w:rPr>
        <w:t xml:space="preserve">We observed a global increase in </w:t>
      </w:r>
      <w:r>
        <w:t>δ</w:t>
      </w:r>
      <w:r>
        <w:rPr>
          <w:rFonts w:ascii="Avenir" w:eastAsia="Avenir" w:hAnsi="Avenir" w:cs="Avenir"/>
          <w:vertAlign w:val="superscript"/>
        </w:rPr>
        <w:t>13</w:t>
      </w:r>
      <w:r>
        <w:rPr>
          <w:rFonts w:ascii="Avenir" w:eastAsia="Avenir" w:hAnsi="Avenir" w:cs="Avenir"/>
        </w:rPr>
        <w:t xml:space="preserve">C following lipid extraction (Fig. S7A, min: 0.1, max: 4.5, mean: 1.9), aligning with the removal of </w:t>
      </w:r>
      <w:r>
        <w:t>δ</w:t>
      </w:r>
      <w:r>
        <w:rPr>
          <w:rFonts w:ascii="Avenir" w:eastAsia="Avenir" w:hAnsi="Avenir" w:cs="Avenir"/>
          <w:vertAlign w:val="superscript"/>
        </w:rPr>
        <w:t>13</w:t>
      </w:r>
      <w:r>
        <w:rPr>
          <w:rFonts w:ascii="Avenir" w:eastAsia="Avenir" w:hAnsi="Avenir" w:cs="Avenir"/>
        </w:rPr>
        <w:t xml:space="preserve">C-depleted lipids. The mathematical mass balance approach yielded close estimates between mathematically corrected </w:t>
      </w:r>
      <w:r>
        <w:t>δ</w:t>
      </w:r>
      <w:r>
        <w:rPr>
          <w:rFonts w:ascii="Avenir" w:eastAsia="Avenir" w:hAnsi="Avenir" w:cs="Avenir"/>
          <w:vertAlign w:val="superscript"/>
        </w:rPr>
        <w:t>13</w:t>
      </w:r>
      <w:r>
        <w:rPr>
          <w:rFonts w:ascii="Avenir" w:eastAsia="Avenir" w:hAnsi="Avenir" w:cs="Avenir"/>
        </w:rPr>
        <w:t xml:space="preserve">C lipid-free values and actual </w:t>
      </w:r>
      <w:r>
        <w:t>δ</w:t>
      </w:r>
      <w:r>
        <w:rPr>
          <w:rFonts w:ascii="Avenir" w:eastAsia="Avenir" w:hAnsi="Avenir" w:cs="Avenir"/>
          <w:vertAlign w:val="superscript"/>
        </w:rPr>
        <w:t>13</w:t>
      </w:r>
      <w:r>
        <w:rPr>
          <w:rFonts w:ascii="Avenir" w:eastAsia="Avenir" w:hAnsi="Avenir" w:cs="Avenir"/>
        </w:rPr>
        <w:t>C lipid-</w:t>
      </w:r>
      <w:r>
        <w:rPr>
          <w:rFonts w:ascii="Avenir" w:eastAsia="Avenir" w:hAnsi="Avenir" w:cs="Avenir"/>
        </w:rPr>
        <w:lastRenderedPageBreak/>
        <w:t xml:space="preserve">free values (Fig. S7B, min: -0.8, max: 1.8, mean: 0.4). Additionally, correction using the global Post equation resulted in a closer fit compared to uncorrected </w:t>
      </w:r>
      <w:r>
        <w:t>δ</w:t>
      </w:r>
      <w:r>
        <w:rPr>
          <w:rFonts w:ascii="Avenir" w:eastAsia="Avenir" w:hAnsi="Avenir" w:cs="Avenir"/>
          <w:vertAlign w:val="superscript"/>
        </w:rPr>
        <w:t>13</w:t>
      </w:r>
      <w:r>
        <w:rPr>
          <w:rFonts w:ascii="Avenir" w:eastAsia="Avenir" w:hAnsi="Avenir" w:cs="Avenir"/>
        </w:rPr>
        <w:t xml:space="preserve">C values, albeit much less adequately than the former approach (Fig. S7C, min: 0.1, max: 3.2, mean: 1.5). Thus, we were confident that the mass balance approach was adequate to mathematically correct for lipid </w:t>
      </w:r>
      <w:r>
        <w:t>δ</w:t>
      </w:r>
      <w:r>
        <w:rPr>
          <w:rFonts w:ascii="Avenir" w:eastAsia="Avenir" w:hAnsi="Avenir" w:cs="Avenir"/>
          <w:vertAlign w:val="superscript"/>
        </w:rPr>
        <w:t>13</w:t>
      </w:r>
      <w:r>
        <w:rPr>
          <w:rFonts w:ascii="Avenir" w:eastAsia="Avenir" w:hAnsi="Avenir" w:cs="Avenir"/>
        </w:rPr>
        <w:t xml:space="preserve">C depletion. </w:t>
      </w:r>
    </w:p>
    <w:p w:rsidR="00886869" w:rsidRDefault="005943EF">
      <w:pPr>
        <w:rPr>
          <w:rFonts w:ascii="Avenir" w:eastAsia="Avenir" w:hAnsi="Avenir" w:cs="Avenir"/>
          <w:b/>
        </w:rPr>
      </w:pPr>
      <w:r>
        <w:rPr>
          <w:rFonts w:ascii="Avenir" w:eastAsia="Avenir" w:hAnsi="Avenir" w:cs="Avenir"/>
          <w:b/>
        </w:rPr>
        <w:t>Appendix 3. Mixing models of marine reliance</w:t>
      </w:r>
    </w:p>
    <w:p w:rsidR="00886869" w:rsidRDefault="005943EF">
      <w:pPr>
        <w:jc w:val="both"/>
        <w:rPr>
          <w:rFonts w:ascii="Avenir" w:eastAsia="Avenir" w:hAnsi="Avenir" w:cs="Avenir"/>
        </w:rPr>
      </w:pPr>
      <w:r>
        <w:rPr>
          <w:rFonts w:ascii="Avenir" w:eastAsia="Avenir" w:hAnsi="Avenir" w:cs="Avenir"/>
        </w:rPr>
        <w:t xml:space="preserve">We used Bayesian mixing models in </w:t>
      </w:r>
      <w:proofErr w:type="spellStart"/>
      <w:r>
        <w:rPr>
          <w:rFonts w:ascii="Avenir" w:eastAsia="Avenir" w:hAnsi="Avenir" w:cs="Avenir"/>
        </w:rPr>
        <w:t>MixSIAR</w:t>
      </w:r>
      <w:proofErr w:type="spellEnd"/>
      <w:r>
        <w:rPr>
          <w:rFonts w:ascii="Avenir" w:eastAsia="Avenir" w:hAnsi="Avenir" w:cs="Avenir"/>
        </w:rPr>
        <w:t xml:space="preserve">  </w:t>
      </w:r>
      <w:r w:rsidR="008B0618">
        <w:fldChar w:fldCharType="begin"/>
      </w:r>
      <w:r w:rsidR="008B0618">
        <w:instrText xml:space="preserve"> ADDIN ZOTERO_ITEM CSL_CITATION {"citationID":"TOrdUnps","properties":{"formattedCitation":"(Stock and others 2018)","plainCitation":"(Stock and others 2018)","noteIndex":0},"citationItems":[{"id":3616,"uris":["http://zotero.org/users/3681450/items/XYDBB5I7"],"uri":["http://zotero.org/users/3681450/items/XYDBB5I7"],"itemData":{"id":3616,"type":"article-journal","container-title":"Bayesian Mixing Model s in R, Version","issue":"10","title":"Package ‘MixSIAR’","volume":"3","author":[{"family":"Stock","given":"Brian"},{"family":"Semmens","given":"Brice"},{"family":"Ward","given":"Eric"},{"family":"Parnell","given":"Andrew"},{"family":"Jackson","given":"Andrew"},{"family":"Phillips","given":"Donald"}],"issued":{"date-parts":[["2018"]]}}}],"schema":"https://github.com/citation-style-language/schema/raw/master/csl-citation.json"} </w:instrText>
      </w:r>
      <w:r w:rsidR="008B0618">
        <w:fldChar w:fldCharType="separate"/>
      </w:r>
      <w:r w:rsidR="008B0618" w:rsidRPr="008B0618">
        <w:t>(Stock and others 2018)</w:t>
      </w:r>
      <w:r w:rsidR="008B0618">
        <w:fldChar w:fldCharType="end"/>
      </w:r>
      <w:r>
        <w:rPr>
          <w:rFonts w:ascii="Avenir" w:eastAsia="Avenir" w:hAnsi="Avenir" w:cs="Avenir"/>
        </w:rPr>
        <w:t xml:space="preserve"> to estimate marine reliance, one based on the EAA </w:t>
      </w:r>
      <w:r>
        <w:t>δ</w:t>
      </w:r>
      <w:r>
        <w:rPr>
          <w:rFonts w:ascii="Avenir" w:eastAsia="Avenir" w:hAnsi="Avenir" w:cs="Avenir"/>
          <w:vertAlign w:val="superscript"/>
        </w:rPr>
        <w:t>13</w:t>
      </w:r>
      <w:r>
        <w:rPr>
          <w:rFonts w:ascii="Avenir" w:eastAsia="Avenir" w:hAnsi="Avenir" w:cs="Avenir"/>
        </w:rPr>
        <w:t xml:space="preserve">C fingerprinting, and two based on bulk </w:t>
      </w:r>
      <w:r>
        <w:t>δ</w:t>
      </w:r>
      <w:r>
        <w:rPr>
          <w:rFonts w:ascii="Avenir" w:eastAsia="Avenir" w:hAnsi="Avenir" w:cs="Avenir"/>
          <w:vertAlign w:val="superscript"/>
        </w:rPr>
        <w:t>13</w:t>
      </w:r>
      <w:r>
        <w:rPr>
          <w:rFonts w:ascii="Avenir" w:eastAsia="Avenir" w:hAnsi="Avenir" w:cs="Avenir"/>
        </w:rPr>
        <w:t xml:space="preserve">C, raw and lipid-normalized, to extrapolate the results to more fish. </w:t>
      </w:r>
    </w:p>
    <w:p w:rsidR="00886869" w:rsidRDefault="005943EF">
      <w:pPr>
        <w:jc w:val="both"/>
        <w:rPr>
          <w:rFonts w:ascii="Avenir" w:eastAsia="Avenir" w:hAnsi="Avenir" w:cs="Avenir"/>
          <w:b/>
        </w:rPr>
      </w:pPr>
      <w:r>
        <w:rPr>
          <w:rFonts w:ascii="Avenir" w:eastAsia="Avenir" w:hAnsi="Avenir" w:cs="Avenir"/>
          <w:b/>
        </w:rPr>
        <w:t>Source end-members</w:t>
      </w:r>
    </w:p>
    <w:p w:rsidR="00886869" w:rsidRDefault="005943EF">
      <w:pPr>
        <w:jc w:val="both"/>
        <w:rPr>
          <w:rFonts w:ascii="Avenir" w:eastAsia="Avenir" w:hAnsi="Avenir" w:cs="Avenir"/>
        </w:rPr>
      </w:pPr>
      <w:r>
        <w:rPr>
          <w:rFonts w:ascii="Avenir" w:eastAsia="Avenir" w:hAnsi="Avenir" w:cs="Avenir"/>
        </w:rPr>
        <w:t xml:space="preserve">Setting baselines for mixing models is often a challenge; and primary consumers are often used instead </w:t>
      </w:r>
      <w:r w:rsidR="008B0618">
        <w:fldChar w:fldCharType="begin"/>
      </w:r>
      <w:r w:rsidR="008B0618">
        <w:instrText xml:space="preserve"> ADDIN ZOTERO_ITEM CSL_CITATION {"citationID":"FDsclesI","properties":{"formattedCitation":"(Post 2002)","plainCitation":"(Post 2002)","noteIndex":0},"citationItems":[{"id":3370,"uris":["http://zotero.org/users/3681450/items/MX96U7H6"],"uri":["http://zotero.org/users/3681450/items/MX96U7H6"],"itemData":{"id":3370,"type":"article-journal","abstract":"The stable isotopes of nitrogen (␦15N) and carbon (␦13C) provide powerful tools for estimating the trophic positions of and carbon ﬂow to consumers in food webs; however, the isotopic signature of a consumer alone is not generally sufﬁcient to infer trophic position or carbon source without an appropriate isotopic baseline. In this paper, I develop and discuss methods for generating an isotopic baseline and evaluate the assumptions required to estimate the trophic position of consumers using stable isotopes in multiple ecosystem studies. I test the ability of two primary consumers, surface-grazing snails and ﬁlter-feeding mussels, to capture the spatial and temporal variation at the base of aquatic food webs. I ﬁnd that snails reﬂect the isotopic signature of the base of the littoral food web, mussels reﬂect the isotopic signature of the pelagic food web, and together they provide a good isotopic baseline for estimating trophic position of secondary or higher trophic level consumers in lake ecosystems. Then, using data from 25 north temperate lakes, I evaluate how ␦15N and ␦13C of the base of aquatic food webs varies both among lakes and between the littoral and pelagic food webs within lakes. Using data from the literature, I show that the mean trophic fractionation of ␦15N is 3.4‰ (1 SD ϭ 1‰) and of ␦13C is 0.4‰ (1 SD ϭ 1.3‰), and that both, even though variable, are widely applicable. A sensitivity analysis reveals that estimates of trophic position are very sensitive to assumptions about the trophic fractionation of ␦15N, moderately sensitive to different methods for generating an isotopic baseline, and not sensitive to assumptions about the trophic fractionation of ␦13C when ␦13C is used to estimate the proportion of nitrogen in a consumer derived from two sources. Finally, I compare my recommendations for generating an isotopic baseline to an alternative model proposed by M. J. Vander Zanden and J. B. Rasmussen. With an appropriate isotopic baseline and an appreciation of the underlying assumptions and model sensitivity, stable isotopes can help answer some of the most difﬁcult questions in food web ecology.","container-title":"Ecology","DOI":"10.1890/0012-9658(2002)083[0703:USITET]2.0.CO;2","ISSN":"0012-9658","issue":"3","journalAbbreviation":"Ecology","language":"en","page":"703-718","source":"DOI.org (Crossref)","title":"USING STABLE ISOTOPES TO ESTIMATE TROPHIC POSITION: MODELS, METHODS, AND ASSUMPTIONS","title-short":"USING STABLE ISOTOPES TO ESTIMATE TROPHIC POSITION","volume":"83","author":[{"family":"Post","given":"David M."}],"issued":{"date-parts":[["2002",3]]}}}],"schema":"https://github.com/citation-style-language/schema/raw/master/csl-citation.json"} </w:instrText>
      </w:r>
      <w:r w:rsidR="008B0618">
        <w:fldChar w:fldCharType="separate"/>
      </w:r>
      <w:r w:rsidR="008B0618" w:rsidRPr="008B0618">
        <w:t>(Post 2002)</w:t>
      </w:r>
      <w:r w:rsidR="008B0618">
        <w:fldChar w:fldCharType="end"/>
      </w:r>
      <w:r>
        <w:rPr>
          <w:rFonts w:ascii="Avenir" w:eastAsia="Avenir" w:hAnsi="Avenir" w:cs="Avenir"/>
        </w:rPr>
        <w:t xml:space="preserve">. Here, we used as end-members the resident control for freshwater production (proglacial and tundra rivers), and the anadromous for marine production. This choice was driven by preliminary stomach content analysis that showed high diversity and seasonality in freshwater preys, making the freshwater baseline difficult to estimate. Likewise, the marine baseline was best described by anadromous char as we hypothesized that residents would feed on their eggs. </w:t>
      </w:r>
    </w:p>
    <w:p w:rsidR="00886869" w:rsidRDefault="005943EF">
      <w:pPr>
        <w:jc w:val="both"/>
        <w:rPr>
          <w:rFonts w:ascii="Avenir" w:eastAsia="Avenir" w:hAnsi="Avenir" w:cs="Avenir"/>
        </w:rPr>
      </w:pPr>
      <w:r>
        <w:rPr>
          <w:rFonts w:ascii="Avenir" w:eastAsia="Avenir" w:hAnsi="Avenir" w:cs="Avenir"/>
        </w:rPr>
        <w:t xml:space="preserve">To address if anadromous char returning to proglacial or tundra rivers differ in diet (and so in isotopic baselines that could affect the models), we compared bulk isotopes of mature individuals caught in the two streams (Fig. S8). We found that they did not differ in bulk </w:t>
      </w:r>
      <w:r>
        <w:t>δ</w:t>
      </w:r>
      <w:r>
        <w:rPr>
          <w:rFonts w:ascii="Avenir" w:eastAsia="Avenir" w:hAnsi="Avenir" w:cs="Avenir"/>
          <w:vertAlign w:val="superscript"/>
        </w:rPr>
        <w:t>15</w:t>
      </w:r>
      <w:r>
        <w:rPr>
          <w:rFonts w:ascii="Avenir" w:eastAsia="Avenir" w:hAnsi="Avenir" w:cs="Avenir"/>
        </w:rPr>
        <w:t>N (</w:t>
      </w:r>
      <w:proofErr w:type="spellStart"/>
      <w:r>
        <w:rPr>
          <w:rFonts w:ascii="Avenir" w:eastAsia="Avenir" w:hAnsi="Avenir" w:cs="Avenir"/>
        </w:rPr>
        <w:t>t.test</w:t>
      </w:r>
      <w:proofErr w:type="spellEnd"/>
      <w:r>
        <w:rPr>
          <w:rFonts w:ascii="Avenir" w:eastAsia="Avenir" w:hAnsi="Avenir" w:cs="Avenir"/>
        </w:rPr>
        <w:t xml:space="preserve">, P=0.11), but differed in bulk </w:t>
      </w:r>
      <w:r>
        <w:t>δ</w:t>
      </w:r>
      <w:r>
        <w:rPr>
          <w:rFonts w:ascii="Avenir" w:eastAsia="Avenir" w:hAnsi="Avenir" w:cs="Avenir"/>
          <w:vertAlign w:val="superscript"/>
        </w:rPr>
        <w:t>13</w:t>
      </w:r>
      <w:r>
        <w:rPr>
          <w:rFonts w:ascii="Avenir" w:eastAsia="Avenir" w:hAnsi="Avenir" w:cs="Avenir"/>
        </w:rPr>
        <w:t>C (</w:t>
      </w:r>
      <w:proofErr w:type="spellStart"/>
      <w:r>
        <w:rPr>
          <w:rFonts w:ascii="Avenir" w:eastAsia="Avenir" w:hAnsi="Avenir" w:cs="Avenir"/>
        </w:rPr>
        <w:t>t.test</w:t>
      </w:r>
      <w:proofErr w:type="spellEnd"/>
      <w:r>
        <w:rPr>
          <w:rFonts w:ascii="Avenir" w:eastAsia="Avenir" w:hAnsi="Avenir" w:cs="Avenir"/>
        </w:rPr>
        <w:t xml:space="preserve">, P=0.03, mean difference 0.21 ‰). However, this difference was driven by the interactive effect of body size on bulk </w:t>
      </w:r>
      <w:r>
        <w:t>δ</w:t>
      </w:r>
      <w:r>
        <w:rPr>
          <w:rFonts w:ascii="Avenir" w:eastAsia="Avenir" w:hAnsi="Avenir" w:cs="Avenir"/>
          <w:vertAlign w:val="superscript"/>
        </w:rPr>
        <w:t>13</w:t>
      </w:r>
      <w:r>
        <w:rPr>
          <w:rFonts w:ascii="Avenir" w:eastAsia="Avenir" w:hAnsi="Avenir" w:cs="Avenir"/>
        </w:rPr>
        <w:t xml:space="preserve">C in the proglacial stream (P=0.03), which alleviated the effect of tributary origin (P=0.11, generalized linear model, see Fig. S4B for illustration). Therefore, we considered that anadromous char returning to the two different type of rivers had similar isotopic ratios because the difference was small, and driven by small individuals in the tundra river that anyways produce much fewer eggs. </w:t>
      </w:r>
    </w:p>
    <w:p w:rsidR="00886869" w:rsidRDefault="005943EF">
      <w:pPr>
        <w:jc w:val="both"/>
        <w:rPr>
          <w:rFonts w:ascii="Avenir" w:eastAsia="Avenir" w:hAnsi="Avenir" w:cs="Avenir"/>
          <w:b/>
        </w:rPr>
      </w:pPr>
      <w:r>
        <w:rPr>
          <w:rFonts w:ascii="Avenir" w:eastAsia="Avenir" w:hAnsi="Avenir" w:cs="Avenir"/>
          <w:b/>
        </w:rPr>
        <w:t>Fingerprinting model</w:t>
      </w:r>
    </w:p>
    <w:p w:rsidR="00886869" w:rsidRDefault="005943EF">
      <w:pPr>
        <w:jc w:val="both"/>
        <w:rPr>
          <w:rFonts w:ascii="Avenir" w:eastAsia="Avenir" w:hAnsi="Avenir" w:cs="Avenir"/>
        </w:rPr>
      </w:pPr>
      <w:r>
        <w:rPr>
          <w:rFonts w:ascii="Avenir" w:eastAsia="Avenir" w:hAnsi="Avenir" w:cs="Avenir"/>
        </w:rPr>
        <w:t xml:space="preserve">The model based on the EAA </w:t>
      </w:r>
      <w:r>
        <w:t>δ</w:t>
      </w:r>
      <w:r>
        <w:rPr>
          <w:rFonts w:ascii="Avenir" w:eastAsia="Avenir" w:hAnsi="Avenir" w:cs="Avenir"/>
          <w:vertAlign w:val="superscript"/>
        </w:rPr>
        <w:t>13</w:t>
      </w:r>
      <w:r>
        <w:rPr>
          <w:rFonts w:ascii="Avenir" w:eastAsia="Avenir" w:hAnsi="Avenir" w:cs="Avenir"/>
        </w:rPr>
        <w:t xml:space="preserve">C fingerprinting offered the advantage to directly estimate the contribution of proteins from primary producers, independent of </w:t>
      </w:r>
      <w:r>
        <w:t>δ</w:t>
      </w:r>
      <w:r>
        <w:rPr>
          <w:rFonts w:ascii="Avenir" w:eastAsia="Avenir" w:hAnsi="Avenir" w:cs="Avenir"/>
          <w:vertAlign w:val="superscript"/>
        </w:rPr>
        <w:t>13</w:t>
      </w:r>
      <w:r>
        <w:rPr>
          <w:rFonts w:ascii="Avenir" w:eastAsia="Avenir" w:hAnsi="Avenir" w:cs="Avenir"/>
        </w:rPr>
        <w:t xml:space="preserve">C baseline variation and trophic transfer uncertainty. The fingerprinting relies on the premise that different phyla of primary producers leave distinct </w:t>
      </w:r>
      <w:r>
        <w:t>δ</w:t>
      </w:r>
      <w:r>
        <w:rPr>
          <w:rFonts w:ascii="Avenir" w:eastAsia="Avenir" w:hAnsi="Avenir" w:cs="Avenir"/>
          <w:vertAlign w:val="superscript"/>
        </w:rPr>
        <w:t>13</w:t>
      </w:r>
      <w:r>
        <w:rPr>
          <w:rFonts w:ascii="Avenir" w:eastAsia="Avenir" w:hAnsi="Avenir" w:cs="Avenir"/>
        </w:rPr>
        <w:t xml:space="preserve">C offsets between EAA </w:t>
      </w:r>
      <w:r w:rsidR="008B0618">
        <w:fldChar w:fldCharType="begin"/>
      </w:r>
      <w:r w:rsidR="008B0618">
        <w:instrText xml:space="preserve"> ADDIN ZOTERO_ITEM CSL_CITATION {"citationID":"8VI46oYG","properties":{"formattedCitation":"(Larsen and others 2009, 2013)","plainCitation":"(Larsen and others 2009, 2013)","noteIndex":0},"citationItems":[{"id":23,"uris":["http://zotero.org/users/3681450/items/979GS6KD"],"uri":["http://zotero.org/users/3681450/items/979GS6KD"],"itemData":{"id":23,"type":"article-journal","abstract":"Amino acids play an important role in ecology as essential nutrients for animals and as currencies in symbiotic associations. Here we present a new approach to tracing the origins of amino acids by identifying unique patterns of carbon isotope signatures generated by amino acid synthesis in plants, fungi, and bacteria (\" 13C fingerprints\"). We measured amino acid 813 from 10 C3 plants, 13 fungi, and 10 bacteria collected and isolated from a boreal forest in interior Alaska, USA, using gas chromatography-combustion-isotope ratio mass spectrometry (GC-C-IRMS). Microorganisms were cultured under amino-acid-free conditions and identified based on DNA sequences. Bacteria, fungi, and plants generated consistent, unique 13C fingerprints based on the more complex amino acids (five or more biosynthetic steps) that are classified as essential for animals. Linear discriminant analysis classified all samples correctly with &gt;99% certainty and correctly classified nearly all insect samples from a previous study by diet. Our results suggest that 13C fingerprints of amino acids could provide a powerful in situ assay of the biosynthetic sources of amino acids and a potential new tool for understanding nutritional linkages in food webs.","container-title":"Ecology","DOI":"10.1890/08-1695.1","ISSN":"0012-9658","issue":"12","journalAbbreviation":"Ecology","language":"en","page":"3526-3535","source":"DOI.org (Crossref)","title":"Stable isotope fingerprinting: a novel method for identifying plant, fungal, or bacterial origins of amino acids","title-short":"Stable isotope fingerprinting","volume":"90","author":[{"family":"Larsen","given":"Thomas"},{"family":"Taylor","given":"D. Lee"},{"family":"Leigh","given":"Mary Beth"},{"family":"O'Brien","given":"Diane M."}],"issued":{"date-parts":[["2009",12]]}}},{"id":753,"uris":["http://zotero.org/users/3681450/items/G8G4C23Z"],"uri":["http://zotero.org/users/3681450/items/G8G4C23Z"],"itemData":{"id":753,"type":"article-journal","abstract":"Tracing the origin of nutrients is a fundamental goal of food web research but methodological issues associated with current research techniques such as using stable isotope ratios of bulk tissue can lead to confounding results. We investigated whether naturally occurring d13C patterns among amino acids (d13CAA) could distinguish between multiple aquatic and terrestrial primary production sources. We found that d13CAA patterns in contrast to bulk d13C values distinguished between carbon derived from algae, seagrass, terrestrial plants, bacteria and fungi. Furthermore, we showed for two aquatic producers that their d13CAA patterns were largely unaffected by different environmental conditions despite substantial shifts in bulk d13C values. The potential of assessing the major carbon sources at the base of the food web was demonstrated for freshwater, pelagic, and estuarine consumers; consumer d13C patterns of essential amino acids largely matched those of the dominant primary producers in each system. Since amino acids make up about half of organismal carbon, source diagnostic isotope fingerprints can be used as a new complementary approach to overcome some of the limitations of variable source bulk isotope values commonly encountered in estuarine areas and other complex environments with mixed aquatic and terrestrial inputs.","container-title":"PLoS ONE","DOI":"10.1371/journal.pone.0073441","ISSN":"1932-6203","issue":"9","journalAbbreviation":"PLoS ONE","language":"en","page":"e73441","source":"DOI.org (Crossref)","title":"Tracing Carbon Sources through Aquatic and Terrestrial Food Webs Using Amino Acid Stable Isotope Fingerprinting","volume":"8","author":[{"family":"Larsen","given":"Thomas"},{"family":"Ventura","given":"Marc"},{"family":"Andersen","given":"Nils"},{"family":"O’Brien","given":"Diane M."},{"family":"Piatkowski","given":"Uwe"},{"family":"McCarthy","given":"Matthew D."}],"editor":[{"family":"Savage","given":"Candida"}],"issued":{"date-parts":[["2013",9,17]]}}}],"schema":"https://github.com/citation-style-language/schema/raw/master/csl-citation.json"} </w:instrText>
      </w:r>
      <w:r w:rsidR="008B0618">
        <w:fldChar w:fldCharType="separate"/>
      </w:r>
      <w:r w:rsidR="008B0618" w:rsidRPr="008B0618">
        <w:t>(Larsen and others 2009, 2013)</w:t>
      </w:r>
      <w:r w:rsidR="008B0618">
        <w:fldChar w:fldCharType="end"/>
      </w:r>
      <w:r>
        <w:rPr>
          <w:rFonts w:ascii="Avenir" w:eastAsia="Avenir" w:hAnsi="Avenir" w:cs="Avenir"/>
        </w:rPr>
        <w:t xml:space="preserve">, which fingerprinting is transferred up the food chains through consumers </w:t>
      </w:r>
      <w:r w:rsidR="008B0618">
        <w:fldChar w:fldCharType="begin"/>
      </w:r>
      <w:r w:rsidR="008B0618">
        <w:instrText xml:space="preserve"> ADDIN ZOTERO_ITEM CSL_CITATION {"citationID":"OLRQQa7M","properties":{"formattedCitation":"(Manlick and Newsome 2022)","plainCitation":"(Manlick and Newsome 2022)","noteIndex":0},"citationItems":[{"id":3320,"uris":["http://zotero.org/users/3681450/items/FVIRL5DR"],"uri":["http://zotero.org/users/3681450/items/FVIRL5DR"],"itemData":{"id":3320,"type":"article-journal","container-title":"Methods in Ecology and Evolution","DOI":"10.1111/2041-210X.13903","ISSN":"2041-210X, 2041-210X","journalAbbreviation":"Methods Ecol Evol","language":"en","page":"2041-210X.13903","source":"DOI.org (Crossref)","title":"Stable isotope fingerprinting traces essential amino acid assimilation and multichannel feeding in a vertebrate consumer","author":[{"family":"Manlick","given":"Philip J."},{"family":"Newsome","given":"Seth D."}],"issued":{"date-parts":[["2022",6,2]]}}}],"schema":"https://github.com/citation-style-language/schema/raw/master/csl-citation.json"} </w:instrText>
      </w:r>
      <w:r w:rsidR="008B0618">
        <w:fldChar w:fldCharType="separate"/>
      </w:r>
      <w:r w:rsidR="008B0618" w:rsidRPr="008B0618">
        <w:t>(Manlick and Newsome 2022)</w:t>
      </w:r>
      <w:r w:rsidR="008B0618">
        <w:fldChar w:fldCharType="end"/>
      </w:r>
      <w:r>
        <w:rPr>
          <w:rFonts w:ascii="Avenir" w:eastAsia="Avenir" w:hAnsi="Avenir" w:cs="Avenir"/>
        </w:rPr>
        <w:t xml:space="preserve">. The fingerprinting has proven as a powerful tool to estimate the relative reliance on primary production, disentangling green and brown food webs </w:t>
      </w:r>
      <w:r w:rsidR="008B0618">
        <w:fldChar w:fldCharType="begin"/>
      </w:r>
      <w:r w:rsidR="008B0618">
        <w:instrText xml:space="preserve"> ADDIN ZOTERO_ITEM CSL_CITATION {"citationID":"f7RR88Oj","properties":{"formattedCitation":"(Pollierer and others 2019; Manlick and others 2023)","plainCitation":"(Pollierer and others 2019; Manlick and others 2023)","noteIndex":0},"citationItems":[{"id":750,"uris":["http://zotero.org/users/3681450/items/KLZGBM23"],"uri":["http://zotero.org/users/3681450/items/KLZGBM23"],"itemData":{"id":750,"type":"article-journal","abstract":"Food webs in soil differ fundamentally from those aboveground; they are based on inputs from both living plants via root exudates, and from detritus, which is a complex mixture of fungi, bacteria, and dead plant remains. Trophic relationships are difficult to disentangle due to the cryptic lifestyle of soil animals and inevitable microbial contributions to their diet. Compound-specific isotope analysis of amino acids (AAs) is increasingly used to explore complex food webs. The combined use of AA d13C and d15N values is a promising new approach to disentangle trophic relationships since it provides independent but complementary information on basal resources, as well as the trophic position of consumers. We conducted a controlled feeding study in which we reconstructed trophic chains from main basal resources (bacteria, fungi, plants) to primary consumers (springtails, oribatid mites) and predators (gamasid mites, spiders). We analyzed dual compound-specific isotope AA values of both resources and consumers. By applying an approach termed “stable isotope (13C) fingerprinting” we identified basal resources, and concomitantly calculated trophic positions using 15N values of trophic and source AAs in consumers. In the 13C fingerprinting analysis, consumers in general grouped close to their basal resources. However, higher than usual offsets in AA d13C between diet and consumers suggest either gut microbial supplementation or the utilization of specific resource fractions. Identification of trophic position crucially depends on correct estimates of the trophic discrimination factor (TDFGlu-Phe), which was close to the commonly applied value of 7.6&amp; in primary consumers feeding on microbial resources, but considerably lower in arachnid predators (~2.4&amp;), presumably due to higher diet quality, excretion of guanine, and fluid feeding. While our feeding study demonstrates that dual compound-specific AA analyses hold great promise in delineating trophic linkages among soildwelling consumers and their resources, it also highlights that a “one-size-fits-all” approach to TDFGlu-Phe does not apply to soil food webs.","container-title":"Ecological Monographs","DOI":"10.1002/ecm.1384","ISSN":"0012-9615, 1557-7015","issue":"4","journalAbbreviation":"Ecol Monogr","language":"en","source":"DOI.org (Crossref)","title":"Compound‐specific isotope analysis of amino acids as a new tool to uncover trophic chains in soil food webs","URL":"https://onlinelibrary.wiley.com/doi/abs/10.1002/ecm.1384","volume":"89","author":[{"family":"Pollierer","given":"Melanie M."},{"family":"Larsen","given":"Thomas"},{"family":"Potapov","given":"Anton"},{"family":"Brückner","given":"Adrian"},{"family":"Heethoff","given":"Michael"},{"family":"Dyckmans","given":"Jens"},{"family":"Scheu","given":"Stefan"}],"accessed":{"date-parts":[["2020",2,28]]},"issued":{"date-parts":[["2019",11]]}}},{"id":3614,"uris":["http://zotero.org/users/3681450/items/QMQXAA3H"],"uri":["http://zotero.org/users/3681450/items/QMQXAA3H"],"itemData":{"id":3614,"type":"article-journal","abstract":"Food web ecology has revolutionized our understanding of ecological processes, but the drivers of food web properties like trophic position (TP) and food chain length are notoriously enigmatic. In terrestrial ecosystems, aboveand belowground systems were historically compartmentalized into “green” and “brown” food webs, but the coupling of these systems by animal consumers is increasingly recognized, with potential consequences for trophic structure. We used stable isotope analysis (δ13C, δ15N) of individual amino acids to trace the flow of essential biomolecules and jointly measure multichannel feeding, food web coupling, and TP in a guild of small mammals. We then tested the hypothesis that brown energy fluxes to aboveground consumers increase terrestrial food chain length via cryptic trophic transfers during microbial decomposition. We found that the average small mammal consumer acquired nearly 70% of their essential amino acids (69.0% ± 7.6%) from brown food webs, leading to significant increases in TP across species and functional groups. Fungi were the primary conduit of brown energy to aboveground consumers, providing nearly half the amino acid budget for small mammals on average (44.3% ± 12.0%). These findings illustrate the tightly coupled nature of green and brown food webs and show that microbially mediated energy flow ultimately regulates food web structure in aboveground consumers. Consequently, we propose that the integration of green and brown energy channels is a cryptic driver of food chain length in terrestrial ecosystems.","container-title":"Ecology","DOI":"10.1002/ecy.3949","ISSN":"0012-9658, 1939-9170","issue":"2","journalAbbreviation":"Ecology","language":"en","source":"DOI.org (Crossref)","title":"The coupling of green and brown food webs regulates trophic position in a montane mammal guild","URL":"https://onlinelibrary.wiley.com/doi/10.1002/ecy.3949","volume":"104","author":[{"family":"Manlick","given":"Philip J."},{"family":"Cook","given":"Joseph A."},{"family":"Newsome","given":"Seth D."}],"accessed":{"date-parts":[["2023",4,17]]},"issued":{"date-parts":[["2023",2]]}}}],"schema":"https://github.com/citation-style-language/schema/raw/master/csl-citation.json"} </w:instrText>
      </w:r>
      <w:r w:rsidR="008B0618">
        <w:fldChar w:fldCharType="separate"/>
      </w:r>
      <w:r w:rsidR="008B0618" w:rsidRPr="008B0618">
        <w:t>(Pollierer and others 2019; Manlick and others 2023)</w:t>
      </w:r>
      <w:r w:rsidR="008B0618">
        <w:fldChar w:fldCharType="end"/>
      </w:r>
      <w:r>
        <w:rPr>
          <w:rFonts w:ascii="Avenir" w:eastAsia="Avenir" w:hAnsi="Avenir" w:cs="Avenir"/>
        </w:rPr>
        <w:t xml:space="preserve">, or allochthonous and autochthonous organic matter in freshwater food webs </w:t>
      </w:r>
      <w:r w:rsidR="008B0618">
        <w:fldChar w:fldCharType="begin"/>
      </w:r>
      <w:r w:rsidR="008B0618">
        <w:instrText xml:space="preserve"> ADDIN ZOTERO_ITEM CSL_CITATION {"citationID":"NjJzzjLg","properties":{"formattedCitation":"(Liew and others 2019; Besser and others 2022)","plainCitation":"(Liew and others 2019; Besser and others 2022)","noteIndex":0},"citationItems":[{"id":2274,"uris":["http://zotero.org/users/3681450/items/2RRPSQSB"],"uri":["http://zotero.org/users/3681450/items/2RRPSQSB"],"itemData":{"id":2274,"type":"article-journal","container-title":"Methods in Ecology and Evolution","DOI":"10.1111/2041-210X.13230","ISSN":"2041-210X, 2041-210X","issue":"9","journalAbbreviation":"Methods Ecol Evol","language":"en","page":"1594-1605","source":"DOI.org (Crossref)","title":"Quantifying terrestrial carbon in freshwater food webs using amino acid isotope analysis: Case study with an endemic cavefish","title-short":"Quantifying terrestrial carbon in freshwater food webs using amino acid isotope analysis","volume":"10","author":[{"family":"Liew","given":"Jia H."},{"family":"Chua","given":"Kenny W. J."},{"family":"Arsenault","given":"Emily R."},{"family":"Thorp","given":"James H."},{"family":"Suvarnaraksha","given":"Apinun"},{"family":"Amirrudin","given":"Ahmad"},{"family":"Yeo","given":"Darren C. J."}],"editor":[{"family":"Soto","given":"David"}],"issued":{"date-parts":[["2019",9]]}}},{"id":3178,"uris":["http://zotero.org/users/3681450/items/NIG2WHMN"],"uri":["http://zotero.org/users/3681450/items/NIG2WHMN"],"itemData":{"id":3178,"type":"article-journal","container-title":"Journal of Ecology","DOI":"10.1111/1365-2745.13853","ISSN":"0022-0477, 1365-2745","journalAbbreviation":"Journal of Ecology","language":"en","page":"1365-2745.13853","source":"DOI.org (Crossref)","title":"Assessing the Potential of Amino Acid δ &lt;sup&gt;13&lt;/sup&gt; C and δ &lt;sup&gt;15&lt;/sup&gt; N Analysis in Terrestrial and Freshwater Ecosystems","author":[{"family":"Besser","given":"Alexi C."},{"family":"Elliott Smith","given":"Emma A."},{"family":"Newsome","given":"Seth D."}],"issued":{"date-parts":[["2022",2,5]]}}}],"schema":"https://github.com/citation-style-language/schema/raw/master/csl-citation.json"} </w:instrText>
      </w:r>
      <w:r w:rsidR="008B0618">
        <w:fldChar w:fldCharType="separate"/>
      </w:r>
      <w:r w:rsidR="008B0618" w:rsidRPr="008B0618">
        <w:t>(Liew and others 2019; Besser and others 2022)</w:t>
      </w:r>
      <w:r w:rsidR="008B0618">
        <w:fldChar w:fldCharType="end"/>
      </w:r>
      <w:r>
        <w:rPr>
          <w:rFonts w:ascii="Avenir" w:eastAsia="Avenir" w:hAnsi="Avenir" w:cs="Avenir"/>
        </w:rPr>
        <w:t xml:space="preserve">, or even different phyla of algae </w:t>
      </w:r>
      <w:r w:rsidR="008B0618">
        <w:fldChar w:fldCharType="begin"/>
      </w:r>
      <w:r w:rsidR="008B0618">
        <w:instrText xml:space="preserve"> ADDIN ZOTERO_ITEM CSL_CITATION {"citationID":"TF6ZQC0l","properties":{"formattedCitation":"(Larsen and others 2013; Elliott Smith and Fox 2021; Stahl and others 2023)","plainCitation":"(Larsen and others 2013; Elliott Smith and Fox 2021; Stahl and others 2023)","noteIndex":0},"citationItems":[{"id":753,"uris":["http://zotero.org/users/3681450/items/G8G4C23Z"],"uri":["http://zotero.org/users/3681450/items/G8G4C23Z"],"itemData":{"id":753,"type":"article-journal","abstract":"Tracing the origin of nutrients is a fundamental goal of food web research but methodological issues associated with current research techniques such as using stable isotope ratios of bulk tissue can lead to confounding results. We investigated whether naturally occurring d13C patterns among amino acids (d13CAA) could distinguish between multiple aquatic and terrestrial primary production sources. We found that d13CAA patterns in contrast to bulk d13C values distinguished between carbon derived from algae, seagrass, terrestrial plants, bacteria and fungi. Furthermore, we showed for two aquatic producers that their d13CAA patterns were largely unaffected by different environmental conditions despite substantial shifts in bulk d13C values. The potential of assessing the major carbon sources at the base of the food web was demonstrated for freshwater, pelagic, and estuarine consumers; consumer d13C patterns of essential amino acids largely matched those of the dominant primary producers in each system. Since amino acids make up about half of organismal carbon, source diagnostic isotope fingerprints can be used as a new complementary approach to overcome some of the limitations of variable source bulk isotope values commonly encountered in estuarine areas and other complex environments with mixed aquatic and terrestrial inputs.","container-title":"PLoS ONE","DOI":"10.1371/journal.pone.0073441","ISSN":"1932-6203","issue":"9","journalAbbreviation":"PLoS ONE","language":"en","page":"e73441","source":"DOI.org (Crossref)","title":"Tracing Carbon Sources through Aquatic and Terrestrial Food Webs Using Amino Acid Stable Isotope Fingerprinting","volume":"8","author":[{"family":"Larsen","given":"Thomas"},{"family":"Ventura","given":"Marc"},{"family":"Andersen","given":"Nils"},{"family":"O’Brien","given":"Diane M."},{"family":"Piatkowski","given":"Uwe"},{"family":"McCarthy","given":"Matthew D."}],"editor":[{"family":"Savage","given":"Candida"}],"issued":{"date-parts":[["2013",9,17]]}}},{"id":3077,"uris":["http://zotero.org/users/3681450/items/UNAANV6N"],"uri":["http://zotero.org/users/3681450/items/UNAANV6N"],"itemData":{"id":3077,"type":"article-journal","container-title":"Ecography","DOI":"10.1111/ecog.05566","ISSN":"0906-7590, 1600-0587","journalAbbreviation":"Ecography","language":"en","page":"ecog.05566","source":"DOI.org (Crossref)","title":"Characterizing energy flow in kelp forest food webs: a geochemical review and call for additional research","title-short":"Characterizing energy flow in kelp forest food webs","author":[{"family":"Elliott Smith","given":"Emma A."},{"family":"Fox","given":"Michael D."}],"issued":{"date-parts":[["2021",9]]}}},{"id":3621,"uris":["http://zotero.org/users/3681450/items/SJLEYPWH"],"uri":["http://zotero.org/users/3681450/items/SJLEYPWH"],"itemData":{"id":3621,"type":"article-journal","abstract":"Eukaryotic microalgae play critical roles in the structure and function of marine food webs. The contribution of microalgae to food webs can be tracked using compound-speciﬁc isotope analysis of amino acids (CSIA-AA). Previous CSIA-AA studies have deﬁned eukaryotic microalgae as a single functional group in food web mixing models, despite their vast taxonomic and ecological diversity. Using controlled cultures, this work characterizes the amino acid δ13C (δ13CAA) ﬁngerprints—a multivariate metric of amino acid carbon isotope values—of four major groups of eukaryotic microalgae: diatoms, dinoﬂagellates, raphidophytes, and prasinophytes. We found excellent separation of essential amino acid δ13C (δ13CEAA) ﬁngerprints among four microalgal groups (mean posterior probability reclassiﬁcation of 99.2 Æ 2.9%). We also quantiﬁed temperature effects, a primary driver of microalgal bulk carbon isotope variability, on the ﬁdelity of δ13CAA ﬁngerprints. A 10 C range in temperature conditions did not have signiﬁcant impacts on variance in δ13CAA values or the diagnostic microalgal δ13CEAA ﬁngerprints. These δ13CEAA ﬁngerprints were used to identify primary producers at the base of food webs supporting consumers in two contrasting systems: (1) penguins feeding in a diatom-based food web and (2) mixotrophic corals receiving amino acids directly from autotrophic endosymbiotic dinoﬂagellates and indirectly from water column diatoms, prasinophytes, and cyanobacteria, likely via heterotrophic feeding on zooplankton. The increased taxonomic speciﬁcity of CSIA-AA ﬁngerprints developed here will greatly improve future efforts to reconstruct the contribution of diverse eukaryotic microalgae to the sources and cycling of organic matter in food web dynamics and biogeochemical cycling studies.","container-title":"Limnology and Oceanography","DOI":"10.1002/lno.12350","ISSN":"0024-3590, 1939-5590","journalAbbreviation":"Limnology &amp; Oceanography","language":"en","page":"lno.12350","source":"DOI.org (Crossref)","title":"Amino acid carbon isotope fingerprints are unique among eukaryotic microalgal taxonomic groups","author":[{"family":"Stahl","given":"Angela R."},{"family":"Rynearson","given":"Tatiana A."},{"family":"McMahon","given":"Kelton W."}],"issued":{"date-parts":[["2023",4,18]]}}}],"schema":"https://github.com/citation-style-language/schema/raw/master/csl-citation.json"} </w:instrText>
      </w:r>
      <w:r w:rsidR="008B0618">
        <w:fldChar w:fldCharType="separate"/>
      </w:r>
      <w:r w:rsidR="008B0618" w:rsidRPr="008B0618">
        <w:t>(Larsen and others 2013; Elliott Smith and Fox 2021; Stahl and others 2023)</w:t>
      </w:r>
      <w:r w:rsidR="008B0618">
        <w:fldChar w:fldCharType="end"/>
      </w:r>
      <w:r>
        <w:rPr>
          <w:rFonts w:ascii="Avenir" w:eastAsia="Avenir" w:hAnsi="Avenir" w:cs="Avenir"/>
        </w:rPr>
        <w:t xml:space="preserve">. </w:t>
      </w:r>
    </w:p>
    <w:p w:rsidR="00886869" w:rsidRDefault="005943EF">
      <w:pPr>
        <w:jc w:val="both"/>
        <w:rPr>
          <w:rFonts w:ascii="Avenir" w:eastAsia="Avenir" w:hAnsi="Avenir" w:cs="Avenir"/>
        </w:rPr>
      </w:pPr>
      <w:r>
        <w:rPr>
          <w:rFonts w:ascii="Avenir" w:eastAsia="Avenir" w:hAnsi="Avenir" w:cs="Avenir"/>
        </w:rPr>
        <w:t xml:space="preserve">To distinguish marine and freshwater production, we used 6 EAA: Ile, Leu, </w:t>
      </w:r>
      <w:proofErr w:type="spellStart"/>
      <w:r>
        <w:rPr>
          <w:rFonts w:ascii="Avenir" w:eastAsia="Avenir" w:hAnsi="Avenir" w:cs="Avenir"/>
        </w:rPr>
        <w:t>Thr</w:t>
      </w:r>
      <w:proofErr w:type="spellEnd"/>
      <w:r>
        <w:rPr>
          <w:rFonts w:ascii="Avenir" w:eastAsia="Avenir" w:hAnsi="Avenir" w:cs="Avenir"/>
        </w:rPr>
        <w:t xml:space="preserve">, Val, </w:t>
      </w:r>
      <w:proofErr w:type="spellStart"/>
      <w:r>
        <w:rPr>
          <w:rFonts w:ascii="Avenir" w:eastAsia="Avenir" w:hAnsi="Avenir" w:cs="Avenir"/>
        </w:rPr>
        <w:t>Phe</w:t>
      </w:r>
      <w:proofErr w:type="spellEnd"/>
      <w:r>
        <w:rPr>
          <w:rFonts w:ascii="Avenir" w:eastAsia="Avenir" w:hAnsi="Avenir" w:cs="Avenir"/>
        </w:rPr>
        <w:t xml:space="preserve"> and Met </w:t>
      </w:r>
      <w:r w:rsidR="008B0618">
        <w:fldChar w:fldCharType="begin"/>
      </w:r>
      <w:r w:rsidR="008B0618">
        <w:instrText xml:space="preserve"> ADDIN ZOTERO_ITEM CSL_CITATION {"citationID":"nDPF0VF0","properties":{"formattedCitation":"(Whiteman and others 2019)","plainCitation":"(Whiteman and others 2019)","noteIndex":0},"citationItems":[{"id":5,"uris":["http://zotero.org/users/3681450/items/AETQV67D"],"uri":["http://zotero.org/users/3681450/items/AETQV67D"],"itemData":{"id":5,"type":"article-journal","abstract":"The measurement of stable isotopes in ‘bulk’ animal and plant tissues (e.g., muscle or leaf) has become an important tool for studies of functional diversity from organismal to continental scales. In consumers, isotope values reﬂect their diet, trophic position, physiological state, and geographic location. However, interpretation of bulk tissue isotope values can be confounded by variation in primary producer baseline values and by overlapping values among potential food items. To resolve these issues, biologists increasingly use compound-speciﬁc isotope analysis (CSIA), in which the isotope values of monomers that constitute a macromolecule (e.g., amino acids in protein) are measured. In this review, we provide the theoretical underpinnings for CSIA, summarize its methodology and recent applications, and identify future research directions. The key principle is that some monomers are reliably routed directly from the diet into animal tissue, whereas others are biochemically transformed during assimilation. As a result, CSIA of consumer tissue simultaneously provides information about an animal’s nutrient sources (e.g., food items or contributions from gut microbes) and its physiology (e.g., nitrogen excretion mode). In combination, these data clarify many of the confounding issues in bulk analysis and enable novel precision for tracing nutrient and energy ﬂow within and among organisms and ecosystems.","container-title":"Diversity","DOI":"10.3390/d11010008","ISSN":"1424-2818","issue":"1","journalAbbreviation":"Diversity","language":"en","page":"8","source":"DOI.org (Crossref)","title":"A Guide to Using Compound-Specific Stable Isotope Analysis to Study the Fates of Molecules in Organisms and Ecosystems","volume":"11","author":[{"family":"Whiteman","given":"John"},{"family":"Elliott Smith","given":"Emma"},{"family":"Besser","given":"Alexi"},{"family":"Newsome","given":"Seth"}],"issued":{"date-parts":[["2019",1,11]]}}}],"schema":"https://github.com/citation-style-language/schema/raw/master/csl-citation.json"} </w:instrText>
      </w:r>
      <w:r w:rsidR="008B0618">
        <w:fldChar w:fldCharType="separate"/>
      </w:r>
      <w:r w:rsidR="008B0618" w:rsidRPr="008B0618">
        <w:t>(Whiteman and others 2019)</w:t>
      </w:r>
      <w:r w:rsidR="008B0618">
        <w:fldChar w:fldCharType="end"/>
      </w:r>
      <w:r>
        <w:rPr>
          <w:rFonts w:ascii="Avenir" w:eastAsia="Avenir" w:hAnsi="Avenir" w:cs="Avenir"/>
        </w:rPr>
        <w:t>. First, we maximized the fingerprinting difference between freshwater and marine end-members using a linear discriminant analysis (LDA). They showed a significantly different LD score (LD</w:t>
      </w:r>
      <w:r>
        <w:rPr>
          <w:rFonts w:ascii="Avenir" w:eastAsia="Avenir" w:hAnsi="Avenir" w:cs="Avenir"/>
          <w:vertAlign w:val="subscript"/>
        </w:rPr>
        <w:t>1</w:t>
      </w:r>
      <w:r>
        <w:rPr>
          <w:rFonts w:ascii="Avenir" w:eastAsia="Avenir" w:hAnsi="Avenir" w:cs="Avenir"/>
        </w:rPr>
        <w:t>), (Fig. 3B-C). The fact that resident fish had overlapping fingerprinting supported the assumption that they had a mixed reliance on the two productions. On the other hand, all freshwater control chars clustered together, supporting a similar freshwater fingerprinting in stream production.</w:t>
      </w:r>
    </w:p>
    <w:p w:rsidR="00886869" w:rsidRDefault="005943EF">
      <w:pPr>
        <w:jc w:val="both"/>
        <w:rPr>
          <w:rFonts w:ascii="Avenir" w:eastAsia="Avenir" w:hAnsi="Avenir" w:cs="Avenir"/>
        </w:rPr>
      </w:pPr>
      <w:r>
        <w:rPr>
          <w:rFonts w:ascii="Avenir" w:eastAsia="Avenir" w:hAnsi="Avenir" w:cs="Avenir"/>
        </w:rPr>
        <w:t>However, going from fingerprinting measurements to mixing model estimates remains challenging. Here, we used a combination of Bayesian mixing model and linear discriminant analysis (LDA). In a two-</w:t>
      </w:r>
      <w:r>
        <w:rPr>
          <w:rFonts w:ascii="Avenir" w:eastAsia="Avenir" w:hAnsi="Avenir" w:cs="Avenir"/>
        </w:rPr>
        <w:lastRenderedPageBreak/>
        <w:t>dimension model, LD</w:t>
      </w:r>
      <w:r>
        <w:rPr>
          <w:rFonts w:ascii="Avenir" w:eastAsia="Avenir" w:hAnsi="Avenir" w:cs="Avenir"/>
          <w:vertAlign w:val="subscript"/>
        </w:rPr>
        <w:t>1</w:t>
      </w:r>
      <w:r>
        <w:rPr>
          <w:rFonts w:ascii="Avenir" w:eastAsia="Avenir" w:hAnsi="Avenir" w:cs="Avenir"/>
        </w:rPr>
        <w:t xml:space="preserve"> is a good proxy for source reliance </w:t>
      </w:r>
      <w:r w:rsidR="008B0618">
        <w:fldChar w:fldCharType="begin"/>
      </w:r>
      <w:r w:rsidR="008B0618">
        <w:instrText xml:space="preserve"> ADDIN ZOTERO_ITEM CSL_CITATION {"citationID":"ZDLUHEE9","properties":{"formattedCitation":"(Fox and others 2019; Elliott Smith and Fox 2021)","plainCitation":"(Fox and others 2019; Elliott Smith and Fox 2021)","noteIndex":0},"citationItems":[{"id":2329,"uris":["http://zotero.org/users/3681450/items/NE74C5NJ"],"uri":["http://zotero.org/users/3681450/items/NE74C5NJ"],"itemData":{"id":2329,"type":"article-journal","container-title":"Functional Ecology","DOI":"10.1111/1365-2435.13441","ISSN":"0269-8463, 1365-2435","issue":"11","journalAbbreviation":"Funct Ecol","language":"en","page":"2203-2214","source":"DOI.org (Crossref)","title":"Trophic plasticity in a common reef‐building coral: Insights from δ &lt;sup&gt;13&lt;/sup&gt; C analysis of essential amino acids","title-short":"Trophic plasticity in a common reef‐building coral","volume":"33","author":[{"family":"Fox","given":"Michael D."},{"family":"Elliott Smith","given":"Emma A."},{"family":"Smith","given":"Jennifer E."},{"family":"Newsome","given":"Seth D."}],"editor":[{"family":"Briones","given":"Maria"}],"issued":{"date-parts":[["2019",11]]}}},{"id":3077,"uris":["http://zotero.org/users/3681450/items/UNAANV6N"],"uri":["http://zotero.org/users/3681450/items/UNAANV6N"],"itemData":{"id":3077,"type":"article-journal","container-title":"Ecography","DOI":"10.1111/ecog.05566","ISSN":"0906-7590, 1600-0587","journalAbbreviation":"Ecography","language":"en","page":"ecog.05566","source":"DOI.org (Crossref)","title":"Characterizing energy flow in kelp forest food webs: a geochemical review and call for additional research","title-short":"Characterizing energy flow in kelp forest food webs","author":[{"family":"Elliott Smith","given":"Emma A."},{"family":"Fox","given":"Michael D."}],"issued":{"date-parts":[["2021",9]]}}}],"schema":"https://github.com/citation-style-language/schema/raw/master/csl-citation.json"} </w:instrText>
      </w:r>
      <w:r w:rsidR="008B0618">
        <w:fldChar w:fldCharType="separate"/>
      </w:r>
      <w:r w:rsidR="008B0618" w:rsidRPr="008B0618">
        <w:t>(Fox and others 2019; Elliott Smith and Fox 2021)</w:t>
      </w:r>
      <w:r w:rsidR="008B0618">
        <w:fldChar w:fldCharType="end"/>
      </w:r>
      <w:r>
        <w:rPr>
          <w:rFonts w:ascii="Avenir" w:eastAsia="Avenir" w:hAnsi="Avenir" w:cs="Avenir"/>
        </w:rPr>
        <w:t>, given that LD</w:t>
      </w:r>
      <w:r>
        <w:rPr>
          <w:rFonts w:ascii="Avenir" w:eastAsia="Avenir" w:hAnsi="Avenir" w:cs="Avenir"/>
          <w:vertAlign w:val="subscript"/>
        </w:rPr>
        <w:t>1</w:t>
      </w:r>
      <w:r>
        <w:rPr>
          <w:rFonts w:ascii="Avenir" w:eastAsia="Avenir" w:hAnsi="Avenir" w:cs="Avenir"/>
        </w:rPr>
        <w:t xml:space="preserve"> is a linear combination of the EAA normalized </w:t>
      </w:r>
      <w:r>
        <w:t>δ</w:t>
      </w:r>
      <w:r>
        <w:rPr>
          <w:rFonts w:ascii="Avenir" w:eastAsia="Avenir" w:hAnsi="Avenir" w:cs="Avenir"/>
          <w:vertAlign w:val="superscript"/>
        </w:rPr>
        <w:t>13</w:t>
      </w:r>
      <w:r>
        <w:rPr>
          <w:rFonts w:ascii="Avenir" w:eastAsia="Avenir" w:hAnsi="Avenir" w:cs="Avenir"/>
        </w:rPr>
        <w:t xml:space="preserve">C, which also scale linearly between the two end-members values. It is unclear how error measurement and small fractionation of EAA </w:t>
      </w:r>
      <w:r>
        <w:t>δ</w:t>
      </w:r>
      <w:r>
        <w:rPr>
          <w:rFonts w:ascii="Avenir" w:eastAsia="Avenir" w:hAnsi="Avenir" w:cs="Avenir"/>
          <w:vertAlign w:val="superscript"/>
        </w:rPr>
        <w:t>13</w:t>
      </w:r>
      <w:r>
        <w:rPr>
          <w:rFonts w:ascii="Avenir" w:eastAsia="Avenir" w:hAnsi="Avenir" w:cs="Avenir"/>
        </w:rPr>
        <w:t xml:space="preserve">C </w:t>
      </w:r>
      <w:r w:rsidR="008B0618">
        <w:fldChar w:fldCharType="begin"/>
      </w:r>
      <w:r w:rsidR="008B0618">
        <w:instrText xml:space="preserve"> ADDIN ZOTERO_ITEM CSL_CITATION {"citationID":"oxTtnAvu","properties":{"formattedCitation":"(Manlick and others 2023; Robinson and others 2023)","plainCitation":"(Manlick and others 2023; Robinson and others 2023)","noteIndex":0},"citationItems":[{"id":3614,"uris":["http://zotero.org/users/3681450/items/QMQXAA3H"],"uri":["http://zotero.org/users/3681450/items/QMQXAA3H"],"itemData":{"id":3614,"type":"article-journal","abstract":"Food web ecology has revolutionized our understanding of ecological processes, but the drivers of food web properties like trophic position (TP) and food chain length are notoriously enigmatic. In terrestrial ecosystems, aboveand belowground systems were historically compartmentalized into “green” and “brown” food webs, but the coupling of these systems by animal consumers is increasingly recognized, with potential consequences for trophic structure. We used stable isotope analysis (δ13C, δ15N) of individual amino acids to trace the flow of essential biomolecules and jointly measure multichannel feeding, food web coupling, and TP in a guild of small mammals. We then tested the hypothesis that brown energy fluxes to aboveground consumers increase terrestrial food chain length via cryptic trophic transfers during microbial decomposition. We found that the average small mammal consumer acquired nearly 70% of their essential amino acids (69.0% ± 7.6%) from brown food webs, leading to significant increases in TP across species and functional groups. Fungi were the primary conduit of brown energy to aboveground consumers, providing nearly half the amino acid budget for small mammals on average (44.3% ± 12.0%). These findings illustrate the tightly coupled nature of green and brown food webs and show that microbially mediated energy flow ultimately regulates food web structure in aboveground consumers. Consequently, we propose that the integration of green and brown energy channels is a cryptic driver of food chain length in terrestrial ecosystems.","container-title":"Ecology","DOI":"10.1002/ecy.3949","ISSN":"0012-9658, 1939-9170","issue":"2","journalAbbreviation":"Ecology","language":"en","source":"DOI.org (Crossref)","title":"The coupling of green and brown food webs regulates trophic position in a montane mammal guild","URL":"https://onlinelibrary.wiley.com/doi/10.1002/ecy.3949","volume":"104","author":[{"family":"Manlick","given":"Philip J."},{"family":"Cook","given":"Joseph A."},{"family":"Newsome","given":"Seth D."}],"accessed":{"date-parts":[["2023",4,17]]},"issued":{"date-parts":[["2023",2]]}}},{"id":3608,"uris":["http://zotero.org/users/3681450/items/K89YF8HU"],"uri":["http://zotero.org/users/3681450/items/K89YF8HU"],"itemData":{"id":3608,"type":"report","abstract":"Abstract\n          \n            The measurement of stable isotope values of individual compounds, such as amino acids (AAs), has quickly become a powerful tool in animal ecology and ecophysiology. As with any emerging technique, fundamental questions remain regarding the capability and limitations of this approach, including how metabolism and tissue synthesis impact AA isotope values and patterns. We measured carbon isotope (\n            d\n            13\n            C) values of essential (AA\n            ESS\n            ) and nonessential (AA\n            NESS\n            ) AAs in bone collagen, whisker, muscle, and liver from ten southern sea otters (\n            Enhydra lutris nereis\n            ) stranded in Monterey Bay, California. Sea otters in this population exhibit high degrees of individual dietary specialization, making this an excellent opportunity to explore differences in AA\n            d\n            13\n            C values among tissues in a wild population. We found the\n            d\n            13\n            C values of glutamic acid, proline, serine, lysine, and threonine differed significantly among tissues, indicating possible isotopic discrimination during tissue synthesis. Threonine\n            d\n            13\n            C values were higher in liver relative to bone collagen and muscle, which may indicate catabolism of threonine for gluconeogenesis, an interpretation further supported by statistically significant correlations between the\n            d\n            13\n            C values of threonine and its gluconeogenic products glycine and serine. For 6/10 of the sea otters analyzed, tissues from the same individual sea otter classified with different primary producers in multivariate space. We thus recommend caution when using data from multiple tissues in an AA\n            ESS\n            d\n            13\n            C fingerprinting framework. Broadly, our results indicate that metabolism influences both AA\n            ESS\n            and AA\n            NESS\n            d\n            13\n            C values and highlight the importance of gluconeogenesis in driving compound-specific isotope patterns in this endangered apex marine consumer.","genre":"preprint","language":"en","note":"DOI: 10.21203/rs.3.rs-2648511/v1","publisher":"In Review","source":"DOI.org (Crossref)","title":"Tissue-Specific Carbon Isotope Patterns of Amino Acids in Southern Sea Otters","URL":"https://www.researchsquare.com/article/rs-2648511/v1","author":[{"family":"Robinson","given":"Alana L"},{"family":"Smith","given":"Emma A Elliott"},{"family":"Besser","given":"Alexi C"},{"family":"Newsome","given":"Seth D"}],"accessed":{"date-parts":[["2023",4,13]]},"issued":{"date-parts":[["2023",4,7]]}}}],"schema":"https://github.com/citation-style-language/schema/raw/master/csl-citation.json"} </w:instrText>
      </w:r>
      <w:r w:rsidR="008B0618">
        <w:fldChar w:fldCharType="separate"/>
      </w:r>
      <w:r w:rsidR="008B0618" w:rsidRPr="008B0618">
        <w:t>(Manlick and others 2023; Robinson and others 2023)</w:t>
      </w:r>
      <w:r w:rsidR="008B0618">
        <w:fldChar w:fldCharType="end"/>
      </w:r>
      <w:r>
        <w:rPr>
          <w:rFonts w:ascii="Avenir" w:eastAsia="Avenir" w:hAnsi="Avenir" w:cs="Avenir"/>
        </w:rPr>
        <w:t xml:space="preserve"> could affect the model prediction. To address this question, we used the LD</w:t>
      </w:r>
      <w:r>
        <w:rPr>
          <w:rFonts w:ascii="Avenir" w:eastAsia="Avenir" w:hAnsi="Avenir" w:cs="Avenir"/>
          <w:vertAlign w:val="subscript"/>
        </w:rPr>
        <w:t>1</w:t>
      </w:r>
      <w:r>
        <w:rPr>
          <w:rFonts w:ascii="Avenir" w:eastAsia="Avenir" w:hAnsi="Avenir" w:cs="Avenir"/>
        </w:rPr>
        <w:t xml:space="preserve"> in a Bayesian mixing model, as recommended in </w:t>
      </w:r>
      <w:r w:rsidR="008B0618">
        <w:fldChar w:fldCharType="begin"/>
      </w:r>
      <w:r w:rsidR="008B0618">
        <w:instrText xml:space="preserve"> ADDIN ZOTERO_ITEM CSL_CITATION {"citationID":"MIgEK18E","properties":{"formattedCitation":"(Manlick and Newsome 2022)","plainCitation":"(Manlick and Newsome 2022)","noteIndex":0},"citationItems":[{"id":3320,"uris":["http://zotero.org/users/3681450/items/FVIRL5DR"],"uri":["http://zotero.org/users/3681450/items/FVIRL5DR"],"itemData":{"id":3320,"type":"article-journal","container-title":"Methods in Ecology and Evolution","DOI":"10.1111/2041-210X.13903","ISSN":"2041-210X, 2041-210X","journalAbbreviation":"Methods Ecol Evol","language":"en","page":"2041-210X.13903","source":"DOI.org (Crossref)","title":"Stable isotope fingerprinting traces essential amino acid assimilation and multichannel feeding in a vertebrate consumer","author":[{"family":"Manlick","given":"Philip J."},{"family":"Newsome","given":"Seth D."}],"issued":{"date-parts":[["2022",6,2]]}}}],"schema":"https://github.com/citation-style-language/schema/raw/master/csl-citation.json"} </w:instrText>
      </w:r>
      <w:r w:rsidR="008B0618">
        <w:fldChar w:fldCharType="separate"/>
      </w:r>
      <w:r w:rsidR="008B0618" w:rsidRPr="008B0618">
        <w:t>(Manlick and Newsome 2022)</w:t>
      </w:r>
      <w:r w:rsidR="008B0618">
        <w:fldChar w:fldCharType="end"/>
      </w:r>
      <w:r>
        <w:rPr>
          <w:rFonts w:ascii="Avenir" w:eastAsia="Avenir" w:hAnsi="Avenir" w:cs="Avenir"/>
        </w:rPr>
        <w:t xml:space="preserve">, in which we could account for measure uncertainty (set discrimination factor as mean=0; </w:t>
      </w:r>
      <w:proofErr w:type="spellStart"/>
      <w:r>
        <w:rPr>
          <w:rFonts w:ascii="Avenir" w:eastAsia="Avenir" w:hAnsi="Avenir" w:cs="Avenir"/>
        </w:rPr>
        <w:t>sd</w:t>
      </w:r>
      <w:proofErr w:type="spellEnd"/>
      <w:r>
        <w:rPr>
          <w:rFonts w:ascii="Avenir" w:eastAsia="Avenir" w:hAnsi="Avenir" w:cs="Avenir"/>
        </w:rPr>
        <w:t xml:space="preserve">=0.5) and model the distribution of end-members setting process error in </w:t>
      </w:r>
      <w:proofErr w:type="spellStart"/>
      <w:r>
        <w:rPr>
          <w:rFonts w:ascii="Avenir" w:eastAsia="Avenir" w:hAnsi="Avenir" w:cs="Avenir"/>
        </w:rPr>
        <w:t>MixSIAR</w:t>
      </w:r>
      <w:proofErr w:type="spellEnd"/>
      <w:r>
        <w:rPr>
          <w:rFonts w:ascii="Avenir" w:eastAsia="Avenir" w:hAnsi="Avenir" w:cs="Avenir"/>
        </w:rPr>
        <w:t xml:space="preserve"> (Stock et al. 2018). </w:t>
      </w:r>
    </w:p>
    <w:p w:rsidR="00886869" w:rsidRDefault="005943EF">
      <w:pPr>
        <w:jc w:val="both"/>
        <w:rPr>
          <w:rFonts w:ascii="Avenir" w:eastAsia="Avenir" w:hAnsi="Avenir" w:cs="Avenir"/>
          <w:b/>
        </w:rPr>
      </w:pPr>
      <w:r>
        <w:rPr>
          <w:rFonts w:ascii="Avenir" w:eastAsia="Avenir" w:hAnsi="Avenir" w:cs="Avenir"/>
          <w:b/>
        </w:rPr>
        <w:t>Bulk</w:t>
      </w:r>
      <w:r w:rsidR="00110A1D">
        <w:rPr>
          <w:rFonts w:ascii="Avenir" w:eastAsia="Avenir" w:hAnsi="Avenir" w:cs="Avenir"/>
          <w:b/>
        </w:rPr>
        <w:t xml:space="preserve"> isotope</w:t>
      </w:r>
      <w:r>
        <w:rPr>
          <w:rFonts w:ascii="Avenir" w:eastAsia="Avenir" w:hAnsi="Avenir" w:cs="Avenir"/>
          <w:b/>
        </w:rPr>
        <w:t xml:space="preserve"> models</w:t>
      </w:r>
    </w:p>
    <w:p w:rsidR="00886869" w:rsidRDefault="005943EF">
      <w:pPr>
        <w:jc w:val="both"/>
        <w:rPr>
          <w:rFonts w:ascii="Avenir" w:eastAsia="Avenir" w:hAnsi="Avenir" w:cs="Avenir"/>
        </w:rPr>
      </w:pPr>
      <w:r>
        <w:rPr>
          <w:rFonts w:ascii="Avenir" w:eastAsia="Avenir" w:hAnsi="Avenir" w:cs="Avenir"/>
        </w:rPr>
        <w:t xml:space="preserve">For bulk stable isotope mixing model, we considered </w:t>
      </w:r>
      <w:r>
        <w:t>δ</w:t>
      </w:r>
      <w:r>
        <w:rPr>
          <w:rFonts w:ascii="Avenir" w:eastAsia="Avenir" w:hAnsi="Avenir" w:cs="Avenir"/>
          <w:vertAlign w:val="superscript"/>
        </w:rPr>
        <w:t>13</w:t>
      </w:r>
      <w:r>
        <w:rPr>
          <w:rFonts w:ascii="Avenir" w:eastAsia="Avenir" w:hAnsi="Avenir" w:cs="Avenir"/>
        </w:rPr>
        <w:t xml:space="preserve">C as a marker of marine reliance, given the clear separation between the two end-members (Fig. 2B). However, there is debate about whether or not to correct </w:t>
      </w:r>
      <w:r>
        <w:t>δ</w:t>
      </w:r>
      <w:r>
        <w:rPr>
          <w:rFonts w:ascii="Avenir" w:eastAsia="Avenir" w:hAnsi="Avenir" w:cs="Avenir"/>
          <w:vertAlign w:val="superscript"/>
        </w:rPr>
        <w:t>13</w:t>
      </w:r>
      <w:r>
        <w:rPr>
          <w:rFonts w:ascii="Avenir" w:eastAsia="Avenir" w:hAnsi="Avenir" w:cs="Avenir"/>
        </w:rPr>
        <w:t xml:space="preserve">C for lipid depletion in mixing model. This is especially relevant as eggs are rich in fat, and some fats can be routed to synthesis of non-essential amino acids </w:t>
      </w:r>
      <w:r w:rsidR="008B0618">
        <w:fldChar w:fldCharType="begin"/>
      </w:r>
      <w:r w:rsidR="008B0618">
        <w:instrText xml:space="preserve"> ADDIN ZOTERO_ITEM CSL_CITATION {"citationID":"DeyVnifV","properties":{"formattedCitation":"(Newsome and others 2014)","plainCitation":"(Newsome and others 2014)","noteIndex":0},"citationItems":[{"id":2394,"uris":["http://zotero.org/users/3681450/items/K6P2DXV9"],"uri":["http://zotero.org/users/3681450/items/K6P2DXV9"],"itemData":{"id":2394,"type":"article-journal","container-title":"Integrative and Comparative Biology","DOI":"10.1093/icb/icu106","ISSN":"1540-7063, 1557-7023","issue":"5","journalAbbreviation":"Integrative and Comparative Biology","language":"en","page":"890-902","source":"DOI.org (Crossref)","title":"Amino Acid 13C Analysis Shows Flexibility in the Routing of Dietary Protein and Lipids to the Tissue of an Omnivore","volume":"54","author":[{"family":"Newsome","given":"S. D."},{"family":"Wolf","given":"N."},{"family":"Peters","given":"J."},{"family":"Fogel","given":"M. L."}],"issued":{"date-parts":[["2014",11,1]]}}}],"schema":"https://github.com/citation-style-language/schema/raw/master/csl-citation.json"} </w:instrText>
      </w:r>
      <w:r w:rsidR="008B0618">
        <w:fldChar w:fldCharType="separate"/>
      </w:r>
      <w:r w:rsidR="008B0618" w:rsidRPr="008B0618">
        <w:t>(Newsome and others 2014)</w:t>
      </w:r>
      <w:r w:rsidR="008B0618">
        <w:fldChar w:fldCharType="end"/>
      </w:r>
      <w:r>
        <w:rPr>
          <w:rFonts w:ascii="Avenir" w:eastAsia="Avenir" w:hAnsi="Avenir" w:cs="Avenir"/>
        </w:rPr>
        <w:t xml:space="preserve">, therefore contributing to the “lipid-corrected” pool </w:t>
      </w:r>
      <w:r w:rsidR="008B0618">
        <w:fldChar w:fldCharType="begin"/>
      </w:r>
      <w:r w:rsidR="008B0618">
        <w:instrText xml:space="preserve"> ADDIN ZOTERO_ITEM CSL_CITATION {"citationID":"Wg2xvqHz","properties":{"formattedCitation":"(Arostegui and others 2019)","plainCitation":"(Arostegui and others 2019)","noteIndex":0},"citationItems":[{"id":2469,"uris":["http://zotero.org/users/3681450/items/FMYN54AA"],"uri":["http://zotero.org/users/3681450/items/FMYN54AA"],"itemData":{"id":2469,"type":"article-journal","abstract":"Carbon isotopes are commonly used in trophic ecology to estimate consumer diet composition. This estimation is complicated by the fact that lipids exhibit a more depleted carbon signature (δ13C) than other macromolecules, and are often found at different concentrations among individual organisms. Some researchers argue that lipids bias diet reconstructions using stable isotopes and should be accounted for prior to analysis in food web mixing models, whereas others contend that removing lipids may result in erroneous interpretations of the trophic interactions under study. To highlight this disagreement on best practices for applying δ13C in food web studies, we sampled the recent literature to determine the frequency and method of lipid-correction. We then quantified the potential magnitude and source of bias in mixing model results from a theoretical example and case study of diet reconstruction. The literature was split nearly evenly as to whether lipid-correction was applied to δ13C data in mixing model estimates of diet composition. Comparative mixing model scenarios demonstrated that lipid-correction can substantially alter the estimated diet composition and interpretation of consumer foraging habits. Given the lack of consensus on whether or not to lipid-correct prey and/or consumers, and the associated variation in mixing model results, we call for the establishment of a unified framework that will guide diet reconstruction in stable isotope ecology. Uncertainty in the prevalence of direct routing versus de novo synthesis of lipids across ecosystems, taxa, and trophic levels must be resolved to better guide treatment of lipids in isotope studies using carbon.","container-title":"Oecologia","DOI":"10.1007/s00442-019-04525-7","ISSN":"0029-8549, 1432-1939","issue":"4","journalAbbreviation":"Oecologia","language":"en","page":"745-755","source":"DOI.org (Crossref)","title":"Does lipid-correction introduce biases into isotopic mixing models? Implications for diet reconstruction studies","title-short":"Does lipid-correction introduce biases into isotopic mixing models?","volume":"191","author":[{"family":"Arostegui","given":"Martin C."},{"family":"Schindler","given":"Daniel E."},{"family":"Holtgrieve","given":"Gordon W."}],"issued":{"date-parts":[["2019",12]]}}}],"schema":"https://github.com/citation-style-language/schema/raw/master/csl-citation.json"} </w:instrText>
      </w:r>
      <w:r w:rsidR="008B0618">
        <w:fldChar w:fldCharType="separate"/>
      </w:r>
      <w:r w:rsidR="008B0618" w:rsidRPr="008B0618">
        <w:t>(Arostegui and others 2019)</w:t>
      </w:r>
      <w:r w:rsidR="008B0618">
        <w:fldChar w:fldCharType="end"/>
      </w:r>
      <w:r>
        <w:rPr>
          <w:rFonts w:ascii="Avenir" w:eastAsia="Avenir" w:hAnsi="Avenir" w:cs="Avenir"/>
        </w:rPr>
        <w:t xml:space="preserve">. </w:t>
      </w:r>
    </w:p>
    <w:p w:rsidR="00886869" w:rsidRDefault="005943EF">
      <w:pPr>
        <w:jc w:val="both"/>
        <w:rPr>
          <w:rFonts w:ascii="Avenir" w:eastAsia="Avenir" w:hAnsi="Avenir" w:cs="Avenir"/>
        </w:rPr>
      </w:pPr>
      <w:r>
        <w:rPr>
          <w:rFonts w:ascii="Avenir" w:eastAsia="Avenir" w:hAnsi="Avenir" w:cs="Avenir"/>
        </w:rPr>
        <w:t xml:space="preserve">We were mainly interested in modelling the transfer and assimilation of proteins, as they are the most abundant macromolecules and we wanted to address the transfer of carbon flows between ecosystems. Thus, we implemented one model based on the lipid-corrected values. To ensure our findings were not biased due to routing of marine lipids in amino acid synthesis, we also implemented one bulk model based on the </w:t>
      </w:r>
      <w:r>
        <w:t>δ</w:t>
      </w:r>
      <w:r>
        <w:rPr>
          <w:rFonts w:ascii="Avenir" w:eastAsia="Avenir" w:hAnsi="Avenir" w:cs="Avenir"/>
          <w:vertAlign w:val="superscript"/>
        </w:rPr>
        <w:t>13</w:t>
      </w:r>
      <w:r>
        <w:rPr>
          <w:rFonts w:ascii="Avenir" w:eastAsia="Avenir" w:hAnsi="Avenir" w:cs="Avenir"/>
        </w:rPr>
        <w:t xml:space="preserve">C raw values. </w:t>
      </w:r>
    </w:p>
    <w:p w:rsidR="00886869" w:rsidRDefault="005943EF">
      <w:pPr>
        <w:jc w:val="both"/>
        <w:rPr>
          <w:rFonts w:ascii="Avenir" w:eastAsia="Avenir" w:hAnsi="Avenir" w:cs="Avenir"/>
        </w:rPr>
      </w:pPr>
      <w:r>
        <w:rPr>
          <w:rFonts w:ascii="Avenir" w:eastAsia="Avenir" w:hAnsi="Avenir" w:cs="Avenir"/>
        </w:rPr>
        <w:t xml:space="preserve">To address the maternal isotopic fractionation in eggs that we used as end-members, we analyzed bulk stable isotopes of 5-to-10 pooled eggs for 24 ripe anadromous individuals, collected in different streams of the area (see </w:t>
      </w:r>
      <w:r w:rsidR="008B0618">
        <w:fldChar w:fldCharType="begin"/>
      </w:r>
      <w:r w:rsidR="008B0618">
        <w:instrText xml:space="preserve"> ADDIN ZOTERO_ITEM CSL_CITATION {"citationID":"g2t51eu6","properties":{"formattedCitation":"(Takatsu and others 2022)","plainCitation":"(Takatsu and others 2022)","noteIndex":0},"citationItems":[{"id":3519,"uris":["http://zotero.org/users/3681450/items/47CARSHE"],"uri":["http://zotero.org/users/3681450/items/47CARSHE"],"itemData":{"id":3519,"type":"article-journal","abstract":"Abstract\n            \n              Arctic charr (\n              Salvelinus alpinus\n              [L.] complex) has been widely used as a model system for studies in evolutionary ecology because of its diversity in feeding ecology, habitat use, life history forms, and associated morphologies observed in matured individuals. However, we still know relatively little about traits exhibited early in life of the species, although the trait diversity of matured individuals may largely be shaped during development. Egg size is a key determinant of various traits exhibited early in life. Therefore, describing egg size variation within- and between-individuals as well as the link between egg size and adult traits will be a useful step in understanding the early life trait diversity of Arctic charr. Here, using Greenlandic Arctic charr, which includes alternative life history forms (i.e. anadromous and resident) and spawning habitat use (i.e. lake and river spawner), we described egg size variation (i.e. clutch-mean egg diameter and within-clutch variation) and explored the link between egg size variation and female body length, life history form, and spawning habitats. As in many other fishes, clutch-mean egg diameter increased with female body length. No significant effect of other female traits on clutch mean-egg diameter was detected, suggesting that female body size variation could be a direct cause of early life history trait variation. On the other hand, we found that the degree of within-clutch variation of the anadromous life history form was higher than that of the resident life history form. The pattern could be interpreted in an adaptive context. For instance, given that the anadromous life history form tends to be semelparous, anadromous females could decrease the likelihood of complete reproductive failure by producing variable-sized offspring within a clutch since at least some offspring are expected to be matched to the prevailing environment.","container-title":"Environmental Biology of Fishes","DOI":"10.1007/s10641-022-01374-x","ISSN":"0378-1909, 1573-5133","journalAbbreviation":"Environ Biol Fish","language":"en","source":"DOI.org (Crossref)","title":"Relationships between egg size and maternal size, life history forms, and habitats of Greenlandic Arctic charr (Salvelinus alpinus)","URL":"https://link.springer.com/10.1007/s10641-022-01374-x","author":[{"family":"Takatsu","given":"Kunio"},{"family":"Delarue","given":"Coralie"},{"family":"Heller","given":"Naomi"},{"family":"Saboret","given":"Grégoire"},{"family":"Brodersen","given":"Jakob"}],"accessed":{"date-parts":[["2023",1,9]]},"issued":{"date-parts":[["2022",11,26]]}}}],"schema":"https://github.com/citation-style-language/schema/raw/master/csl-citation.json"} </w:instrText>
      </w:r>
      <w:r w:rsidR="008B0618">
        <w:fldChar w:fldCharType="separate"/>
      </w:r>
      <w:r w:rsidR="008B0618" w:rsidRPr="008B0618">
        <w:t>(Takatsu and others 2022)</w:t>
      </w:r>
      <w:r w:rsidR="008B0618">
        <w:fldChar w:fldCharType="end"/>
      </w:r>
      <w:r>
        <w:rPr>
          <w:rFonts w:ascii="Avenir" w:eastAsia="Avenir" w:hAnsi="Avenir" w:cs="Avenir"/>
        </w:rPr>
        <w:t xml:space="preserve"> for data collection). We found no significant discrimination in </w:t>
      </w:r>
      <w:r>
        <w:t>δ</w:t>
      </w:r>
      <w:r>
        <w:rPr>
          <w:rFonts w:ascii="Avenir" w:eastAsia="Avenir" w:hAnsi="Avenir" w:cs="Avenir"/>
          <w:vertAlign w:val="superscript"/>
        </w:rPr>
        <w:t>13</w:t>
      </w:r>
      <w:r>
        <w:rPr>
          <w:rFonts w:ascii="Avenir" w:eastAsia="Avenir" w:hAnsi="Avenir" w:cs="Avenir"/>
        </w:rPr>
        <w:t>C (</w:t>
      </w:r>
      <w:proofErr w:type="spellStart"/>
      <w:r>
        <w:rPr>
          <w:rFonts w:ascii="Avenir" w:eastAsia="Avenir" w:hAnsi="Avenir" w:cs="Avenir"/>
        </w:rPr>
        <w:t>t.test</w:t>
      </w:r>
      <w:proofErr w:type="spellEnd"/>
      <w:r>
        <w:rPr>
          <w:rFonts w:ascii="Avenir" w:eastAsia="Avenir" w:hAnsi="Avenir" w:cs="Avenir"/>
        </w:rPr>
        <w:t>, P&gt;0.1</w:t>
      </w:r>
      <w:r w:rsidR="00110A1D">
        <w:rPr>
          <w:rFonts w:ascii="Avenir" w:eastAsia="Avenir" w:hAnsi="Avenir" w:cs="Avenir"/>
        </w:rPr>
        <w:t>)</w:t>
      </w:r>
      <w:r w:rsidR="00110A1D">
        <w:rPr>
          <w:rFonts w:ascii="Avenir" w:eastAsia="Avenir" w:hAnsi="Avenir" w:cs="Avenir"/>
          <w:vertAlign w:val="superscript"/>
        </w:rPr>
        <w:t xml:space="preserve"> </w:t>
      </w:r>
      <w:r w:rsidR="00110A1D">
        <w:rPr>
          <w:rFonts w:ascii="Avenir" w:eastAsia="Avenir" w:hAnsi="Avenir" w:cs="Avenir"/>
        </w:rPr>
        <w:t>and</w:t>
      </w:r>
      <w:r>
        <w:rPr>
          <w:rFonts w:ascii="Avenir" w:eastAsia="Avenir" w:hAnsi="Avenir" w:cs="Avenir"/>
        </w:rPr>
        <w:t xml:space="preserve"> high variability in </w:t>
      </w:r>
      <w:r>
        <w:t>δ</w:t>
      </w:r>
      <w:r>
        <w:rPr>
          <w:rFonts w:ascii="Avenir" w:eastAsia="Avenir" w:hAnsi="Avenir" w:cs="Avenir"/>
          <w:vertAlign w:val="superscript"/>
        </w:rPr>
        <w:t>15</w:t>
      </w:r>
      <w:r>
        <w:rPr>
          <w:rFonts w:ascii="Avenir" w:eastAsia="Avenir" w:hAnsi="Avenir" w:cs="Avenir"/>
        </w:rPr>
        <w:t xml:space="preserve">N (Fig. S9). For the raw </w:t>
      </w:r>
      <w:r>
        <w:t>δ</w:t>
      </w:r>
      <w:r>
        <w:rPr>
          <w:rFonts w:ascii="Avenir" w:eastAsia="Avenir" w:hAnsi="Avenir" w:cs="Avenir"/>
          <w:vertAlign w:val="superscript"/>
        </w:rPr>
        <w:t>13</w:t>
      </w:r>
      <w:r>
        <w:rPr>
          <w:rFonts w:ascii="Avenir" w:eastAsia="Avenir" w:hAnsi="Avenir" w:cs="Avenir"/>
        </w:rPr>
        <w:t>C model, we found a significant offset of 0.94‰ (</w:t>
      </w:r>
      <w:proofErr w:type="spellStart"/>
      <w:r>
        <w:rPr>
          <w:rFonts w:ascii="Avenir" w:eastAsia="Avenir" w:hAnsi="Avenir" w:cs="Avenir"/>
        </w:rPr>
        <w:t>t.test</w:t>
      </w:r>
      <w:proofErr w:type="spellEnd"/>
      <w:r>
        <w:rPr>
          <w:rFonts w:ascii="Avenir" w:eastAsia="Avenir" w:hAnsi="Avenir" w:cs="Avenir"/>
        </w:rPr>
        <w:t xml:space="preserve">, P&lt;0.02, Fig. S9), which we accounted for in the model. </w:t>
      </w:r>
    </w:p>
    <w:p w:rsidR="00886869" w:rsidRDefault="005943EF">
      <w:pPr>
        <w:jc w:val="both"/>
        <w:rPr>
          <w:rFonts w:ascii="Avenir" w:eastAsia="Avenir" w:hAnsi="Avenir" w:cs="Avenir"/>
        </w:rPr>
      </w:pPr>
      <w:bookmarkStart w:id="3" w:name="_17dp8vu" w:colFirst="0" w:colLast="0"/>
      <w:bookmarkEnd w:id="3"/>
      <w:r>
        <w:rPr>
          <w:rFonts w:ascii="Avenir" w:eastAsia="Avenir" w:hAnsi="Avenir" w:cs="Avenir"/>
        </w:rPr>
        <w:t xml:space="preserve">We did not consider </w:t>
      </w:r>
      <w:r>
        <w:t>δ</w:t>
      </w:r>
      <w:r>
        <w:rPr>
          <w:rFonts w:ascii="Avenir" w:eastAsia="Avenir" w:hAnsi="Avenir" w:cs="Avenir"/>
          <w:vertAlign w:val="superscript"/>
        </w:rPr>
        <w:t>15</w:t>
      </w:r>
      <w:r>
        <w:rPr>
          <w:rFonts w:ascii="Avenir" w:eastAsia="Avenir" w:hAnsi="Avenir" w:cs="Avenir"/>
        </w:rPr>
        <w:t xml:space="preserve">N in the bulk model because of high propagated uncertainty considering freshwater baseline, maternal egg </w:t>
      </w:r>
      <w:r>
        <w:t>δ</w:t>
      </w:r>
      <w:r>
        <w:rPr>
          <w:rFonts w:ascii="Avenir" w:eastAsia="Avenir" w:hAnsi="Avenir" w:cs="Avenir"/>
          <w:vertAlign w:val="superscript"/>
        </w:rPr>
        <w:t>15</w:t>
      </w:r>
      <w:r w:rsidR="00110A1D">
        <w:rPr>
          <w:rFonts w:ascii="Avenir" w:eastAsia="Avenir" w:hAnsi="Avenir" w:cs="Avenir"/>
        </w:rPr>
        <w:t>N</w:t>
      </w:r>
      <w:r w:rsidR="00110A1D">
        <w:rPr>
          <w:rFonts w:ascii="Avenir" w:eastAsia="Avenir" w:hAnsi="Avenir" w:cs="Avenir"/>
          <w:vertAlign w:val="superscript"/>
        </w:rPr>
        <w:t xml:space="preserve"> </w:t>
      </w:r>
      <w:r w:rsidR="00110A1D">
        <w:rPr>
          <w:rFonts w:ascii="Avenir" w:eastAsia="Avenir" w:hAnsi="Avenir" w:cs="Avenir"/>
        </w:rPr>
        <w:t>discrimination</w:t>
      </w:r>
      <w:r>
        <w:rPr>
          <w:rFonts w:ascii="Avenir" w:eastAsia="Avenir" w:hAnsi="Avenir" w:cs="Avenir"/>
        </w:rPr>
        <w:t xml:space="preserve"> and fish TP in freshwater. </w:t>
      </w:r>
    </w:p>
    <w:p w:rsidR="00886869" w:rsidRDefault="005943EF">
      <w:pPr>
        <w:jc w:val="both"/>
        <w:rPr>
          <w:rFonts w:ascii="Avenir" w:eastAsia="Avenir" w:hAnsi="Avenir" w:cs="Avenir"/>
        </w:rPr>
      </w:pPr>
      <w:r>
        <w:rPr>
          <w:rFonts w:ascii="Avenir" w:eastAsia="Avenir" w:hAnsi="Avenir" w:cs="Avenir"/>
        </w:rPr>
        <w:t xml:space="preserve">We considered small trophic fractionation of </w:t>
      </w:r>
      <w:r>
        <w:rPr>
          <w:rFonts w:ascii="Avenir" w:eastAsia="Avenir" w:hAnsi="Avenir" w:cs="Avenir"/>
          <w:vertAlign w:val="superscript"/>
        </w:rPr>
        <w:t>13</w:t>
      </w:r>
      <w:r>
        <w:rPr>
          <w:rFonts w:ascii="Avenir" w:eastAsia="Avenir" w:hAnsi="Avenir" w:cs="Avenir"/>
        </w:rPr>
        <w:t xml:space="preserve">C between fish and their prey of 0.50 ± 0.13‰ (mean ± SD) </w:t>
      </w:r>
      <w:r w:rsidR="008B0618">
        <w:fldChar w:fldCharType="begin"/>
      </w:r>
      <w:r w:rsidR="008B0618">
        <w:instrText xml:space="preserve"> ADDIN ZOTERO_ITEM CSL_CITATION {"citationID":"bygHMIih","properties":{"formattedCitation":"(McCutchan and others 2003)","plainCitation":"(McCutchan and others 2003)","noteIndex":0},"citationItems":[{"id":546,"uris":["http://zotero.org/users/3681450/items/UX4QGWI3"],"uri":["http://zotero.org/users/3681450/items/UX4QGWI3"],"itemData":{"id":546,"type":"article-journal","container-title":"Oikos","DOI":"10.1034/j.1600-0706.2003.12098.x","ISSN":"0030-1299, 1600-0706","issue":"2","language":"en","page":"378-390","source":"Crossref","title":"Variation in trophic shift for stable isotope ratios of carbon, nitrogen, and sulfur","volume":"102","author":[{"family":"McCutchan","given":"James H."},{"family":"Lewis","given":"William M."},{"family":"Kendall","given":"Carol"},{"family":"McGrath","given":"Claire C."}],"issued":{"date-parts":[["2003",8]]}}}],"schema":"https://github.com/citation-style-language/schema/raw/master/csl-citation.json"} </w:instrText>
      </w:r>
      <w:r w:rsidR="008B0618">
        <w:fldChar w:fldCharType="separate"/>
      </w:r>
      <w:r w:rsidR="008B0618" w:rsidRPr="008B0618">
        <w:t>(McCutchan and others 2003)</w:t>
      </w:r>
      <w:r w:rsidR="008B0618">
        <w:fldChar w:fldCharType="end"/>
      </w:r>
      <w:r>
        <w:rPr>
          <w:rFonts w:ascii="Avenir" w:eastAsia="Avenir" w:hAnsi="Avenir" w:cs="Avenir"/>
        </w:rPr>
        <w:t xml:space="preserve">, and corrected the freshwater endmember by correcting by one trophic level discrimination (-0.5 ‰). We run two different models for tundra and proglacial tributaries, using resident controls of both tributaries as baselines. </w:t>
      </w:r>
    </w:p>
    <w:p w:rsidR="00886869" w:rsidRDefault="005943EF">
      <w:pPr>
        <w:jc w:val="both"/>
        <w:rPr>
          <w:rFonts w:ascii="Avenir" w:eastAsia="Avenir" w:hAnsi="Avenir" w:cs="Avenir"/>
          <w:b/>
        </w:rPr>
      </w:pPr>
      <w:proofErr w:type="spellStart"/>
      <w:r>
        <w:rPr>
          <w:rFonts w:ascii="Avenir" w:eastAsia="Avenir" w:hAnsi="Avenir" w:cs="Avenir"/>
          <w:b/>
        </w:rPr>
        <w:t>MixSIAR</w:t>
      </w:r>
      <w:proofErr w:type="spellEnd"/>
      <w:r>
        <w:rPr>
          <w:rFonts w:ascii="Avenir" w:eastAsia="Avenir" w:hAnsi="Avenir" w:cs="Avenir"/>
          <w:b/>
        </w:rPr>
        <w:t xml:space="preserve"> </w:t>
      </w:r>
    </w:p>
    <w:p w:rsidR="00886869" w:rsidRDefault="005943EF">
      <w:pPr>
        <w:jc w:val="both"/>
        <w:rPr>
          <w:rFonts w:ascii="Avenir" w:eastAsia="Avenir" w:hAnsi="Avenir" w:cs="Avenir"/>
        </w:rPr>
      </w:pPr>
      <w:r>
        <w:rPr>
          <w:rFonts w:ascii="Avenir" w:eastAsia="Avenir" w:hAnsi="Avenir" w:cs="Avenir"/>
        </w:rPr>
        <w:t xml:space="preserve">For the three mixing models, we did not consider continuous or fixed effects because we suspected that char show high individual variability in their feeding behavior. Rather, we considered individuals as “random” factors because we hypothesized that individuals randomly deviate from mean </w:t>
      </w:r>
      <w:r w:rsidR="008B0618">
        <w:fldChar w:fldCharType="begin"/>
      </w:r>
      <w:r w:rsidR="008B0618">
        <w:instrText xml:space="preserve"> ADDIN ZOTERO_ITEM CSL_CITATION {"citationID":"bLerj88V","properties":{"formattedCitation":"(Semmens and others 2009)","plainCitation":"(Semmens and others 2009)","noteIndex":0},"citationItems":[{"id":3735,"uris":["http://zotero.org/users/3681450/items/R6JTEY7U"],"uri":["http://zotero.org/users/3681450/items/R6JTEY7U"],"itemData":{"id":3735,"type":"article-journal","abstract":"Variability in resource use defines the width of a trophic niche occupied by a population. Intra-population variability in resource use may occur across hierarchical levels of population structure from individuals to subpopulations. Understanding how levels of population organization contribute to population niche width is critical to ecology and evolution. Here we describe a hierarchical stable isotope mixing model that can simultaneously estimate both the prey composition of a consumer diet and the diet variability among individuals and across levels of population organization. By explicitly estimating variance components for multiple scales, the model can deconstruct the niche width of a consumer population into relevant levels of population structure. We apply this new approach to stable isotope data from a population of gray wolves from coastal British Columbia, and show support for extensive intra-population niche variability among individuals, social groups, and geographically isolated subpopulations. The analytic method we describe improves mixing models by accounting for diet variability, and improves isotope niche width analysis by quantitatively assessing the contribution of levels of organization to the niche width of a population.","container-title":"PLoS ONE","DOI":"10.1371/journal.pone.0006187","ISSN":"1932-6203","issue":"7","journalAbbreviation":"PLoS ONE","language":"en","page":"e6187","source":"DOI.org (Crossref)","title":"Quantifying Inter- and Intra-Population Niche Variability Using Hierarchical Bayesian Stable Isotope Mixing Models","volume":"4","author":[{"family":"Semmens","given":"Brice X."},{"family":"Ward","given":"Eric J."},{"family":"Moore","given":"Jonathan W."},{"family":"Darimont","given":"Chris T."}],"editor":[{"family":"Getz","given":"Wayne M."}],"issued":{"date-parts":[["2009",7,9]]}}}],"schema":"https://github.com/citation-style-language/schema/raw/master/csl-citation.json"} </w:instrText>
      </w:r>
      <w:r w:rsidR="008B0618">
        <w:fldChar w:fldCharType="separate"/>
      </w:r>
      <w:r w:rsidR="008B0618" w:rsidRPr="008B0618">
        <w:t>(Semmens and others 2009)</w:t>
      </w:r>
      <w:r w:rsidR="008B0618">
        <w:fldChar w:fldCharType="end"/>
      </w:r>
      <w:r>
        <w:rPr>
          <w:rFonts w:ascii="Avenir" w:eastAsia="Avenir" w:hAnsi="Avenir" w:cs="Avenir"/>
        </w:rPr>
        <w:t xml:space="preserve">. </w:t>
      </w:r>
    </w:p>
    <w:p w:rsidR="00886869" w:rsidRDefault="005943EF">
      <w:pPr>
        <w:jc w:val="both"/>
        <w:rPr>
          <w:rFonts w:ascii="Avenir" w:eastAsia="Avenir" w:hAnsi="Avenir" w:cs="Avenir"/>
        </w:rPr>
      </w:pPr>
      <w:bookmarkStart w:id="4" w:name="_3rdcrjn" w:colFirst="0" w:colLast="0"/>
      <w:bookmarkEnd w:id="4"/>
      <w:r>
        <w:rPr>
          <w:rFonts w:ascii="Avenir" w:eastAsia="Avenir" w:hAnsi="Avenir" w:cs="Avenir"/>
        </w:rPr>
        <w:t>We input sources as means and standard deviations. We set the models using “long” run, meaning 300 000 iterations (burn-in = 200 000) on three parallel Monte Carlo Markov chains with a thinning interval of 300 using non-informative priors. We used “uninformative” priors (</w:t>
      </w:r>
      <w:r>
        <w:t>α</w:t>
      </w:r>
      <w:r>
        <w:rPr>
          <w:rFonts w:ascii="Avenir" w:eastAsia="Avenir" w:hAnsi="Avenir" w:cs="Avenir"/>
        </w:rPr>
        <w:t xml:space="preserve">=1). We reported for mixing models the mean, standard deviation and 95% confidence interval. We assessed model convergence using Gelman–Rubin </w:t>
      </w:r>
      <w:r w:rsidR="008B0618">
        <w:fldChar w:fldCharType="begin"/>
      </w:r>
      <w:r w:rsidR="008B0618">
        <w:instrText xml:space="preserve"> ADDIN ZOTERO_ITEM CSL_CITATION {"citationID":"bsBtX550","properties":{"formattedCitation":"(Gelman and others 2014)","plainCitation":"(Gelman and others 2014)","noteIndex":0},"citationItems":[{"id":4060,"uris":["http://zotero.org/users/3681450/items/R3N2YASG"],"uri":["http://zotero.org/users/3681450/items/R3N2YASG"],"itemData":{"id":4060,"type":"article-journal","container-title":"Boca Raton, FL, USA.[Google Scholar]","title":"Bayesian data analysis taylor &amp; francis","author":[{"family":"Gelman","given":"A."},{"family":"Carlin","given":"J. B."},{"family":"Stern","given":"H. S."},{"family":"Rubin","given":"D. B."}],"issued":{"date-parts":[["2014"]]}}}],"schema":"https://github.com/citation-style-language/schema/raw/master/csl-citation.json"} </w:instrText>
      </w:r>
      <w:r w:rsidR="008B0618">
        <w:fldChar w:fldCharType="separate"/>
      </w:r>
      <w:r w:rsidR="008B0618" w:rsidRPr="008B0618">
        <w:t>(Gelman and others 2014)</w:t>
      </w:r>
      <w:r w:rsidR="008B0618">
        <w:fldChar w:fldCharType="end"/>
      </w:r>
      <w:r>
        <w:rPr>
          <w:rFonts w:ascii="Avenir" w:eastAsia="Avenir" w:hAnsi="Avenir" w:cs="Avenir"/>
        </w:rPr>
        <w:t xml:space="preserve"> and </w:t>
      </w:r>
      <w:proofErr w:type="spellStart"/>
      <w:r>
        <w:rPr>
          <w:rFonts w:ascii="Avenir" w:eastAsia="Avenir" w:hAnsi="Avenir" w:cs="Avenir"/>
        </w:rPr>
        <w:t>Geweke</w:t>
      </w:r>
      <w:proofErr w:type="spellEnd"/>
      <w:r>
        <w:rPr>
          <w:rFonts w:ascii="Avenir" w:eastAsia="Avenir" w:hAnsi="Avenir" w:cs="Avenir"/>
        </w:rPr>
        <w:t xml:space="preserve"> diagnostics </w:t>
      </w:r>
      <w:r w:rsidR="008B0618">
        <w:fldChar w:fldCharType="begin"/>
      </w:r>
      <w:r w:rsidR="008B0618">
        <w:instrText xml:space="preserve"> ADDIN ZOTERO_ITEM CSL_CITATION {"citationID":"6KsFr1IL","properties":{"formattedCitation":"(Geweke 1991)","plainCitation":"(Geweke 1991)","noteIndex":0},"citationItems":[{"id":4059,"uris":["http://zotero.org/users/3681450/items/TNJQ6TR9"],"uri":["http://zotero.org/users/3681450/items/TNJQ6TR9"],"itemData":{"id":4059,"type":"report","publisher":"Federal Reserve Bank of Minneapolis","title":"Evaluating the accuracy of sampling-based approaches to the calculation of posterior moments","author":[{"family":"Geweke","given":"John"}],"issued":{"date-parts":[["1991"]]}}}],"schema":"https://github.com/citation-style-language/schema/raw/master/csl-citation.json"} </w:instrText>
      </w:r>
      <w:r w:rsidR="008B0618">
        <w:fldChar w:fldCharType="separate"/>
      </w:r>
      <w:r w:rsidR="008B0618" w:rsidRPr="008B0618">
        <w:t>(</w:t>
      </w:r>
      <w:proofErr w:type="spellStart"/>
      <w:r w:rsidR="008B0618" w:rsidRPr="008B0618">
        <w:t>Geweke</w:t>
      </w:r>
      <w:proofErr w:type="spellEnd"/>
      <w:r w:rsidR="008B0618" w:rsidRPr="008B0618">
        <w:t xml:space="preserve"> 1991)</w:t>
      </w:r>
      <w:r w:rsidR="008B0618">
        <w:fldChar w:fldCharType="end"/>
      </w:r>
      <w:r>
        <w:rPr>
          <w:rFonts w:ascii="Avenir" w:eastAsia="Avenir" w:hAnsi="Avenir" w:cs="Avenir"/>
        </w:rPr>
        <w:t>.</w:t>
      </w:r>
    </w:p>
    <w:p w:rsidR="00886869" w:rsidRDefault="00886869">
      <w:pPr>
        <w:jc w:val="both"/>
        <w:rPr>
          <w:rFonts w:ascii="Avenir" w:eastAsia="Avenir" w:hAnsi="Avenir" w:cs="Avenir"/>
        </w:rPr>
      </w:pPr>
      <w:bookmarkStart w:id="5" w:name="_db5bconhn4o8" w:colFirst="0" w:colLast="0"/>
      <w:bookmarkEnd w:id="5"/>
    </w:p>
    <w:p w:rsidR="00886869" w:rsidRDefault="00886869">
      <w:pPr>
        <w:jc w:val="both"/>
        <w:rPr>
          <w:rFonts w:ascii="Avenir" w:eastAsia="Avenir" w:hAnsi="Avenir" w:cs="Avenir"/>
        </w:rPr>
      </w:pPr>
    </w:p>
    <w:p w:rsidR="00886869" w:rsidRDefault="005943EF">
      <w:pPr>
        <w:spacing w:line="480" w:lineRule="auto"/>
        <w:jc w:val="both"/>
        <w:rPr>
          <w:rFonts w:ascii="Avenir" w:eastAsia="Avenir" w:hAnsi="Avenir" w:cs="Avenir"/>
          <w:b/>
        </w:rPr>
      </w:pPr>
      <w:bookmarkStart w:id="6" w:name="_GoBack"/>
      <w:bookmarkEnd w:id="6"/>
      <w:r>
        <w:rPr>
          <w:rFonts w:ascii="Avenir" w:eastAsia="Avenir" w:hAnsi="Avenir" w:cs="Avenir"/>
          <w:b/>
        </w:rPr>
        <w:lastRenderedPageBreak/>
        <w:t>References</w:t>
      </w:r>
    </w:p>
    <w:p w:rsidR="00AB583A" w:rsidRDefault="008B0618" w:rsidP="00AB583A">
      <w:pPr>
        <w:pStyle w:val="Bibliography"/>
      </w:pPr>
      <w:r>
        <w:fldChar w:fldCharType="begin"/>
      </w:r>
      <w:r w:rsidR="00AB583A" w:rsidRPr="00AB583A">
        <w:rPr>
          <w:lang w:val="de-CH"/>
        </w:rPr>
        <w:instrText xml:space="preserve"> ADDIN ZOTERO_BIBL {"uncited":[],"omitted":[],"custom":[]} CSL_BIBLIOGRAPHY </w:instrText>
      </w:r>
      <w:r>
        <w:fldChar w:fldCharType="separate"/>
      </w:r>
      <w:r w:rsidR="00AB583A" w:rsidRPr="00AB583A">
        <w:rPr>
          <w:lang w:val="de-CH"/>
        </w:rPr>
        <w:t xml:space="preserve">Arostegui MC, Schindler DE, Holtgrieve GW. 2019. </w:t>
      </w:r>
      <w:r w:rsidR="00AB583A">
        <w:t xml:space="preserve">Does lipid-correction introduce biases into isotopic mixing models? Implications for diet reconstruction studies. </w:t>
      </w:r>
      <w:proofErr w:type="spellStart"/>
      <w:r w:rsidR="00AB583A">
        <w:t>Oecologia</w:t>
      </w:r>
      <w:proofErr w:type="spellEnd"/>
      <w:r w:rsidR="00AB583A">
        <w:t xml:space="preserve"> 191:745–55.</w:t>
      </w:r>
    </w:p>
    <w:p w:rsidR="00AB583A" w:rsidRDefault="00AB583A" w:rsidP="00AB583A">
      <w:pPr>
        <w:pStyle w:val="Bibliography"/>
      </w:pPr>
      <w:r>
        <w:t xml:space="preserve">Arrington DA, </w:t>
      </w:r>
      <w:proofErr w:type="spellStart"/>
      <w:r>
        <w:t>Winemiller</w:t>
      </w:r>
      <w:proofErr w:type="spellEnd"/>
      <w:r>
        <w:t xml:space="preserve"> KO. 2002. Preservation Effects on Stable Isotope Analysis of Fish Muscle. :6.</w:t>
      </w:r>
    </w:p>
    <w:p w:rsidR="00AB583A" w:rsidRDefault="00AB583A" w:rsidP="00AB583A">
      <w:pPr>
        <w:pStyle w:val="Bibliography"/>
      </w:pPr>
      <w:r>
        <w:t xml:space="preserve">Besser AC, Elliott Smith EA, Newsome SD. 2022. Assessing the Potential of Amino Acid δ </w:t>
      </w:r>
      <w:r>
        <w:rPr>
          <w:vertAlign w:val="superscript"/>
        </w:rPr>
        <w:t>13</w:t>
      </w:r>
      <w:r>
        <w:t xml:space="preserve"> C and δ </w:t>
      </w:r>
      <w:r>
        <w:rPr>
          <w:vertAlign w:val="superscript"/>
        </w:rPr>
        <w:t>15</w:t>
      </w:r>
      <w:r>
        <w:t xml:space="preserve"> N Analysis in Terrestrial and Freshwater Ecosystems. J Ecol:1365-2745.13853.</w:t>
      </w:r>
    </w:p>
    <w:p w:rsidR="00AB583A" w:rsidRDefault="00AB583A" w:rsidP="00AB583A">
      <w:pPr>
        <w:pStyle w:val="Bibliography"/>
      </w:pPr>
      <w:r w:rsidRPr="00AB583A">
        <w:rPr>
          <w:lang w:val="de-CH"/>
        </w:rPr>
        <w:t xml:space="preserve">Durante LM, Sabadel AJM, Frew RD, Ingram T, Wing SR. 2020. </w:t>
      </w:r>
      <w:r>
        <w:t xml:space="preserve">Effects of fixatives on stable isotopes of fish muscle tissue: implications for trophic studies on preserved specimens. </w:t>
      </w:r>
      <w:proofErr w:type="spellStart"/>
      <w:r>
        <w:t>Ecol</w:t>
      </w:r>
      <w:proofErr w:type="spellEnd"/>
      <w:r>
        <w:t xml:space="preserve"> Appl 30. https://onlinelibrary.wiley.com/doi/abs/10.1002/eap.2080. Last accessed 08/07/2020</w:t>
      </w:r>
    </w:p>
    <w:p w:rsidR="00AB583A" w:rsidRDefault="00AB583A" w:rsidP="00AB583A">
      <w:pPr>
        <w:pStyle w:val="Bibliography"/>
      </w:pPr>
      <w:r>
        <w:t xml:space="preserve">Elliott Smith EA, Fox MD. 2021. Characterizing energy flow in kelp forest food webs: a geochemical review and call for additional research. </w:t>
      </w:r>
      <w:proofErr w:type="gramStart"/>
      <w:r>
        <w:t>Ecography:ecog</w:t>
      </w:r>
      <w:proofErr w:type="gramEnd"/>
      <w:r>
        <w:t>.05566.</w:t>
      </w:r>
    </w:p>
    <w:p w:rsidR="00AB583A" w:rsidRDefault="00AB583A" w:rsidP="00AB583A">
      <w:pPr>
        <w:pStyle w:val="Bibliography"/>
      </w:pPr>
      <w:r>
        <w:t xml:space="preserve">Fox MD, Elliott Smith EA, Smith JE, Newsome SD. 2019. Trophic plasticity in a common reef‐building coral: Insights from δ </w:t>
      </w:r>
      <w:r>
        <w:rPr>
          <w:vertAlign w:val="superscript"/>
        </w:rPr>
        <w:t>13</w:t>
      </w:r>
      <w:r>
        <w:t xml:space="preserve"> C analysis of essential amino acids. Briones M, editor. </w:t>
      </w:r>
      <w:proofErr w:type="spellStart"/>
      <w:r>
        <w:t>Funct</w:t>
      </w:r>
      <w:proofErr w:type="spellEnd"/>
      <w:r>
        <w:t xml:space="preserve"> </w:t>
      </w:r>
      <w:proofErr w:type="spellStart"/>
      <w:r>
        <w:t>Ecol</w:t>
      </w:r>
      <w:proofErr w:type="spellEnd"/>
      <w:r>
        <w:t xml:space="preserve"> 33:2203–14.</w:t>
      </w:r>
    </w:p>
    <w:p w:rsidR="00AB583A" w:rsidRDefault="00AB583A" w:rsidP="00AB583A">
      <w:pPr>
        <w:pStyle w:val="Bibliography"/>
      </w:pPr>
      <w:r>
        <w:t xml:space="preserve">Gelman A, Carlin JB, Stern HS, Rubin DB. 2014. Bayesian data analysis </w:t>
      </w:r>
      <w:proofErr w:type="spellStart"/>
      <w:r>
        <w:t>taylor</w:t>
      </w:r>
      <w:proofErr w:type="spellEnd"/>
      <w:r>
        <w:t xml:space="preserve"> &amp; </w:t>
      </w:r>
      <w:proofErr w:type="spellStart"/>
      <w:r>
        <w:t>francis</w:t>
      </w:r>
      <w:proofErr w:type="spellEnd"/>
      <w:r>
        <w:t xml:space="preserve">. Boca Raton FL </w:t>
      </w:r>
      <w:proofErr w:type="spellStart"/>
      <w:r>
        <w:t>USAGoogle</w:t>
      </w:r>
      <w:proofErr w:type="spellEnd"/>
      <w:r>
        <w:t xml:space="preserve"> Sch.</w:t>
      </w:r>
    </w:p>
    <w:p w:rsidR="00AB583A" w:rsidRDefault="00AB583A" w:rsidP="00AB583A">
      <w:pPr>
        <w:pStyle w:val="Bibliography"/>
      </w:pPr>
      <w:proofErr w:type="spellStart"/>
      <w:r>
        <w:t>Geweke</w:t>
      </w:r>
      <w:proofErr w:type="spellEnd"/>
      <w:r>
        <w:t xml:space="preserve"> J. 1991. Evaluating the accuracy of sampling-based approaches to the calculation of posterior moments. Federal Reserve Bank of Minneapolis</w:t>
      </w:r>
    </w:p>
    <w:p w:rsidR="00AB583A" w:rsidRDefault="00AB583A" w:rsidP="00AB583A">
      <w:pPr>
        <w:pStyle w:val="Bibliography"/>
      </w:pPr>
      <w:r>
        <w:t xml:space="preserve">Hoffman JC, </w:t>
      </w:r>
      <w:proofErr w:type="spellStart"/>
      <w:r>
        <w:t>Sierszen</w:t>
      </w:r>
      <w:proofErr w:type="spellEnd"/>
      <w:r>
        <w:t xml:space="preserve"> ME, Cotter AM. 2015. Fish tissue lipid-</w:t>
      </w:r>
      <w:proofErr w:type="gramStart"/>
      <w:r>
        <w:t>C:N</w:t>
      </w:r>
      <w:proofErr w:type="gramEnd"/>
      <w:r>
        <w:t xml:space="preserve"> relationships for correcting δ </w:t>
      </w:r>
      <w:r>
        <w:rPr>
          <w:vertAlign w:val="superscript"/>
        </w:rPr>
        <w:t>13</w:t>
      </w:r>
      <w:r>
        <w:t xml:space="preserve"> C values and estimating lipid content in aquatic food-web studies: Fish tissue lipid-C:N relationships. Rapid </w:t>
      </w:r>
      <w:proofErr w:type="spellStart"/>
      <w:r>
        <w:t>Commun</w:t>
      </w:r>
      <w:proofErr w:type="spellEnd"/>
      <w:r>
        <w:t xml:space="preserve"> Mass </w:t>
      </w:r>
      <w:proofErr w:type="spellStart"/>
      <w:r>
        <w:t>Spectrom</w:t>
      </w:r>
      <w:proofErr w:type="spellEnd"/>
      <w:r>
        <w:t xml:space="preserve"> 29:2069–77.</w:t>
      </w:r>
    </w:p>
    <w:p w:rsidR="00AB583A" w:rsidRDefault="00AB583A" w:rsidP="00AB583A">
      <w:pPr>
        <w:pStyle w:val="Bibliography"/>
      </w:pPr>
      <w:r>
        <w:lastRenderedPageBreak/>
        <w:t>Larsen T, Taylor DL, Leigh MB, O’Brien DM. 2009. Stable isotope fingerprinting: a novel method for identifying plant, fungal, or bacterial origins of amino acids. Ecology 90:3526–35.</w:t>
      </w:r>
    </w:p>
    <w:p w:rsidR="00AB583A" w:rsidRDefault="00AB583A" w:rsidP="00AB583A">
      <w:pPr>
        <w:pStyle w:val="Bibliography"/>
      </w:pPr>
      <w:r>
        <w:t xml:space="preserve">Larsen T, Ventura M, Andersen N, O’Brien DM, Piatkowski U, McCarthy MD. 2013. Tracing Carbon Sources through Aquatic and Terrestrial Food Webs Using Amino Acid Stable Isotope Fingerprinting. Savage C, editor. </w:t>
      </w:r>
      <w:proofErr w:type="spellStart"/>
      <w:r>
        <w:t>PLoS</w:t>
      </w:r>
      <w:proofErr w:type="spellEnd"/>
      <w:r>
        <w:t xml:space="preserve"> ONE </w:t>
      </w:r>
      <w:proofErr w:type="gramStart"/>
      <w:r>
        <w:t>8:e</w:t>
      </w:r>
      <w:proofErr w:type="gramEnd"/>
      <w:r>
        <w:t>73441.</w:t>
      </w:r>
    </w:p>
    <w:p w:rsidR="00AB583A" w:rsidRDefault="00AB583A" w:rsidP="00AB583A">
      <w:pPr>
        <w:pStyle w:val="Bibliography"/>
      </w:pPr>
      <w:r>
        <w:t xml:space="preserve">Liew JH, Chua KWJ, Arsenault ER, Thorp JH, </w:t>
      </w:r>
      <w:proofErr w:type="spellStart"/>
      <w:r>
        <w:t>Suvarnaraksha</w:t>
      </w:r>
      <w:proofErr w:type="spellEnd"/>
      <w:r>
        <w:t xml:space="preserve"> A, </w:t>
      </w:r>
      <w:proofErr w:type="spellStart"/>
      <w:r>
        <w:t>Amirrudin</w:t>
      </w:r>
      <w:proofErr w:type="spellEnd"/>
      <w:r>
        <w:t xml:space="preserve"> A, Yeo DCJ. 2019. Quantifying terrestrial carbon in freshwater food webs using amino acid isotope analysis: Case study with an endemic cavefish. Soto D, editor. Methods </w:t>
      </w:r>
      <w:proofErr w:type="spellStart"/>
      <w:r>
        <w:t>Ecol</w:t>
      </w:r>
      <w:proofErr w:type="spellEnd"/>
      <w:r>
        <w:t xml:space="preserve"> </w:t>
      </w:r>
      <w:proofErr w:type="spellStart"/>
      <w:r>
        <w:t>Evol</w:t>
      </w:r>
      <w:proofErr w:type="spellEnd"/>
      <w:r>
        <w:t xml:space="preserve"> 10:1594–605.</w:t>
      </w:r>
    </w:p>
    <w:p w:rsidR="00AB583A" w:rsidRDefault="00AB583A" w:rsidP="00AB583A">
      <w:pPr>
        <w:pStyle w:val="Bibliography"/>
      </w:pPr>
      <w:proofErr w:type="spellStart"/>
      <w:r>
        <w:t>Manlick</w:t>
      </w:r>
      <w:proofErr w:type="spellEnd"/>
      <w:r>
        <w:t xml:space="preserve"> PJ, Cook JA, Newsome SD. 2023. The coupling of green and brown food webs regulates trophic position in a montane mammal guild. Ecology 104. https://onlinelibrary.wiley.com/doi/10.1002/ecy.3949. Last accessed 17/04/2023</w:t>
      </w:r>
    </w:p>
    <w:p w:rsidR="00AB583A" w:rsidRDefault="00AB583A" w:rsidP="00AB583A">
      <w:pPr>
        <w:pStyle w:val="Bibliography"/>
      </w:pPr>
      <w:proofErr w:type="spellStart"/>
      <w:r>
        <w:t>Manlick</w:t>
      </w:r>
      <w:proofErr w:type="spellEnd"/>
      <w:r>
        <w:t xml:space="preserve"> PJ, Newsome SD. 2022. Stable isotope fingerprinting traces essential amino acid assimilation and multichannel feeding in a vertebrate consumer. Methods </w:t>
      </w:r>
      <w:proofErr w:type="spellStart"/>
      <w:r>
        <w:t>Ecol</w:t>
      </w:r>
      <w:proofErr w:type="spellEnd"/>
      <w:r>
        <w:t xml:space="preserve"> Evol:2041-210X.13903.</w:t>
      </w:r>
    </w:p>
    <w:p w:rsidR="00AB583A" w:rsidRDefault="00AB583A" w:rsidP="00AB583A">
      <w:pPr>
        <w:pStyle w:val="Bibliography"/>
      </w:pPr>
      <w:proofErr w:type="spellStart"/>
      <w:r>
        <w:t>McCutchan</w:t>
      </w:r>
      <w:proofErr w:type="spellEnd"/>
      <w:r>
        <w:t xml:space="preserve"> JH, Lewis WM, Kendall C, McGrath CC. 2003. Variation in trophic shift for stable isotope ratios of carbon, nitrogen, and sulfur. Oikos 102:378–90.</w:t>
      </w:r>
    </w:p>
    <w:p w:rsidR="00AB583A" w:rsidRDefault="00AB583A" w:rsidP="00AB583A">
      <w:pPr>
        <w:pStyle w:val="Bibliography"/>
      </w:pPr>
      <w:proofErr w:type="spellStart"/>
      <w:r>
        <w:t>Mumby</w:t>
      </w:r>
      <w:proofErr w:type="spellEnd"/>
      <w:r>
        <w:t xml:space="preserve"> JA, Larocque SM, Johnson TB, Stewart TJ, Fitzsimons JD, </w:t>
      </w:r>
      <w:proofErr w:type="spellStart"/>
      <w:r>
        <w:t>Weidel</w:t>
      </w:r>
      <w:proofErr w:type="spellEnd"/>
      <w:r>
        <w:t xml:space="preserve"> BC, Walsh MG, </w:t>
      </w:r>
      <w:proofErr w:type="spellStart"/>
      <w:r>
        <w:t>Lantry</w:t>
      </w:r>
      <w:proofErr w:type="spellEnd"/>
      <w:r>
        <w:t xml:space="preserve"> JR, Yuille MJ, Fisk AT. 2018. Diet and trophic niche space and overlap of Lake Ontario salmonid species using stable isotopes and stomach contents. J Gt Lakes Res 44:1383–92.</w:t>
      </w:r>
    </w:p>
    <w:p w:rsidR="00AB583A" w:rsidRDefault="00AB583A" w:rsidP="00AB583A">
      <w:pPr>
        <w:pStyle w:val="Bibliography"/>
      </w:pPr>
      <w:r>
        <w:t xml:space="preserve">Newsome SD, Wolf N, Peters J, Fogel ML. 2014. Amino Acid 13C Analysis Shows Flexibility in the Routing of Dietary Protein and Lipids to the Tissue of an Omnivore. </w:t>
      </w:r>
      <w:proofErr w:type="spellStart"/>
      <w:r>
        <w:t>Integr</w:t>
      </w:r>
      <w:proofErr w:type="spellEnd"/>
      <w:r>
        <w:t xml:space="preserve"> Comp Biol 54:890–902.</w:t>
      </w:r>
    </w:p>
    <w:p w:rsidR="00AB583A" w:rsidRDefault="00AB583A" w:rsidP="00AB583A">
      <w:pPr>
        <w:pStyle w:val="Bibliography"/>
      </w:pPr>
      <w:proofErr w:type="spellStart"/>
      <w:r>
        <w:t>Pollierer</w:t>
      </w:r>
      <w:proofErr w:type="spellEnd"/>
      <w:r>
        <w:t xml:space="preserve"> MM, Larsen T, </w:t>
      </w:r>
      <w:proofErr w:type="spellStart"/>
      <w:r>
        <w:t>Potapov</w:t>
      </w:r>
      <w:proofErr w:type="spellEnd"/>
      <w:r>
        <w:t xml:space="preserve"> A, </w:t>
      </w:r>
      <w:proofErr w:type="spellStart"/>
      <w:r>
        <w:t>Brückner</w:t>
      </w:r>
      <w:proofErr w:type="spellEnd"/>
      <w:r>
        <w:t xml:space="preserve"> A, </w:t>
      </w:r>
      <w:proofErr w:type="spellStart"/>
      <w:r>
        <w:t>Heethoff</w:t>
      </w:r>
      <w:proofErr w:type="spellEnd"/>
      <w:r>
        <w:t xml:space="preserve"> M, </w:t>
      </w:r>
      <w:proofErr w:type="spellStart"/>
      <w:r>
        <w:t>Dyckmans</w:t>
      </w:r>
      <w:proofErr w:type="spellEnd"/>
      <w:r>
        <w:t xml:space="preserve"> J, Scheu S. 2019. Compound‐specific isotope analysis of amino acids as a new tool to uncover trophic chains in soil food </w:t>
      </w:r>
      <w:r>
        <w:lastRenderedPageBreak/>
        <w:t xml:space="preserve">webs. </w:t>
      </w:r>
      <w:proofErr w:type="spellStart"/>
      <w:r>
        <w:t>Ecol</w:t>
      </w:r>
      <w:proofErr w:type="spellEnd"/>
      <w:r>
        <w:t xml:space="preserve"> </w:t>
      </w:r>
      <w:proofErr w:type="spellStart"/>
      <w:r>
        <w:t>Monogr</w:t>
      </w:r>
      <w:proofErr w:type="spellEnd"/>
      <w:r>
        <w:t xml:space="preserve"> 89. https://onlinelibrary.wiley.com/doi/abs/10.1002/ecm.1384. Last accessed 28/02/2020</w:t>
      </w:r>
    </w:p>
    <w:p w:rsidR="00AB583A" w:rsidRDefault="00AB583A" w:rsidP="00AB583A">
      <w:pPr>
        <w:pStyle w:val="Bibliography"/>
      </w:pPr>
      <w:r>
        <w:t>Post DM. 2002. USING STABLE ISOTOPES TO ESTIMATE TROPHIC POSITION: MODELS, METHODS, AND ASSUMPTIONS. Ecology 83:703–18.</w:t>
      </w:r>
    </w:p>
    <w:p w:rsidR="00AB583A" w:rsidRDefault="00AB583A" w:rsidP="00AB583A">
      <w:pPr>
        <w:pStyle w:val="Bibliography"/>
      </w:pPr>
      <w:r>
        <w:t xml:space="preserve">Post DM, Layman CA, Arrington DA, </w:t>
      </w:r>
      <w:proofErr w:type="spellStart"/>
      <w:r>
        <w:t>Takimoto</w:t>
      </w:r>
      <w:proofErr w:type="spellEnd"/>
      <w:r>
        <w:t xml:space="preserve"> G, </w:t>
      </w:r>
      <w:proofErr w:type="spellStart"/>
      <w:r>
        <w:t>Quattrochi</w:t>
      </w:r>
      <w:proofErr w:type="spellEnd"/>
      <w:r>
        <w:t xml:space="preserve"> J, Montaña CG. 2007. Getting to the fat of the matter: models, methods and assumptions for dealing with lipids in stable isotope analyses. </w:t>
      </w:r>
      <w:proofErr w:type="spellStart"/>
      <w:r>
        <w:t>Oecologia</w:t>
      </w:r>
      <w:proofErr w:type="spellEnd"/>
      <w:r>
        <w:t xml:space="preserve"> 152:179–89.</w:t>
      </w:r>
    </w:p>
    <w:p w:rsidR="00AB583A" w:rsidRDefault="00AB583A" w:rsidP="00AB583A">
      <w:pPr>
        <w:pStyle w:val="Bibliography"/>
      </w:pPr>
      <w:r>
        <w:t>Robinson AL, Smith EAE, Besser AC, Newsome SD. 2023. Tissue-Specific Carbon Isotope Patterns of Amino Acids in Southern Sea Otters. In Review https://www.researchsquare.com/article/rs-2648511/v1. Last accessed 13/04/2023</w:t>
      </w:r>
    </w:p>
    <w:p w:rsidR="00AB583A" w:rsidRDefault="00AB583A" w:rsidP="00AB583A">
      <w:pPr>
        <w:pStyle w:val="Bibliography"/>
      </w:pPr>
      <w:r w:rsidRPr="00AB583A">
        <w:rPr>
          <w:lang w:val="de-CH"/>
        </w:rPr>
        <w:t xml:space="preserve">Saboret G, Stalder D, Matthews B, Brodersen J, Schubert CJ. 2023. </w:t>
      </w:r>
      <w:r>
        <w:t xml:space="preserve">Autochthonous production sustains food webs in large perialpine lakes, independent of trophic status: Evidence from amino acid stable isotopes. </w:t>
      </w:r>
      <w:proofErr w:type="spellStart"/>
      <w:r>
        <w:t>Freshw</w:t>
      </w:r>
      <w:proofErr w:type="spellEnd"/>
      <w:r>
        <w:t xml:space="preserve"> Biol 68:870–87.</w:t>
      </w:r>
    </w:p>
    <w:p w:rsidR="00AB583A" w:rsidRDefault="00AB583A" w:rsidP="00AB583A">
      <w:pPr>
        <w:pStyle w:val="Bibliography"/>
      </w:pPr>
      <w:r>
        <w:t xml:space="preserve">Semmens BX, Ward EJ, Moore JW, </w:t>
      </w:r>
      <w:proofErr w:type="spellStart"/>
      <w:r>
        <w:t>Darimont</w:t>
      </w:r>
      <w:proofErr w:type="spellEnd"/>
      <w:r>
        <w:t xml:space="preserve"> CT. 2009. Quantifying Inter- and Intra-Population Niche Variability Using Hierarchical Bayesian Stable Isotope Mixing Models. Getz WM, editor. </w:t>
      </w:r>
      <w:proofErr w:type="spellStart"/>
      <w:r>
        <w:t>PLoS</w:t>
      </w:r>
      <w:proofErr w:type="spellEnd"/>
      <w:r>
        <w:t xml:space="preserve"> ONE </w:t>
      </w:r>
      <w:proofErr w:type="gramStart"/>
      <w:r>
        <w:t>4:e</w:t>
      </w:r>
      <w:proofErr w:type="gramEnd"/>
      <w:r>
        <w:t>6187.</w:t>
      </w:r>
    </w:p>
    <w:p w:rsidR="00AB583A" w:rsidRDefault="00AB583A" w:rsidP="00AB583A">
      <w:pPr>
        <w:pStyle w:val="Bibliography"/>
      </w:pPr>
      <w:r>
        <w:t xml:space="preserve">Stahl AR, Rynearson TA, McMahon KW. 2023. Amino acid carbon isotope fingerprints are unique among eukaryotic microalgal taxonomic groups. </w:t>
      </w:r>
      <w:proofErr w:type="spellStart"/>
      <w:r>
        <w:t>Limnol</w:t>
      </w:r>
      <w:proofErr w:type="spellEnd"/>
      <w:r>
        <w:t xml:space="preserve"> </w:t>
      </w:r>
      <w:proofErr w:type="gramStart"/>
      <w:r>
        <w:t>Oceanogr:lno</w:t>
      </w:r>
      <w:proofErr w:type="gramEnd"/>
      <w:r>
        <w:t>.12350.</w:t>
      </w:r>
    </w:p>
    <w:p w:rsidR="00AB583A" w:rsidRDefault="00AB583A" w:rsidP="00AB583A">
      <w:pPr>
        <w:pStyle w:val="Bibliography"/>
      </w:pPr>
      <w:r>
        <w:t>Stock B, Semmens B, Ward E, Parnell A, Jackson A, Phillips D. 2018. Package ‘</w:t>
      </w:r>
      <w:proofErr w:type="spellStart"/>
      <w:r>
        <w:t>MixSIAR</w:t>
      </w:r>
      <w:proofErr w:type="spellEnd"/>
      <w:r>
        <w:t>’. Bayesian Mix Model R Version 3.</w:t>
      </w:r>
    </w:p>
    <w:p w:rsidR="00AB583A" w:rsidRDefault="00AB583A" w:rsidP="00AB583A">
      <w:pPr>
        <w:pStyle w:val="Bibliography"/>
      </w:pPr>
      <w:r>
        <w:t xml:space="preserve">Takatsu K, Delarue C, Heller N, Saboret G, Brodersen J. 2022. Relationships between egg size and maternal size, life history forms, and habitats of Greenlandic Arctic </w:t>
      </w:r>
      <w:proofErr w:type="spellStart"/>
      <w:r>
        <w:t>charr</w:t>
      </w:r>
      <w:proofErr w:type="spellEnd"/>
      <w:r>
        <w:t xml:space="preserve"> (Salvelinus </w:t>
      </w:r>
      <w:proofErr w:type="spellStart"/>
      <w:r>
        <w:t>alpinus</w:t>
      </w:r>
      <w:proofErr w:type="spellEnd"/>
      <w:r>
        <w:t xml:space="preserve">). </w:t>
      </w:r>
      <w:r>
        <w:lastRenderedPageBreak/>
        <w:t>Environ Biol Fishes. https://link.springer.com/10.1007/s10641-022-01374-x. Last accessed 09/01/2023</w:t>
      </w:r>
    </w:p>
    <w:p w:rsidR="00AB583A" w:rsidRDefault="00AB583A" w:rsidP="00AB583A">
      <w:pPr>
        <w:pStyle w:val="Bibliography"/>
      </w:pPr>
      <w:proofErr w:type="spellStart"/>
      <w:r>
        <w:t>Vizza</w:t>
      </w:r>
      <w:proofErr w:type="spellEnd"/>
      <w:r>
        <w:t xml:space="preserve"> C, Sanderson BL, Burrows DG, Coe HJ. 2013. The Effects of Ethanol Preservation on Fish Fin Stable Isotopes: Does Variation in </w:t>
      </w:r>
      <w:proofErr w:type="gramStart"/>
      <w:r>
        <w:t>C:N</w:t>
      </w:r>
      <w:proofErr w:type="gramEnd"/>
      <w:r>
        <w:t xml:space="preserve"> Ratio and Body Size Matter? Trans Am Fish Soc 142:1469–76.</w:t>
      </w:r>
    </w:p>
    <w:p w:rsidR="00AB583A" w:rsidRDefault="00AB583A" w:rsidP="00AB583A">
      <w:pPr>
        <w:pStyle w:val="Bibliography"/>
      </w:pPr>
      <w:r>
        <w:t>Whiteman J, Elliott Smith E, Besser A, Newsome S. 2019. A Guide to Using Compound-Specific Stable Isotope Analysis to Study the Fates of Molecules in Organisms and Ecosystems. Diversity 11:8.</w:t>
      </w:r>
    </w:p>
    <w:p w:rsidR="00AB583A" w:rsidRDefault="00AB583A" w:rsidP="00AB583A">
      <w:pPr>
        <w:pStyle w:val="Bibliography"/>
      </w:pPr>
      <w:proofErr w:type="spellStart"/>
      <w:r>
        <w:t>Yeghicheyan</w:t>
      </w:r>
      <w:proofErr w:type="spellEnd"/>
      <w:r>
        <w:t xml:space="preserve"> D, Aubert D, </w:t>
      </w:r>
      <w:proofErr w:type="spellStart"/>
      <w:r>
        <w:t>Bouhnik</w:t>
      </w:r>
      <w:proofErr w:type="spellEnd"/>
      <w:r>
        <w:t xml:space="preserve">‐le Coz M, </w:t>
      </w:r>
      <w:proofErr w:type="spellStart"/>
      <w:r>
        <w:t>Chmeleff</w:t>
      </w:r>
      <w:proofErr w:type="spellEnd"/>
      <w:r>
        <w:t xml:space="preserve"> J, </w:t>
      </w:r>
      <w:proofErr w:type="spellStart"/>
      <w:r>
        <w:t>Delpoux</w:t>
      </w:r>
      <w:proofErr w:type="spellEnd"/>
      <w:r>
        <w:t xml:space="preserve"> S, </w:t>
      </w:r>
      <w:proofErr w:type="spellStart"/>
      <w:r>
        <w:t>Djouraev</w:t>
      </w:r>
      <w:proofErr w:type="spellEnd"/>
      <w:r>
        <w:t xml:space="preserve"> I, </w:t>
      </w:r>
      <w:proofErr w:type="spellStart"/>
      <w:r>
        <w:t>Granier</w:t>
      </w:r>
      <w:proofErr w:type="spellEnd"/>
      <w:r>
        <w:t xml:space="preserve"> G, Lacan F, </w:t>
      </w:r>
      <w:proofErr w:type="spellStart"/>
      <w:r>
        <w:t>Piro</w:t>
      </w:r>
      <w:proofErr w:type="spellEnd"/>
      <w:r>
        <w:t xml:space="preserve"> J-L, Rousseau T. 2019. A new interlaboratory </w:t>
      </w:r>
      <w:proofErr w:type="spellStart"/>
      <w:r>
        <w:t>characterisation</w:t>
      </w:r>
      <w:proofErr w:type="spellEnd"/>
      <w:r>
        <w:t xml:space="preserve"> of silicon, rare earth elements and twenty‐two other trace element concentrations in the natural river water certified reference material SLRS‐6 (NRC‐CNRC). </w:t>
      </w:r>
      <w:proofErr w:type="spellStart"/>
      <w:r>
        <w:t>Geostand</w:t>
      </w:r>
      <w:proofErr w:type="spellEnd"/>
      <w:r>
        <w:t xml:space="preserve"> </w:t>
      </w:r>
      <w:proofErr w:type="spellStart"/>
      <w:r>
        <w:t>Geoanalytical</w:t>
      </w:r>
      <w:proofErr w:type="spellEnd"/>
      <w:r>
        <w:t xml:space="preserve"> Res 43:475–96.</w:t>
      </w:r>
    </w:p>
    <w:p w:rsidR="00886869" w:rsidRDefault="008B0618">
      <w:pPr>
        <w:widowControl w:val="0"/>
        <w:pBdr>
          <w:top w:val="nil"/>
          <w:left w:val="nil"/>
          <w:bottom w:val="nil"/>
          <w:right w:val="nil"/>
          <w:between w:val="nil"/>
        </w:pBdr>
        <w:spacing w:after="0" w:line="480" w:lineRule="auto"/>
        <w:ind w:left="720" w:hanging="720"/>
      </w:pPr>
      <w:r>
        <w:fldChar w:fldCharType="end"/>
      </w:r>
    </w:p>
    <w:p w:rsidR="00886869" w:rsidRDefault="00886869">
      <w:pPr>
        <w:widowControl w:val="0"/>
        <w:pBdr>
          <w:top w:val="nil"/>
          <w:left w:val="nil"/>
          <w:bottom w:val="nil"/>
          <w:right w:val="nil"/>
          <w:between w:val="nil"/>
        </w:pBdr>
        <w:spacing w:after="0" w:line="276" w:lineRule="auto"/>
        <w:rPr>
          <w:rFonts w:ascii="Avenir" w:eastAsia="Avenir" w:hAnsi="Avenir" w:cs="Avenir"/>
          <w:b/>
        </w:rPr>
      </w:pPr>
    </w:p>
    <w:p w:rsidR="00886869" w:rsidRDefault="00886869">
      <w:pPr>
        <w:widowControl w:val="0"/>
        <w:pBdr>
          <w:top w:val="nil"/>
          <w:left w:val="nil"/>
          <w:bottom w:val="nil"/>
          <w:right w:val="nil"/>
          <w:between w:val="nil"/>
        </w:pBdr>
        <w:spacing w:after="0" w:line="276" w:lineRule="auto"/>
        <w:rPr>
          <w:rFonts w:ascii="Avenir" w:eastAsia="Avenir" w:hAnsi="Avenir" w:cs="Avenir"/>
          <w:b/>
        </w:rPr>
      </w:pPr>
    </w:p>
    <w:sectPr w:rsidR="00886869">
      <w:footerReference w:type="default" r:id="rId20"/>
      <w:pgSz w:w="11906" w:h="16838"/>
      <w:pgMar w:top="1417" w:right="1417" w:bottom="1134" w:left="1417" w:header="708" w:footer="708"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6A3C" w:rsidRDefault="00D46A3C">
      <w:pPr>
        <w:spacing w:after="0" w:line="240" w:lineRule="auto"/>
      </w:pPr>
      <w:r>
        <w:separator/>
      </w:r>
    </w:p>
  </w:endnote>
  <w:endnote w:type="continuationSeparator" w:id="0">
    <w:p w:rsidR="00D46A3C" w:rsidRDefault="00D46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w:altName w:val="Calibri"/>
    <w:charset w:val="00"/>
    <w:family w:val="auto"/>
    <w:pitch w:val="default"/>
  </w:font>
  <w:font w:name="Roboto">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869" w:rsidRDefault="005943EF">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B0618">
      <w:rPr>
        <w:noProof/>
        <w:color w:val="000000"/>
      </w:rPr>
      <w:t>1</w:t>
    </w:r>
    <w:r>
      <w:rPr>
        <w:color w:val="000000"/>
      </w:rPr>
      <w:fldChar w:fldCharType="end"/>
    </w:r>
  </w:p>
  <w:p w:rsidR="00886869" w:rsidRDefault="00886869">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6A3C" w:rsidRDefault="00D46A3C">
      <w:pPr>
        <w:spacing w:after="0" w:line="240" w:lineRule="auto"/>
      </w:pPr>
      <w:r>
        <w:separator/>
      </w:r>
    </w:p>
  </w:footnote>
  <w:footnote w:type="continuationSeparator" w:id="0">
    <w:p w:rsidR="00D46A3C" w:rsidRDefault="00D46A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751CFD"/>
    <w:multiLevelType w:val="multilevel"/>
    <w:tmpl w:val="A28661AA"/>
    <w:lvl w:ilvl="0">
      <w:numFmt w:val="bullet"/>
      <w:lvlText w:val="-"/>
      <w:lvlJc w:val="left"/>
      <w:pPr>
        <w:ind w:left="720" w:hanging="360"/>
      </w:pPr>
      <w:rPr>
        <w:rFonts w:ascii="Calibri" w:eastAsia="Calibri" w:hAnsi="Calibri" w:cs="Calibri"/>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869"/>
    <w:rsid w:val="00110A1D"/>
    <w:rsid w:val="005943EF"/>
    <w:rsid w:val="00886869"/>
    <w:rsid w:val="008B0618"/>
    <w:rsid w:val="00AB583A"/>
    <w:rsid w:val="00D46A3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0AFD4"/>
  <w15:docId w15:val="{F7A39FCE-004F-4637-A348-D5BE63A73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de-CH"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LineNumber">
    <w:name w:val="line number"/>
    <w:basedOn w:val="DefaultParagraphFont"/>
    <w:uiPriority w:val="99"/>
    <w:semiHidden/>
    <w:unhideWhenUsed/>
    <w:rsid w:val="008B0618"/>
  </w:style>
  <w:style w:type="paragraph" w:styleId="Bibliography">
    <w:name w:val="Bibliography"/>
    <w:basedOn w:val="Normal"/>
    <w:next w:val="Normal"/>
    <w:uiPriority w:val="37"/>
    <w:unhideWhenUsed/>
    <w:rsid w:val="008B0618"/>
    <w:pPr>
      <w:spacing w:after="24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12091</Words>
  <Characters>76175</Characters>
  <Application>Microsoft Office Word</Application>
  <DocSecurity>0</DocSecurity>
  <Lines>634</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Saboret, Grégoire</dc:creator>
  <cp:lastModifiedBy>Saboret, Grégoire</cp:lastModifiedBy>
  <cp:revision>3</cp:revision>
  <dcterms:created xsi:type="dcterms:W3CDTF">2024-05-19T16:04:00Z</dcterms:created>
  <dcterms:modified xsi:type="dcterms:W3CDTF">2024-05-19T16:04:00Z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id="zkv17BnY"/&gt;&lt;style id="http://www.zotero.org/styles/ecosystems" hasBibliography="1" bibliographyStyleHasBeenSet="1"/&gt;&lt;prefs&gt;&lt;pref name="fieldType" value="Field"/&gt;&lt;pref name="automaticJournalAbbrev</vt:lpwstr>
  </property>
  <property fmtid="{D5CDD505-2E9C-101B-9397-08002B2CF9AE}" pid="3" name="ZOTERO_PREF_2">
    <vt:lpwstr>iations" value="true"/&gt;&lt;/prefs&gt;&lt;/data&gt;</vt:lpwstr>
  </property>
</Properties>
</file>