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C5E88" w14:textId="77777777" w:rsidR="001D68B7" w:rsidRPr="00226FB9" w:rsidRDefault="001D68B7" w:rsidP="001D68B7">
      <w:pPr>
        <w:pStyle w:val="BodyA"/>
        <w:rPr>
          <w:rStyle w:val="None"/>
          <w:rFonts w:ascii="Times New Roman" w:hAnsi="Times New Roman" w:cs="Times New Roman"/>
          <w:sz w:val="24"/>
          <w:szCs w:val="24"/>
          <w:lang w:val="en-US"/>
        </w:rPr>
      </w:pPr>
      <w:bookmarkStart w:id="0" w:name="_GoBack"/>
      <w:r w:rsidRPr="00226FB9">
        <w:rPr>
          <w:rStyle w:val="None"/>
          <w:rFonts w:ascii="Times New Roman" w:hAnsi="Times New Roman" w:cs="Times New Roman"/>
          <w:sz w:val="24"/>
          <w:szCs w:val="24"/>
          <w:lang w:val="en-US"/>
        </w:rPr>
        <w:t>Appendix A. Step-by-step description open inguinal hernia repair</w:t>
      </w:r>
    </w:p>
    <w:tbl>
      <w:tblPr>
        <w:tblW w:w="9498"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903"/>
        <w:gridCol w:w="1228"/>
        <w:gridCol w:w="945"/>
        <w:gridCol w:w="5422"/>
      </w:tblGrid>
      <w:tr w:rsidR="001D68B7" w:rsidRPr="00226FB9" w14:paraId="58B213DD" w14:textId="77777777" w:rsidTr="00304757">
        <w:trPr>
          <w:trHeight w:val="363"/>
        </w:trPr>
        <w:tc>
          <w:tcPr>
            <w:tcW w:w="1903" w:type="dxa"/>
            <w:tcBorders>
              <w:top w:val="single" w:sz="6" w:space="0" w:color="000000"/>
              <w:left w:val="single" w:sz="6" w:space="0" w:color="000000"/>
              <w:bottom w:val="single" w:sz="4" w:space="0" w:color="auto"/>
              <w:right w:val="single" w:sz="8" w:space="0" w:color="CCCCCC"/>
            </w:tcBorders>
            <w:shd w:val="clear" w:color="auto" w:fill="auto"/>
            <w:tcMar>
              <w:top w:w="80" w:type="dxa"/>
              <w:left w:w="80" w:type="dxa"/>
              <w:bottom w:w="80" w:type="dxa"/>
              <w:right w:w="80" w:type="dxa"/>
            </w:tcMar>
            <w:vAlign w:val="center"/>
          </w:tcPr>
          <w:bookmarkEnd w:id="0"/>
          <w:p w14:paraId="429359AD"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b/>
                <w:bCs/>
                <w:sz w:val="14"/>
                <w:szCs w:val="14"/>
                <w:lang w:val="en-US"/>
              </w:rPr>
              <w:t>Step</w:t>
            </w:r>
          </w:p>
        </w:tc>
        <w:tc>
          <w:tcPr>
            <w:tcW w:w="1228" w:type="dxa"/>
            <w:tcBorders>
              <w:top w:val="single" w:sz="6" w:space="0" w:color="000000"/>
              <w:left w:val="single" w:sz="8" w:space="0" w:color="CCCCCC"/>
              <w:bottom w:val="single" w:sz="4" w:space="0" w:color="auto"/>
              <w:right w:val="single" w:sz="8" w:space="0" w:color="CCCCCC"/>
            </w:tcBorders>
            <w:shd w:val="clear" w:color="auto" w:fill="auto"/>
            <w:tcMar>
              <w:top w:w="80" w:type="dxa"/>
              <w:left w:w="80" w:type="dxa"/>
              <w:bottom w:w="80" w:type="dxa"/>
              <w:right w:w="80" w:type="dxa"/>
            </w:tcMar>
            <w:vAlign w:val="center"/>
          </w:tcPr>
          <w:p w14:paraId="29E42C9F"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b/>
                <w:bCs/>
                <w:sz w:val="14"/>
                <w:szCs w:val="14"/>
                <w:lang w:val="en-US"/>
              </w:rPr>
              <w:t>Substep (structure)</w:t>
            </w:r>
          </w:p>
        </w:tc>
        <w:tc>
          <w:tcPr>
            <w:tcW w:w="945" w:type="dxa"/>
            <w:tcBorders>
              <w:top w:val="single" w:sz="6" w:space="0" w:color="000000"/>
              <w:left w:val="single" w:sz="8" w:space="0" w:color="CCCCCC"/>
              <w:bottom w:val="single" w:sz="4" w:space="0" w:color="auto"/>
              <w:right w:val="single" w:sz="8" w:space="0" w:color="CCCCCC"/>
            </w:tcBorders>
            <w:shd w:val="clear" w:color="auto" w:fill="auto"/>
            <w:tcMar>
              <w:top w:w="80" w:type="dxa"/>
              <w:left w:w="80" w:type="dxa"/>
              <w:bottom w:w="80" w:type="dxa"/>
              <w:right w:w="80" w:type="dxa"/>
            </w:tcMar>
            <w:vAlign w:val="center"/>
          </w:tcPr>
          <w:p w14:paraId="3190A362"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b/>
                <w:bCs/>
                <w:sz w:val="14"/>
                <w:szCs w:val="14"/>
                <w:lang w:val="en-US"/>
              </w:rPr>
              <w:t>Action</w:t>
            </w:r>
          </w:p>
        </w:tc>
        <w:tc>
          <w:tcPr>
            <w:tcW w:w="5422" w:type="dxa"/>
            <w:tcBorders>
              <w:top w:val="single" w:sz="6" w:space="0" w:color="000000"/>
              <w:left w:val="single" w:sz="8" w:space="0" w:color="CCCCCC"/>
              <w:bottom w:val="single" w:sz="4" w:space="0" w:color="auto"/>
              <w:right w:val="single" w:sz="6" w:space="0" w:color="000000"/>
            </w:tcBorders>
            <w:shd w:val="clear" w:color="auto" w:fill="auto"/>
            <w:tcMar>
              <w:top w:w="80" w:type="dxa"/>
              <w:left w:w="80" w:type="dxa"/>
              <w:bottom w:w="80" w:type="dxa"/>
              <w:right w:w="80" w:type="dxa"/>
            </w:tcMar>
            <w:vAlign w:val="center"/>
          </w:tcPr>
          <w:p w14:paraId="14D8B55B"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b/>
                <w:bCs/>
                <w:sz w:val="14"/>
                <w:szCs w:val="14"/>
                <w:lang w:val="en-US"/>
              </w:rPr>
              <w:t>Specification</w:t>
            </w:r>
          </w:p>
        </w:tc>
      </w:tr>
      <w:tr w:rsidR="001D68B7" w:rsidRPr="00760A18" w14:paraId="300F8C6C" w14:textId="77777777" w:rsidTr="00304757">
        <w:trPr>
          <w:trHeight w:val="383"/>
        </w:trPr>
        <w:tc>
          <w:tcPr>
            <w:tcW w:w="1903" w:type="dxa"/>
            <w:tcBorders>
              <w:top w:val="single" w:sz="4" w:space="0" w:color="auto"/>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42B0DAC7" w14:textId="77777777" w:rsidR="001D68B7" w:rsidRPr="00226FB9" w:rsidRDefault="001D68B7" w:rsidP="00304757">
            <w:pPr>
              <w:pStyle w:val="TableStyle2A"/>
              <w:spacing w:line="288" w:lineRule="auto"/>
              <w:rPr>
                <w:rStyle w:val="None"/>
                <w:rFonts w:ascii="Times New Roman" w:hAnsi="Times New Roman" w:cs="Times New Roman"/>
                <w:sz w:val="14"/>
                <w:szCs w:val="14"/>
                <w:lang w:val="en-US"/>
              </w:rPr>
            </w:pPr>
            <w:r w:rsidRPr="00226FB9">
              <w:rPr>
                <w:rStyle w:val="None"/>
                <w:rFonts w:ascii="Times New Roman" w:hAnsi="Times New Roman" w:cs="Times New Roman"/>
                <w:sz w:val="14"/>
                <w:szCs w:val="14"/>
                <w:lang w:val="en-US"/>
              </w:rPr>
              <w:t>1. External oblique aponeurosis exposure</w:t>
            </w:r>
          </w:p>
        </w:tc>
        <w:tc>
          <w:tcPr>
            <w:tcW w:w="1228" w:type="dxa"/>
            <w:tcBorders>
              <w:top w:val="single" w:sz="4" w:space="0" w:color="auto"/>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15C5E7CD" w14:textId="77777777" w:rsidR="001D68B7" w:rsidRPr="00226FB9" w:rsidRDefault="001D68B7" w:rsidP="00304757">
            <w:pPr>
              <w:rPr>
                <w:rStyle w:val="None"/>
                <w:sz w:val="14"/>
                <w:szCs w:val="14"/>
                <w:lang w:val="en-US"/>
              </w:rPr>
            </w:pPr>
            <w:r w:rsidRPr="00226FB9">
              <w:rPr>
                <w:rStyle w:val="None"/>
                <w:sz w:val="14"/>
                <w:szCs w:val="14"/>
                <w:lang w:val="en-US"/>
              </w:rPr>
              <w:t>Skin</w:t>
            </w:r>
          </w:p>
        </w:tc>
        <w:tc>
          <w:tcPr>
            <w:tcW w:w="945" w:type="dxa"/>
            <w:tcBorders>
              <w:top w:val="single" w:sz="4" w:space="0" w:color="auto"/>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645A5F57" w14:textId="77777777" w:rsidR="001D68B7" w:rsidRPr="00226FB9" w:rsidRDefault="001D68B7" w:rsidP="00304757">
            <w:pPr>
              <w:pStyle w:val="TableStyle2A"/>
              <w:spacing w:line="288" w:lineRule="auto"/>
              <w:rPr>
                <w:rStyle w:val="None"/>
                <w:rFonts w:ascii="Times New Roman" w:hAnsi="Times New Roman" w:cs="Times New Roman"/>
                <w:sz w:val="14"/>
                <w:szCs w:val="14"/>
                <w:lang w:val="en-US"/>
              </w:rPr>
            </w:pPr>
            <w:r w:rsidRPr="00226FB9">
              <w:rPr>
                <w:rStyle w:val="None"/>
                <w:rFonts w:ascii="Times New Roman" w:hAnsi="Times New Roman" w:cs="Times New Roman"/>
                <w:sz w:val="14"/>
                <w:szCs w:val="14"/>
                <w:lang w:val="en-US"/>
              </w:rPr>
              <w:t>Incise</w:t>
            </w:r>
          </w:p>
        </w:tc>
        <w:tc>
          <w:tcPr>
            <w:tcW w:w="5422" w:type="dxa"/>
            <w:tcBorders>
              <w:top w:val="single" w:sz="4" w:space="0" w:color="auto"/>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7A086B76" w14:textId="77777777" w:rsidR="001D68B7" w:rsidRPr="00226FB9" w:rsidRDefault="001D68B7" w:rsidP="00304757">
            <w:pPr>
              <w:pStyle w:val="TableStyle2A"/>
              <w:spacing w:line="288" w:lineRule="auto"/>
              <w:rPr>
                <w:rStyle w:val="None"/>
                <w:rFonts w:ascii="Times New Roman" w:hAnsi="Times New Roman" w:cs="Times New Roman"/>
                <w:sz w:val="14"/>
                <w:szCs w:val="14"/>
                <w:lang w:val="en-US"/>
              </w:rPr>
            </w:pPr>
            <w:r w:rsidRPr="00226FB9">
              <w:rPr>
                <w:rStyle w:val="None"/>
                <w:rFonts w:ascii="Times New Roman" w:hAnsi="Times New Roman" w:cs="Times New Roman"/>
                <w:sz w:val="14"/>
                <w:szCs w:val="14"/>
                <w:lang w:val="en-US"/>
              </w:rPr>
              <w:t>Incise the skin for a length of approximately 5 cm in the line between anterior superior iliac spine to the pubic tubercle.</w:t>
            </w:r>
          </w:p>
        </w:tc>
      </w:tr>
      <w:tr w:rsidR="001D68B7" w:rsidRPr="00760A18" w14:paraId="382DAAF8" w14:textId="77777777" w:rsidTr="00304757">
        <w:trPr>
          <w:trHeight w:val="370"/>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5F8ADD21"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6D522948"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Subcutaneous tissue</w:t>
            </w: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4069763"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Incise</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0BEA578E"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Incise the subcutaneous tissue until Scarpa’s fascia is reached.</w:t>
            </w:r>
          </w:p>
        </w:tc>
      </w:tr>
      <w:tr w:rsidR="001D68B7" w:rsidRPr="00760A18" w14:paraId="0C211AE8" w14:textId="77777777" w:rsidTr="00304757">
        <w:trPr>
          <w:trHeight w:val="550"/>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4B04B167"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E1696EF"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13A9127D" w14:textId="77777777" w:rsidR="001D68B7" w:rsidRPr="00226FB9" w:rsidRDefault="001D68B7" w:rsidP="00304757">
            <w:pPr>
              <w:rPr>
                <w:lang w:val="en-US"/>
              </w:rPr>
            </w:pP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5836F9B5" w14:textId="77777777" w:rsidR="001D68B7" w:rsidRPr="00226FB9" w:rsidRDefault="001D68B7" w:rsidP="00304757">
            <w:pPr>
              <w:pStyle w:val="TableStyle2A"/>
              <w:spacing w:line="288" w:lineRule="auto"/>
              <w:rPr>
                <w:rStyle w:val="None"/>
                <w:rFonts w:ascii="Times New Roman" w:eastAsia="Times New Roman" w:hAnsi="Times New Roman" w:cs="Times New Roman"/>
                <w:lang w:val="en-US"/>
              </w:rPr>
            </w:pPr>
            <w:r w:rsidRPr="00226FB9">
              <w:rPr>
                <w:rStyle w:val="None"/>
                <w:rFonts w:ascii="Times New Roman" w:hAnsi="Times New Roman" w:cs="Times New Roman"/>
                <w:sz w:val="14"/>
                <w:szCs w:val="14"/>
                <w:lang w:val="en-US"/>
              </w:rPr>
              <w:t>HAZARD Superficial epigastric vessels damage</w:t>
            </w:r>
          </w:p>
          <w:p w14:paraId="50168CB7"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 xml:space="preserve">During the incision of the subcutaneous tissue caution should be taken for the superficial epigastric vessels. </w:t>
            </w:r>
          </w:p>
        </w:tc>
      </w:tr>
      <w:tr w:rsidR="001D68B7" w:rsidRPr="00760A18" w14:paraId="6FF9E6F6" w14:textId="77777777" w:rsidTr="00304757">
        <w:trPr>
          <w:trHeight w:val="383"/>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6D11E243"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62221614" w14:textId="77777777" w:rsidR="001D68B7" w:rsidRPr="00226FB9" w:rsidRDefault="001D68B7" w:rsidP="00304757">
            <w:pPr>
              <w:pStyle w:val="TableStyle2A"/>
              <w:spacing w:line="288" w:lineRule="auto"/>
              <w:rPr>
                <w:rStyle w:val="None"/>
                <w:rFonts w:ascii="Times New Roman" w:hAnsi="Times New Roman" w:cs="Times New Roman"/>
                <w:sz w:val="14"/>
                <w:szCs w:val="14"/>
                <w:lang w:val="en-US"/>
              </w:rPr>
            </w:pPr>
            <w:r w:rsidRPr="00226FB9">
              <w:rPr>
                <w:rStyle w:val="None"/>
                <w:rFonts w:ascii="Times New Roman" w:hAnsi="Times New Roman" w:cs="Times New Roman"/>
                <w:sz w:val="14"/>
                <w:szCs w:val="14"/>
                <w:lang w:val="en-US"/>
              </w:rPr>
              <w:t>Superficial epigastric vessels</w:t>
            </w: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50B5F347" w14:textId="77777777" w:rsidR="001D68B7" w:rsidRPr="00226FB9" w:rsidRDefault="001D68B7" w:rsidP="00304757">
            <w:pPr>
              <w:pStyle w:val="TableStyle2A"/>
              <w:spacing w:line="288" w:lineRule="auto"/>
              <w:rPr>
                <w:rStyle w:val="None"/>
                <w:rFonts w:ascii="Times New Roman" w:hAnsi="Times New Roman" w:cs="Times New Roman"/>
                <w:sz w:val="14"/>
                <w:szCs w:val="14"/>
                <w:lang w:val="en-US"/>
              </w:rPr>
            </w:pPr>
            <w:r w:rsidRPr="00226FB9">
              <w:rPr>
                <w:rStyle w:val="None"/>
                <w:rFonts w:ascii="Times New Roman" w:hAnsi="Times New Roman" w:cs="Times New Roman"/>
                <w:sz w:val="14"/>
                <w:szCs w:val="14"/>
                <w:lang w:val="en-US"/>
              </w:rPr>
              <w:t>Transect</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6F42C7DA" w14:textId="77777777" w:rsidR="001D68B7" w:rsidRPr="00226FB9" w:rsidRDefault="001D68B7" w:rsidP="00304757">
            <w:pPr>
              <w:pStyle w:val="TableStyle2A"/>
              <w:spacing w:line="288" w:lineRule="auto"/>
              <w:rPr>
                <w:rStyle w:val="None"/>
                <w:rFonts w:ascii="Times New Roman" w:hAnsi="Times New Roman" w:cs="Times New Roman"/>
                <w:sz w:val="14"/>
                <w:szCs w:val="14"/>
                <w:lang w:val="en-US"/>
              </w:rPr>
            </w:pPr>
            <w:r w:rsidRPr="00226FB9">
              <w:rPr>
                <w:rStyle w:val="None"/>
                <w:rFonts w:ascii="Times New Roman" w:hAnsi="Times New Roman" w:cs="Times New Roman"/>
                <w:sz w:val="14"/>
                <w:szCs w:val="14"/>
                <w:lang w:val="en-US"/>
              </w:rPr>
              <w:t>Transect the superficial epigastric vessels in order to prevent postoperative hemorrhage.</w:t>
            </w:r>
          </w:p>
        </w:tc>
      </w:tr>
      <w:tr w:rsidR="001D68B7" w:rsidRPr="00760A18" w14:paraId="3FAF4A5B" w14:textId="77777777" w:rsidTr="00304757">
        <w:trPr>
          <w:trHeight w:val="383"/>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611E5371"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6373FB6D"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Scarpa's fascia</w:t>
            </w: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73817B95"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Incise</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496EEE0D"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Incise Scarpa’s fascia to expose the fat tissue overlying the external oblique aponeurosis.</w:t>
            </w:r>
          </w:p>
        </w:tc>
      </w:tr>
      <w:tr w:rsidR="001D68B7" w:rsidRPr="00760A18" w14:paraId="3EE98E34" w14:textId="77777777" w:rsidTr="00304757">
        <w:trPr>
          <w:trHeight w:val="380"/>
        </w:trPr>
        <w:tc>
          <w:tcPr>
            <w:tcW w:w="1903" w:type="dxa"/>
            <w:tcBorders>
              <w:top w:val="single" w:sz="8" w:space="0" w:color="CCCCCC"/>
              <w:left w:val="single" w:sz="6" w:space="0" w:color="000000"/>
              <w:bottom w:val="single" w:sz="6" w:space="0" w:color="000000"/>
              <w:right w:val="single" w:sz="8" w:space="0" w:color="CCCCCC"/>
            </w:tcBorders>
            <w:shd w:val="clear" w:color="auto" w:fill="auto"/>
            <w:tcMar>
              <w:top w:w="80" w:type="dxa"/>
              <w:left w:w="80" w:type="dxa"/>
              <w:bottom w:w="80" w:type="dxa"/>
              <w:right w:w="80" w:type="dxa"/>
            </w:tcMar>
            <w:vAlign w:val="center"/>
          </w:tcPr>
          <w:p w14:paraId="42C45289" w14:textId="77777777" w:rsidR="001D68B7" w:rsidRPr="00226FB9" w:rsidRDefault="001D68B7" w:rsidP="00304757">
            <w:pPr>
              <w:rPr>
                <w:lang w:val="en-US"/>
              </w:rPr>
            </w:pPr>
          </w:p>
        </w:tc>
        <w:tc>
          <w:tcPr>
            <w:tcW w:w="1228" w:type="dxa"/>
            <w:tcBorders>
              <w:top w:val="single" w:sz="8" w:space="0" w:color="CCCCCC"/>
              <w:left w:val="single" w:sz="8" w:space="0" w:color="CCCCCC"/>
              <w:bottom w:val="single" w:sz="6" w:space="0" w:color="000000"/>
              <w:right w:val="single" w:sz="8" w:space="0" w:color="CCCCCC"/>
            </w:tcBorders>
            <w:shd w:val="clear" w:color="auto" w:fill="auto"/>
            <w:tcMar>
              <w:top w:w="80" w:type="dxa"/>
              <w:left w:w="80" w:type="dxa"/>
              <w:bottom w:w="80" w:type="dxa"/>
              <w:right w:w="80" w:type="dxa"/>
            </w:tcMar>
            <w:vAlign w:val="center"/>
          </w:tcPr>
          <w:p w14:paraId="009F2492"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Subcutaneous tissue</w:t>
            </w:r>
          </w:p>
        </w:tc>
        <w:tc>
          <w:tcPr>
            <w:tcW w:w="945" w:type="dxa"/>
            <w:tcBorders>
              <w:top w:val="single" w:sz="8" w:space="0" w:color="CCCCCC"/>
              <w:left w:val="single" w:sz="8" w:space="0" w:color="CCCCCC"/>
              <w:bottom w:val="single" w:sz="6" w:space="0" w:color="000000"/>
              <w:right w:val="single" w:sz="8" w:space="0" w:color="CCCCCC"/>
            </w:tcBorders>
            <w:shd w:val="clear" w:color="auto" w:fill="auto"/>
            <w:tcMar>
              <w:top w:w="80" w:type="dxa"/>
              <w:left w:w="80" w:type="dxa"/>
              <w:bottom w:w="80" w:type="dxa"/>
              <w:right w:w="80" w:type="dxa"/>
            </w:tcMar>
            <w:vAlign w:val="center"/>
          </w:tcPr>
          <w:p w14:paraId="744A9D7F"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Incise</w:t>
            </w:r>
          </w:p>
        </w:tc>
        <w:tc>
          <w:tcPr>
            <w:tcW w:w="5422" w:type="dxa"/>
            <w:tcBorders>
              <w:top w:val="single" w:sz="8" w:space="0" w:color="CCCCCC"/>
              <w:left w:val="single" w:sz="8" w:space="0" w:color="CCCCCC"/>
              <w:bottom w:val="single" w:sz="6" w:space="0" w:color="000000"/>
              <w:right w:val="single" w:sz="6" w:space="0" w:color="000000"/>
            </w:tcBorders>
            <w:shd w:val="clear" w:color="auto" w:fill="auto"/>
            <w:tcMar>
              <w:top w:w="80" w:type="dxa"/>
              <w:left w:w="80" w:type="dxa"/>
              <w:bottom w:w="80" w:type="dxa"/>
              <w:right w:w="80" w:type="dxa"/>
            </w:tcMar>
            <w:vAlign w:val="center"/>
          </w:tcPr>
          <w:p w14:paraId="6D8914A2"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Incise the subcutaneous tissue overlying the external oblique aponeurosis to expose it.</w:t>
            </w:r>
          </w:p>
        </w:tc>
      </w:tr>
      <w:tr w:rsidR="001D68B7" w:rsidRPr="00760A18" w14:paraId="169BCA68" w14:textId="77777777" w:rsidTr="00304757">
        <w:trPr>
          <w:trHeight w:val="365"/>
        </w:trPr>
        <w:tc>
          <w:tcPr>
            <w:tcW w:w="1903" w:type="dxa"/>
            <w:tcBorders>
              <w:top w:val="single" w:sz="6" w:space="0" w:color="000000"/>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21012467"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2. Inguinal canal exposure</w:t>
            </w:r>
          </w:p>
        </w:tc>
        <w:tc>
          <w:tcPr>
            <w:tcW w:w="1228" w:type="dxa"/>
            <w:tcBorders>
              <w:top w:val="single" w:sz="6" w:space="0" w:color="000000"/>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3DE5025"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External oblique aponeurosis</w:t>
            </w:r>
          </w:p>
        </w:tc>
        <w:tc>
          <w:tcPr>
            <w:tcW w:w="945" w:type="dxa"/>
            <w:tcBorders>
              <w:top w:val="single" w:sz="6" w:space="0" w:color="000000"/>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2B57548"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Identify</w:t>
            </w:r>
          </w:p>
        </w:tc>
        <w:tc>
          <w:tcPr>
            <w:tcW w:w="5422" w:type="dxa"/>
            <w:tcBorders>
              <w:top w:val="single" w:sz="6" w:space="0" w:color="000000"/>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46611CD4"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Identify the external oblique aponeurosis as a white plane with oblique fiber lines.</w:t>
            </w:r>
          </w:p>
        </w:tc>
      </w:tr>
      <w:tr w:rsidR="001D68B7" w:rsidRPr="00226FB9" w14:paraId="6C4A6E33" w14:textId="77777777" w:rsidTr="00304757">
        <w:trPr>
          <w:trHeight w:val="550"/>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71B0C601"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25A9067B"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606A68BC"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Incise</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6D40DC25"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Incise the aponeurosis of the external oblique muscle in the direction of the fibers. Extend the incision toward the external inguinal ring medially.</w:t>
            </w:r>
          </w:p>
        </w:tc>
      </w:tr>
      <w:tr w:rsidR="001D68B7" w:rsidRPr="00760A18" w14:paraId="5B2E8802" w14:textId="77777777" w:rsidTr="00304757">
        <w:trPr>
          <w:trHeight w:val="383"/>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7E7296FB"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D171026" w14:textId="77777777" w:rsidR="001D68B7" w:rsidRPr="00226FB9" w:rsidRDefault="001D68B7" w:rsidP="00304757">
            <w:pPr>
              <w:pStyle w:val="TableStyle2A"/>
              <w:spacing w:line="288" w:lineRule="auto"/>
              <w:rPr>
                <w:rFonts w:ascii="Times New Roman" w:hAnsi="Times New Roman" w:cs="Times New Roman"/>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8D34A1C" w14:textId="77777777" w:rsidR="001D68B7" w:rsidRPr="00226FB9" w:rsidRDefault="001D68B7" w:rsidP="00304757">
            <w:pPr>
              <w:pStyle w:val="TableStyle2A"/>
              <w:spacing w:line="288" w:lineRule="auto"/>
              <w:rPr>
                <w:rFonts w:ascii="Times New Roman" w:hAnsi="Times New Roman" w:cs="Times New Roman"/>
                <w:lang w:val="en-US"/>
              </w:rPr>
            </w:pP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6CCEF8E0"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Hazard - The ilioinguinal nerve on top of the spermatic cord should be identified in order to prevent injuring it.</w:t>
            </w:r>
          </w:p>
        </w:tc>
      </w:tr>
      <w:tr w:rsidR="001D68B7" w:rsidRPr="00760A18" w14:paraId="365B644E" w14:textId="77777777" w:rsidTr="00304757">
        <w:trPr>
          <w:trHeight w:val="550"/>
        </w:trPr>
        <w:tc>
          <w:tcPr>
            <w:tcW w:w="1903" w:type="dxa"/>
            <w:tcBorders>
              <w:top w:val="single" w:sz="8" w:space="0" w:color="CCCCCC"/>
              <w:left w:val="single" w:sz="6" w:space="0" w:color="000000"/>
              <w:bottom w:val="single" w:sz="4" w:space="0" w:color="auto"/>
              <w:right w:val="single" w:sz="8" w:space="0" w:color="CCCCCC"/>
            </w:tcBorders>
            <w:shd w:val="clear" w:color="auto" w:fill="auto"/>
            <w:tcMar>
              <w:top w:w="80" w:type="dxa"/>
              <w:left w:w="80" w:type="dxa"/>
              <w:bottom w:w="80" w:type="dxa"/>
              <w:right w:w="80" w:type="dxa"/>
            </w:tcMar>
            <w:vAlign w:val="center"/>
          </w:tcPr>
          <w:p w14:paraId="23249E74" w14:textId="77777777" w:rsidR="001D68B7" w:rsidRPr="00226FB9" w:rsidRDefault="001D68B7" w:rsidP="00304757">
            <w:pPr>
              <w:rPr>
                <w:lang w:val="en-US"/>
              </w:rPr>
            </w:pPr>
          </w:p>
        </w:tc>
        <w:tc>
          <w:tcPr>
            <w:tcW w:w="1228" w:type="dxa"/>
            <w:tcBorders>
              <w:top w:val="single" w:sz="8" w:space="0" w:color="CCCCCC"/>
              <w:left w:val="single" w:sz="8" w:space="0" w:color="CCCCCC"/>
              <w:bottom w:val="single" w:sz="4" w:space="0" w:color="auto"/>
              <w:right w:val="single" w:sz="8" w:space="0" w:color="CCCCCC"/>
            </w:tcBorders>
            <w:shd w:val="clear" w:color="auto" w:fill="auto"/>
            <w:tcMar>
              <w:top w:w="80" w:type="dxa"/>
              <w:left w:w="80" w:type="dxa"/>
              <w:bottom w:w="80" w:type="dxa"/>
              <w:right w:w="80" w:type="dxa"/>
            </w:tcMar>
            <w:vAlign w:val="center"/>
          </w:tcPr>
          <w:p w14:paraId="4EDF86EE" w14:textId="77777777" w:rsidR="001D68B7" w:rsidRPr="00226FB9" w:rsidRDefault="001D68B7" w:rsidP="00304757">
            <w:pPr>
              <w:rPr>
                <w:lang w:val="en-US"/>
              </w:rPr>
            </w:pPr>
          </w:p>
        </w:tc>
        <w:tc>
          <w:tcPr>
            <w:tcW w:w="945" w:type="dxa"/>
            <w:tcBorders>
              <w:top w:val="single" w:sz="8" w:space="0" w:color="CCCCCC"/>
              <w:left w:val="single" w:sz="8" w:space="0" w:color="CCCCCC"/>
              <w:bottom w:val="single" w:sz="4" w:space="0" w:color="auto"/>
              <w:right w:val="single" w:sz="8" w:space="0" w:color="CCCCCC"/>
            </w:tcBorders>
            <w:shd w:val="clear" w:color="auto" w:fill="auto"/>
            <w:tcMar>
              <w:top w:w="80" w:type="dxa"/>
              <w:left w:w="80" w:type="dxa"/>
              <w:bottom w:w="80" w:type="dxa"/>
              <w:right w:w="80" w:type="dxa"/>
            </w:tcMar>
            <w:vAlign w:val="center"/>
          </w:tcPr>
          <w:p w14:paraId="70483A8A"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Dissect</w:t>
            </w:r>
          </w:p>
        </w:tc>
        <w:tc>
          <w:tcPr>
            <w:tcW w:w="5422" w:type="dxa"/>
            <w:tcBorders>
              <w:top w:val="single" w:sz="8" w:space="0" w:color="CCCCCC"/>
              <w:left w:val="single" w:sz="8" w:space="0" w:color="CCCCCC"/>
              <w:bottom w:val="single" w:sz="4" w:space="0" w:color="auto"/>
              <w:right w:val="single" w:sz="6" w:space="0" w:color="000000"/>
            </w:tcBorders>
            <w:shd w:val="clear" w:color="auto" w:fill="auto"/>
            <w:tcMar>
              <w:top w:w="80" w:type="dxa"/>
              <w:left w:w="80" w:type="dxa"/>
              <w:bottom w:w="80" w:type="dxa"/>
              <w:right w:w="80" w:type="dxa"/>
            </w:tcMar>
            <w:vAlign w:val="center"/>
          </w:tcPr>
          <w:p w14:paraId="1DFAB76C"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Dissect the external oblique aponeurosis by developing the plane between the aponeurosis of the external oblique muscle and the internal oblique muscle caudally, while avoiding the ilioinguinal nerve.</w:t>
            </w:r>
          </w:p>
        </w:tc>
      </w:tr>
      <w:tr w:rsidR="001D68B7" w:rsidRPr="00760A18" w14:paraId="01E4C829" w14:textId="77777777" w:rsidTr="00304757">
        <w:trPr>
          <w:trHeight w:val="365"/>
        </w:trPr>
        <w:tc>
          <w:tcPr>
            <w:tcW w:w="1903" w:type="dxa"/>
            <w:tcBorders>
              <w:top w:val="single" w:sz="4" w:space="0" w:color="auto"/>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6B23D568"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3. Spermatic cord mobilization</w:t>
            </w:r>
          </w:p>
        </w:tc>
        <w:tc>
          <w:tcPr>
            <w:tcW w:w="1228" w:type="dxa"/>
            <w:tcBorders>
              <w:top w:val="single" w:sz="4" w:space="0" w:color="auto"/>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58BEE526"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Spermatic cord</w:t>
            </w:r>
          </w:p>
        </w:tc>
        <w:tc>
          <w:tcPr>
            <w:tcW w:w="945" w:type="dxa"/>
            <w:tcBorders>
              <w:top w:val="single" w:sz="4" w:space="0" w:color="auto"/>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2E69D213"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Isolate</w:t>
            </w:r>
          </w:p>
        </w:tc>
        <w:tc>
          <w:tcPr>
            <w:tcW w:w="5422" w:type="dxa"/>
            <w:tcBorders>
              <w:top w:val="single" w:sz="4" w:space="0" w:color="auto"/>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2CACF2A1"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Isolate the spermatic cord completely from the floor of the inguinal canal, the transverse fascia and the pubic bone.</w:t>
            </w:r>
          </w:p>
        </w:tc>
      </w:tr>
      <w:tr w:rsidR="001D68B7" w:rsidRPr="00760A18" w14:paraId="2347BE89" w14:textId="77777777" w:rsidTr="00304757">
        <w:trPr>
          <w:trHeight w:val="367"/>
        </w:trPr>
        <w:tc>
          <w:tcPr>
            <w:tcW w:w="1903" w:type="dxa"/>
            <w:tcBorders>
              <w:top w:val="single" w:sz="8" w:space="0" w:color="CCCCCC"/>
              <w:left w:val="single" w:sz="6" w:space="0" w:color="000000"/>
              <w:bottom w:val="single" w:sz="4" w:space="0" w:color="auto"/>
              <w:right w:val="single" w:sz="8" w:space="0" w:color="CCCCCC"/>
            </w:tcBorders>
            <w:shd w:val="clear" w:color="auto" w:fill="auto"/>
            <w:tcMar>
              <w:top w:w="80" w:type="dxa"/>
              <w:left w:w="80" w:type="dxa"/>
              <w:bottom w:w="80" w:type="dxa"/>
              <w:right w:w="80" w:type="dxa"/>
            </w:tcMar>
            <w:vAlign w:val="center"/>
          </w:tcPr>
          <w:p w14:paraId="40DF6CD0" w14:textId="77777777" w:rsidR="001D68B7" w:rsidRPr="00226FB9" w:rsidRDefault="001D68B7" w:rsidP="00304757">
            <w:pPr>
              <w:rPr>
                <w:lang w:val="en-US"/>
              </w:rPr>
            </w:pPr>
          </w:p>
        </w:tc>
        <w:tc>
          <w:tcPr>
            <w:tcW w:w="1228" w:type="dxa"/>
            <w:tcBorders>
              <w:top w:val="single" w:sz="8" w:space="0" w:color="CCCCCC"/>
              <w:left w:val="single" w:sz="8" w:space="0" w:color="CCCCCC"/>
              <w:bottom w:val="single" w:sz="4" w:space="0" w:color="auto"/>
              <w:right w:val="single" w:sz="8" w:space="0" w:color="CCCCCC"/>
            </w:tcBorders>
            <w:shd w:val="clear" w:color="auto" w:fill="auto"/>
            <w:tcMar>
              <w:top w:w="80" w:type="dxa"/>
              <w:left w:w="80" w:type="dxa"/>
              <w:bottom w:w="80" w:type="dxa"/>
              <w:right w:w="80" w:type="dxa"/>
            </w:tcMar>
            <w:vAlign w:val="center"/>
          </w:tcPr>
          <w:p w14:paraId="565E4FF0" w14:textId="77777777" w:rsidR="001D68B7" w:rsidRPr="00226FB9" w:rsidRDefault="001D68B7" w:rsidP="00304757">
            <w:pPr>
              <w:rPr>
                <w:lang w:val="en-US"/>
              </w:rPr>
            </w:pPr>
          </w:p>
        </w:tc>
        <w:tc>
          <w:tcPr>
            <w:tcW w:w="945" w:type="dxa"/>
            <w:tcBorders>
              <w:top w:val="single" w:sz="8" w:space="0" w:color="CCCCCC"/>
              <w:left w:val="single" w:sz="8" w:space="0" w:color="CCCCCC"/>
              <w:bottom w:val="single" w:sz="4" w:space="0" w:color="auto"/>
              <w:right w:val="single" w:sz="8" w:space="0" w:color="CCCCCC"/>
            </w:tcBorders>
            <w:shd w:val="clear" w:color="auto" w:fill="auto"/>
            <w:tcMar>
              <w:top w:w="80" w:type="dxa"/>
              <w:left w:w="80" w:type="dxa"/>
              <w:bottom w:w="80" w:type="dxa"/>
              <w:right w:w="80" w:type="dxa"/>
            </w:tcMar>
            <w:vAlign w:val="center"/>
          </w:tcPr>
          <w:p w14:paraId="7B2D9C00"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Encircle</w:t>
            </w:r>
          </w:p>
        </w:tc>
        <w:tc>
          <w:tcPr>
            <w:tcW w:w="5422" w:type="dxa"/>
            <w:tcBorders>
              <w:top w:val="single" w:sz="8" w:space="0" w:color="CCCCCC"/>
              <w:left w:val="single" w:sz="8" w:space="0" w:color="CCCCCC"/>
              <w:bottom w:val="single" w:sz="4" w:space="0" w:color="auto"/>
              <w:right w:val="single" w:sz="6" w:space="0" w:color="000000"/>
            </w:tcBorders>
            <w:shd w:val="clear" w:color="auto" w:fill="auto"/>
            <w:tcMar>
              <w:top w:w="80" w:type="dxa"/>
              <w:left w:w="80" w:type="dxa"/>
              <w:bottom w:w="80" w:type="dxa"/>
              <w:right w:w="80" w:type="dxa"/>
            </w:tcMar>
            <w:vAlign w:val="center"/>
          </w:tcPr>
          <w:p w14:paraId="1FC6A8D5"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Encircle the spermatic cord with a penrose drain.</w:t>
            </w:r>
          </w:p>
        </w:tc>
      </w:tr>
      <w:tr w:rsidR="001D68B7" w:rsidRPr="00226FB9" w14:paraId="074ED831" w14:textId="77777777" w:rsidTr="00304757">
        <w:trPr>
          <w:trHeight w:val="370"/>
        </w:trPr>
        <w:tc>
          <w:tcPr>
            <w:tcW w:w="1903" w:type="dxa"/>
            <w:tcBorders>
              <w:top w:val="single" w:sz="4" w:space="0" w:color="auto"/>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1265485E" w14:textId="77777777" w:rsidR="001D68B7" w:rsidRPr="00226FB9" w:rsidRDefault="001D68B7" w:rsidP="00304757">
            <w:pPr>
              <w:rPr>
                <w:lang w:val="en-US"/>
              </w:rPr>
            </w:pPr>
            <w:r w:rsidRPr="00226FB9">
              <w:rPr>
                <w:rStyle w:val="None"/>
                <w:sz w:val="14"/>
                <w:szCs w:val="14"/>
                <w:lang w:val="en-US"/>
              </w:rPr>
              <w:t>4. Hernia sac removal</w:t>
            </w:r>
          </w:p>
        </w:tc>
        <w:tc>
          <w:tcPr>
            <w:tcW w:w="1228" w:type="dxa"/>
            <w:tcBorders>
              <w:top w:val="single" w:sz="4" w:space="0" w:color="auto"/>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5295F346"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Hernia sac</w:t>
            </w:r>
          </w:p>
        </w:tc>
        <w:tc>
          <w:tcPr>
            <w:tcW w:w="945" w:type="dxa"/>
            <w:tcBorders>
              <w:top w:val="single" w:sz="4" w:space="0" w:color="auto"/>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5DA295F3"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Identify</w:t>
            </w:r>
          </w:p>
        </w:tc>
        <w:tc>
          <w:tcPr>
            <w:tcW w:w="5422" w:type="dxa"/>
            <w:tcBorders>
              <w:top w:val="single" w:sz="4" w:space="0" w:color="auto"/>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415F7D18"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Identify the hernia sac.</w:t>
            </w:r>
          </w:p>
        </w:tc>
      </w:tr>
      <w:tr w:rsidR="001D68B7" w:rsidRPr="00760A18" w14:paraId="5AD2909A" w14:textId="77777777" w:rsidTr="00304757">
        <w:trPr>
          <w:trHeight w:val="367"/>
        </w:trPr>
        <w:tc>
          <w:tcPr>
            <w:tcW w:w="1903" w:type="dxa"/>
            <w:tcBorders>
              <w:top w:val="single" w:sz="8" w:space="0" w:color="CCCCCC"/>
              <w:left w:val="single" w:sz="6" w:space="0" w:color="000000"/>
              <w:bottom w:val="single" w:sz="6" w:space="0" w:color="000000"/>
              <w:right w:val="single" w:sz="8" w:space="0" w:color="CCCCCC"/>
            </w:tcBorders>
            <w:shd w:val="clear" w:color="auto" w:fill="auto"/>
            <w:tcMar>
              <w:top w:w="80" w:type="dxa"/>
              <w:left w:w="80" w:type="dxa"/>
              <w:bottom w:w="80" w:type="dxa"/>
              <w:right w:w="80" w:type="dxa"/>
            </w:tcMar>
            <w:vAlign w:val="center"/>
          </w:tcPr>
          <w:p w14:paraId="76C87470" w14:textId="77777777" w:rsidR="001D68B7" w:rsidRPr="00226FB9" w:rsidRDefault="001D68B7" w:rsidP="00304757">
            <w:pPr>
              <w:rPr>
                <w:lang w:val="en-US"/>
              </w:rPr>
            </w:pPr>
          </w:p>
        </w:tc>
        <w:tc>
          <w:tcPr>
            <w:tcW w:w="1228" w:type="dxa"/>
            <w:tcBorders>
              <w:top w:val="single" w:sz="8" w:space="0" w:color="CCCCCC"/>
              <w:left w:val="single" w:sz="8" w:space="0" w:color="CCCCCC"/>
              <w:bottom w:val="single" w:sz="6" w:space="0" w:color="000000"/>
              <w:right w:val="single" w:sz="8" w:space="0" w:color="CCCCCC"/>
            </w:tcBorders>
            <w:shd w:val="clear" w:color="auto" w:fill="auto"/>
            <w:tcMar>
              <w:top w:w="80" w:type="dxa"/>
              <w:left w:w="80" w:type="dxa"/>
              <w:bottom w:w="80" w:type="dxa"/>
              <w:right w:w="80" w:type="dxa"/>
            </w:tcMar>
            <w:vAlign w:val="center"/>
          </w:tcPr>
          <w:p w14:paraId="0327E613" w14:textId="77777777" w:rsidR="001D68B7" w:rsidRPr="00226FB9" w:rsidRDefault="001D68B7" w:rsidP="00304757">
            <w:pPr>
              <w:rPr>
                <w:lang w:val="en-US"/>
              </w:rPr>
            </w:pPr>
          </w:p>
        </w:tc>
        <w:tc>
          <w:tcPr>
            <w:tcW w:w="945" w:type="dxa"/>
            <w:tcBorders>
              <w:top w:val="single" w:sz="8" w:space="0" w:color="CCCCCC"/>
              <w:left w:val="single" w:sz="8" w:space="0" w:color="CCCCCC"/>
              <w:bottom w:val="single" w:sz="6" w:space="0" w:color="000000"/>
              <w:right w:val="single" w:sz="8" w:space="0" w:color="CCCCCC"/>
            </w:tcBorders>
            <w:shd w:val="clear" w:color="auto" w:fill="auto"/>
            <w:tcMar>
              <w:top w:w="80" w:type="dxa"/>
              <w:left w:w="80" w:type="dxa"/>
              <w:bottom w:w="80" w:type="dxa"/>
              <w:right w:w="80" w:type="dxa"/>
            </w:tcMar>
            <w:vAlign w:val="center"/>
          </w:tcPr>
          <w:p w14:paraId="2CB22445"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Remove</w:t>
            </w:r>
          </w:p>
        </w:tc>
        <w:tc>
          <w:tcPr>
            <w:tcW w:w="5422" w:type="dxa"/>
            <w:tcBorders>
              <w:top w:val="single" w:sz="8" w:space="0" w:color="CCCCCC"/>
              <w:left w:val="single" w:sz="8" w:space="0" w:color="CCCCCC"/>
              <w:bottom w:val="single" w:sz="6" w:space="0" w:color="000000"/>
              <w:right w:val="single" w:sz="6" w:space="0" w:color="000000"/>
            </w:tcBorders>
            <w:shd w:val="clear" w:color="auto" w:fill="auto"/>
            <w:tcMar>
              <w:top w:w="80" w:type="dxa"/>
              <w:left w:w="80" w:type="dxa"/>
              <w:bottom w:w="80" w:type="dxa"/>
              <w:right w:w="80" w:type="dxa"/>
            </w:tcMar>
            <w:vAlign w:val="center"/>
          </w:tcPr>
          <w:p w14:paraId="49263BD7"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Remove the hernia sac by first rotating the hernia sac around its own axis. Then the hernia sac is transected after clamping and tying the rotated hernia sac.</w:t>
            </w:r>
          </w:p>
        </w:tc>
      </w:tr>
      <w:tr w:rsidR="001D68B7" w:rsidRPr="00760A18" w14:paraId="3AE7AC7E" w14:textId="77777777" w:rsidTr="00304757">
        <w:trPr>
          <w:trHeight w:val="365"/>
        </w:trPr>
        <w:tc>
          <w:tcPr>
            <w:tcW w:w="1903" w:type="dxa"/>
            <w:tcBorders>
              <w:top w:val="single" w:sz="6" w:space="0" w:color="000000"/>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5B025A8E"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5. Mesh placement</w:t>
            </w:r>
          </w:p>
        </w:tc>
        <w:tc>
          <w:tcPr>
            <w:tcW w:w="1228" w:type="dxa"/>
            <w:tcBorders>
              <w:top w:val="single" w:sz="6" w:space="0" w:color="000000"/>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458E809"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Inguinal ligament</w:t>
            </w:r>
          </w:p>
        </w:tc>
        <w:tc>
          <w:tcPr>
            <w:tcW w:w="945" w:type="dxa"/>
            <w:tcBorders>
              <w:top w:val="single" w:sz="6" w:space="0" w:color="000000"/>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61CA4AB4"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Expose</w:t>
            </w:r>
          </w:p>
        </w:tc>
        <w:tc>
          <w:tcPr>
            <w:tcW w:w="5422" w:type="dxa"/>
            <w:tcBorders>
              <w:top w:val="single" w:sz="6" w:space="0" w:color="000000"/>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28A0C664"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Expose the inguinal ligament which is the lower edge of the inguinal canal.</w:t>
            </w:r>
          </w:p>
        </w:tc>
      </w:tr>
      <w:tr w:rsidR="001D68B7" w:rsidRPr="00760A18" w14:paraId="7BFB8E60" w14:textId="77777777" w:rsidTr="00304757">
        <w:trPr>
          <w:trHeight w:val="370"/>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64D12028"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5CB9C30"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Mesh</w:t>
            </w: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2F33A85E"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Trim</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6BCEEA33"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Trim the mesh to fit the inguinal canal.</w:t>
            </w:r>
          </w:p>
        </w:tc>
      </w:tr>
      <w:tr w:rsidR="001D68B7" w:rsidRPr="00760A18" w14:paraId="56E21C5D" w14:textId="77777777" w:rsidTr="00304757">
        <w:trPr>
          <w:trHeight w:val="383"/>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7C91EFC8"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5A8D60D"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39287715"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Fixate - medial</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606D299B"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Fixate the mesh medially to the distal anterior rectus sheath with 2 cm overlap over the pubic bone.</w:t>
            </w:r>
          </w:p>
        </w:tc>
      </w:tr>
      <w:tr w:rsidR="001D68B7" w:rsidRPr="00760A18" w14:paraId="4FB6D97B" w14:textId="77777777" w:rsidTr="00304757">
        <w:trPr>
          <w:trHeight w:val="717"/>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3B66FBB2"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78D2A251"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3AA08A5" w14:textId="77777777" w:rsidR="001D68B7" w:rsidRPr="00226FB9" w:rsidRDefault="001D68B7" w:rsidP="00304757">
            <w:pPr>
              <w:rPr>
                <w:lang w:val="en-US"/>
              </w:rPr>
            </w:pP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6D1A684C" w14:textId="77777777" w:rsidR="001D68B7" w:rsidRPr="00226FB9" w:rsidRDefault="001D68B7" w:rsidP="00304757">
            <w:pPr>
              <w:pStyle w:val="TableStyle2A"/>
              <w:spacing w:line="288" w:lineRule="auto"/>
              <w:rPr>
                <w:rStyle w:val="None"/>
                <w:rFonts w:ascii="Times New Roman" w:eastAsia="Times New Roman" w:hAnsi="Times New Roman" w:cs="Times New Roman"/>
                <w:lang w:val="en-US"/>
              </w:rPr>
            </w:pPr>
            <w:r w:rsidRPr="00226FB9">
              <w:rPr>
                <w:rStyle w:val="None"/>
                <w:rFonts w:ascii="Times New Roman" w:hAnsi="Times New Roman" w:cs="Times New Roman"/>
                <w:sz w:val="14"/>
                <w:szCs w:val="14"/>
                <w:lang w:val="en-US"/>
              </w:rPr>
              <w:t>HAZARD - Pubic periosteum damage</w:t>
            </w:r>
          </w:p>
          <w:p w14:paraId="29201AF4"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During medial fixation of the mesh to the anterior rectus sheath, care should be taken not to include the pubic periosteum in this suture as this may result in chronic pain.</w:t>
            </w:r>
          </w:p>
        </w:tc>
      </w:tr>
      <w:tr w:rsidR="001D68B7" w:rsidRPr="00760A18" w14:paraId="3A2FF29E" w14:textId="77777777" w:rsidTr="00304757">
        <w:trPr>
          <w:trHeight w:val="550"/>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34C23188"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18F2ECD3"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3A7419E4"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Fixate - caudal</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1312255C"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Fixate caudally by continuing with a running suture on the lower edge of the inguinal ligament until the level of the internal inguinal ring. Do not continue this suture beyond the lateral border of the internal inguinal ring.</w:t>
            </w:r>
          </w:p>
        </w:tc>
      </w:tr>
      <w:tr w:rsidR="001D68B7" w:rsidRPr="00760A18" w14:paraId="76656D6F" w14:textId="77777777" w:rsidTr="00304757">
        <w:trPr>
          <w:trHeight w:val="717"/>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5C7B7A14"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8073393"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17524DDF" w14:textId="77777777" w:rsidR="001D68B7" w:rsidRPr="00226FB9" w:rsidRDefault="001D68B7" w:rsidP="00304757">
            <w:pPr>
              <w:rPr>
                <w:lang w:val="en-US"/>
              </w:rPr>
            </w:pP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4B8211B8" w14:textId="77777777" w:rsidR="001D68B7" w:rsidRPr="00226FB9" w:rsidRDefault="001D68B7" w:rsidP="00304757">
            <w:pPr>
              <w:pStyle w:val="TableStyle2A"/>
              <w:spacing w:line="288" w:lineRule="auto"/>
              <w:rPr>
                <w:rStyle w:val="None"/>
                <w:rFonts w:ascii="Times New Roman" w:eastAsia="Times New Roman" w:hAnsi="Times New Roman" w:cs="Times New Roman"/>
                <w:lang w:val="en-US"/>
              </w:rPr>
            </w:pPr>
            <w:r w:rsidRPr="00226FB9">
              <w:rPr>
                <w:rStyle w:val="None"/>
                <w:rFonts w:ascii="Times New Roman" w:hAnsi="Times New Roman" w:cs="Times New Roman"/>
                <w:sz w:val="14"/>
                <w:szCs w:val="14"/>
                <w:lang w:val="en-US"/>
              </w:rPr>
              <w:t>HAZARD - Femoral vessels and nerve damage</w:t>
            </w:r>
          </w:p>
          <w:p w14:paraId="57EE920A"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During the caudal fixation, avoid damaging the femoral vessels and nerve which run just underneath the inguinal ligament. Damage is avoided by only taking small bites of the lower edge of the inguinal ligament (1-2 mm).</w:t>
            </w:r>
          </w:p>
        </w:tc>
      </w:tr>
      <w:tr w:rsidR="001D68B7" w:rsidRPr="00760A18" w14:paraId="63F0FAC8" w14:textId="77777777" w:rsidTr="00304757">
        <w:trPr>
          <w:trHeight w:val="717"/>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2C24396E"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4BBFF6A"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3B423FCD"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Trim</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77968172"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Trim the mesh from lateral to medial until the medial border of the internal inguinal ring, creating two tails. The superior tail is approximately 2/3 of the width of the mesh and the inferior tail is approximately 1/3 of the width of the mesh.</w:t>
            </w:r>
          </w:p>
        </w:tc>
      </w:tr>
      <w:tr w:rsidR="001D68B7" w:rsidRPr="00760A18" w14:paraId="2E871615" w14:textId="77777777" w:rsidTr="00304757">
        <w:trPr>
          <w:trHeight w:val="550"/>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2ED1BAFA"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3EFEC703"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4F258EC9"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Position</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6EE3A6E8"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Position the mesh under the spermatic cord, and subsequently maneuver the spermatic cord between the two tails. Then, pass the superior tail over the inferior tail to create a prosthetic internal inguinal ring.</w:t>
            </w:r>
          </w:p>
        </w:tc>
      </w:tr>
      <w:tr w:rsidR="001D68B7" w:rsidRPr="00760A18" w14:paraId="4813648D" w14:textId="77777777" w:rsidTr="00304757">
        <w:trPr>
          <w:trHeight w:val="370"/>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0F66EA97"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7A4256DA"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5E0AEBA5"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Fixate</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63FEFBEB"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Fixate both tails with a single non-absorbable suture to the inguinal ligament.</w:t>
            </w:r>
          </w:p>
        </w:tc>
      </w:tr>
      <w:tr w:rsidR="001D68B7" w:rsidRPr="00760A18" w14:paraId="3EC6D09F" w14:textId="77777777" w:rsidTr="00304757">
        <w:trPr>
          <w:trHeight w:val="383"/>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2B054A91"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050A723F"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7CCD9EFE"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Position</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77597ABE"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Position the tails of the mesh under the external oblique aponeurosis laterally and cranially.</w:t>
            </w:r>
          </w:p>
        </w:tc>
      </w:tr>
      <w:tr w:rsidR="001D68B7" w:rsidRPr="00760A18" w14:paraId="14012E44" w14:textId="77777777" w:rsidTr="00304757">
        <w:trPr>
          <w:trHeight w:val="550"/>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6C3E3881"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2A0A976A" w14:textId="77777777" w:rsidR="001D68B7" w:rsidRPr="00226FB9" w:rsidRDefault="001D68B7" w:rsidP="00304757">
            <w:pPr>
              <w:rPr>
                <w:lang w:val="en-US"/>
              </w:rPr>
            </w:pP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735F7C5F"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Fixate - cranial</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31333190"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Fixate the superior margin of the mesh with one or two interrupted absorbable sutures to the aponeurosis of the internal oblique muscle, while avoiding the iliohypogastric nerve.</w:t>
            </w:r>
          </w:p>
        </w:tc>
      </w:tr>
      <w:tr w:rsidR="001D68B7" w:rsidRPr="00760A18" w14:paraId="3D53647D" w14:textId="77777777" w:rsidTr="00304757">
        <w:trPr>
          <w:trHeight w:val="1215"/>
        </w:trPr>
        <w:tc>
          <w:tcPr>
            <w:tcW w:w="1903" w:type="dxa"/>
            <w:tcBorders>
              <w:top w:val="single" w:sz="8" w:space="0" w:color="CCCCCC"/>
              <w:left w:val="single" w:sz="6" w:space="0" w:color="000000"/>
              <w:bottom w:val="single" w:sz="6" w:space="0" w:color="000000"/>
              <w:right w:val="single" w:sz="8" w:space="0" w:color="CCCCCC"/>
            </w:tcBorders>
            <w:shd w:val="clear" w:color="auto" w:fill="auto"/>
            <w:tcMar>
              <w:top w:w="80" w:type="dxa"/>
              <w:left w:w="80" w:type="dxa"/>
              <w:bottom w:w="80" w:type="dxa"/>
              <w:right w:w="80" w:type="dxa"/>
            </w:tcMar>
            <w:vAlign w:val="center"/>
          </w:tcPr>
          <w:p w14:paraId="0C58AF16" w14:textId="77777777" w:rsidR="001D68B7" w:rsidRPr="00226FB9" w:rsidRDefault="001D68B7" w:rsidP="00304757">
            <w:pPr>
              <w:rPr>
                <w:lang w:val="en-US"/>
              </w:rPr>
            </w:pPr>
          </w:p>
        </w:tc>
        <w:tc>
          <w:tcPr>
            <w:tcW w:w="1228" w:type="dxa"/>
            <w:tcBorders>
              <w:top w:val="single" w:sz="8" w:space="0" w:color="CCCCCC"/>
              <w:left w:val="single" w:sz="8" w:space="0" w:color="CCCCCC"/>
              <w:bottom w:val="single" w:sz="6" w:space="0" w:color="000000"/>
              <w:right w:val="single" w:sz="8" w:space="0" w:color="CCCCCC"/>
            </w:tcBorders>
            <w:shd w:val="clear" w:color="auto" w:fill="auto"/>
            <w:tcMar>
              <w:top w:w="80" w:type="dxa"/>
              <w:left w:w="80" w:type="dxa"/>
              <w:bottom w:w="80" w:type="dxa"/>
              <w:right w:w="80" w:type="dxa"/>
            </w:tcMar>
            <w:vAlign w:val="center"/>
          </w:tcPr>
          <w:p w14:paraId="4141A44D" w14:textId="77777777" w:rsidR="001D68B7" w:rsidRPr="00226FB9" w:rsidRDefault="001D68B7" w:rsidP="00304757">
            <w:pPr>
              <w:rPr>
                <w:lang w:val="en-US"/>
              </w:rPr>
            </w:pPr>
          </w:p>
        </w:tc>
        <w:tc>
          <w:tcPr>
            <w:tcW w:w="945" w:type="dxa"/>
            <w:tcBorders>
              <w:top w:val="single" w:sz="8" w:space="0" w:color="CCCCCC"/>
              <w:left w:val="single" w:sz="8" w:space="0" w:color="CCCCCC"/>
              <w:bottom w:val="single" w:sz="6" w:space="0" w:color="000000"/>
              <w:right w:val="single" w:sz="8" w:space="0" w:color="CCCCCC"/>
            </w:tcBorders>
            <w:shd w:val="clear" w:color="auto" w:fill="auto"/>
            <w:tcMar>
              <w:top w:w="80" w:type="dxa"/>
              <w:left w:w="80" w:type="dxa"/>
              <w:bottom w:w="80" w:type="dxa"/>
              <w:right w:w="80" w:type="dxa"/>
            </w:tcMar>
            <w:vAlign w:val="center"/>
          </w:tcPr>
          <w:p w14:paraId="0E48F87D" w14:textId="77777777" w:rsidR="001D68B7" w:rsidRPr="00226FB9" w:rsidRDefault="001D68B7" w:rsidP="00304757">
            <w:pPr>
              <w:rPr>
                <w:lang w:val="en-US"/>
              </w:rPr>
            </w:pPr>
          </w:p>
        </w:tc>
        <w:tc>
          <w:tcPr>
            <w:tcW w:w="5422" w:type="dxa"/>
            <w:tcBorders>
              <w:top w:val="single" w:sz="8" w:space="0" w:color="CCCCCC"/>
              <w:left w:val="single" w:sz="8" w:space="0" w:color="CCCCCC"/>
              <w:bottom w:val="single" w:sz="6" w:space="0" w:color="000000"/>
              <w:right w:val="single" w:sz="6" w:space="0" w:color="000000"/>
            </w:tcBorders>
            <w:shd w:val="clear" w:color="auto" w:fill="auto"/>
            <w:tcMar>
              <w:top w:w="80" w:type="dxa"/>
              <w:left w:w="80" w:type="dxa"/>
              <w:bottom w:w="80" w:type="dxa"/>
              <w:right w:w="80" w:type="dxa"/>
            </w:tcMar>
            <w:vAlign w:val="center"/>
          </w:tcPr>
          <w:p w14:paraId="20719713" w14:textId="77777777" w:rsidR="001D68B7" w:rsidRPr="00226FB9" w:rsidRDefault="001D68B7" w:rsidP="00304757">
            <w:pPr>
              <w:pStyle w:val="TableStyle2A"/>
              <w:spacing w:line="288" w:lineRule="auto"/>
              <w:rPr>
                <w:rStyle w:val="None"/>
                <w:rFonts w:ascii="Times New Roman" w:eastAsia="Times New Roman" w:hAnsi="Times New Roman" w:cs="Times New Roman"/>
                <w:lang w:val="en-US"/>
              </w:rPr>
            </w:pPr>
            <w:r w:rsidRPr="00226FB9">
              <w:rPr>
                <w:rStyle w:val="None"/>
                <w:rFonts w:ascii="Times New Roman" w:hAnsi="Times New Roman" w:cs="Times New Roman"/>
                <w:sz w:val="14"/>
                <w:szCs w:val="14"/>
                <w:lang w:val="en-US"/>
              </w:rPr>
              <w:t>HAZARD - Iliohypogastric nerve damage</w:t>
            </w:r>
          </w:p>
          <w:p w14:paraId="40BD6834"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Avoid damage or entrapment of the iliohypogastric nerve, preferably by identification. Make a transverse suture rather than a longitudinal suture, as this minimizes the risk of nerve entrapment. If necessary a separate cut can be made into the mesh to free the iliohypogastric nerve. If the nerve cannot be freed from the mesh, transect this nerve and bury the iliohypogastric nerve in the oblique internal muscle.</w:t>
            </w:r>
          </w:p>
        </w:tc>
      </w:tr>
      <w:tr w:rsidR="001D68B7" w:rsidRPr="00760A18" w14:paraId="2D9FF229" w14:textId="77777777" w:rsidTr="00304757">
        <w:trPr>
          <w:trHeight w:val="365"/>
        </w:trPr>
        <w:tc>
          <w:tcPr>
            <w:tcW w:w="1903" w:type="dxa"/>
            <w:tcBorders>
              <w:top w:val="single" w:sz="6" w:space="0" w:color="000000"/>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4342E1D5"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6. Wound closure</w:t>
            </w:r>
          </w:p>
        </w:tc>
        <w:tc>
          <w:tcPr>
            <w:tcW w:w="1228" w:type="dxa"/>
            <w:tcBorders>
              <w:top w:val="single" w:sz="6" w:space="0" w:color="000000"/>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77DE7AB9"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External oblique aponeurosis</w:t>
            </w:r>
          </w:p>
        </w:tc>
        <w:tc>
          <w:tcPr>
            <w:tcW w:w="945" w:type="dxa"/>
            <w:tcBorders>
              <w:top w:val="single" w:sz="6" w:space="0" w:color="000000"/>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2D16FCF3"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Close</w:t>
            </w:r>
          </w:p>
        </w:tc>
        <w:tc>
          <w:tcPr>
            <w:tcW w:w="5422" w:type="dxa"/>
            <w:tcBorders>
              <w:top w:val="single" w:sz="6" w:space="0" w:color="000000"/>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65F2C5ED"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Close the aponeurosis of the external oblique muscle, creating a new external ring.</w:t>
            </w:r>
          </w:p>
        </w:tc>
      </w:tr>
      <w:tr w:rsidR="001D68B7" w:rsidRPr="00226FB9" w14:paraId="0E31A62C" w14:textId="77777777" w:rsidTr="00304757">
        <w:trPr>
          <w:trHeight w:val="370"/>
        </w:trPr>
        <w:tc>
          <w:tcPr>
            <w:tcW w:w="1903" w:type="dxa"/>
            <w:tcBorders>
              <w:top w:val="single" w:sz="8" w:space="0" w:color="CCCCCC"/>
              <w:left w:val="single" w:sz="6" w:space="0" w:color="000000"/>
              <w:bottom w:val="single" w:sz="8" w:space="0" w:color="CCCCCC"/>
              <w:right w:val="single" w:sz="8" w:space="0" w:color="CCCCCC"/>
            </w:tcBorders>
            <w:shd w:val="clear" w:color="auto" w:fill="auto"/>
            <w:tcMar>
              <w:top w:w="80" w:type="dxa"/>
              <w:left w:w="80" w:type="dxa"/>
              <w:bottom w:w="80" w:type="dxa"/>
              <w:right w:w="80" w:type="dxa"/>
            </w:tcMar>
            <w:vAlign w:val="center"/>
          </w:tcPr>
          <w:p w14:paraId="6C19D94C" w14:textId="77777777" w:rsidR="001D68B7" w:rsidRPr="00226FB9" w:rsidRDefault="001D68B7" w:rsidP="00304757">
            <w:pPr>
              <w:rPr>
                <w:lang w:val="en-US"/>
              </w:rPr>
            </w:pPr>
          </w:p>
        </w:tc>
        <w:tc>
          <w:tcPr>
            <w:tcW w:w="1228"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36B2209C"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Scarpa's fascia</w:t>
            </w:r>
          </w:p>
        </w:tc>
        <w:tc>
          <w:tcPr>
            <w:tcW w:w="945" w:type="dxa"/>
            <w:tcBorders>
              <w:top w:val="single" w:sz="8" w:space="0" w:color="CCCCCC"/>
              <w:left w:val="single" w:sz="8" w:space="0" w:color="CCCCCC"/>
              <w:bottom w:val="single" w:sz="8" w:space="0" w:color="CCCCCC"/>
              <w:right w:val="single" w:sz="8" w:space="0" w:color="CCCCCC"/>
            </w:tcBorders>
            <w:shd w:val="clear" w:color="auto" w:fill="auto"/>
            <w:tcMar>
              <w:top w:w="80" w:type="dxa"/>
              <w:left w:w="80" w:type="dxa"/>
              <w:bottom w:w="80" w:type="dxa"/>
              <w:right w:w="80" w:type="dxa"/>
            </w:tcMar>
            <w:vAlign w:val="center"/>
          </w:tcPr>
          <w:p w14:paraId="6A99DF01"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Close</w:t>
            </w:r>
          </w:p>
        </w:tc>
        <w:tc>
          <w:tcPr>
            <w:tcW w:w="5422" w:type="dxa"/>
            <w:tcBorders>
              <w:top w:val="single" w:sz="8" w:space="0" w:color="CCCCCC"/>
              <w:left w:val="single" w:sz="8" w:space="0" w:color="CCCCCC"/>
              <w:bottom w:val="single" w:sz="8" w:space="0" w:color="CCCCCC"/>
              <w:right w:val="single" w:sz="6" w:space="0" w:color="000000"/>
            </w:tcBorders>
            <w:shd w:val="clear" w:color="auto" w:fill="auto"/>
            <w:tcMar>
              <w:top w:w="80" w:type="dxa"/>
              <w:left w:w="80" w:type="dxa"/>
              <w:bottom w:w="80" w:type="dxa"/>
              <w:right w:w="80" w:type="dxa"/>
            </w:tcMar>
            <w:vAlign w:val="center"/>
          </w:tcPr>
          <w:p w14:paraId="2C0D1D81"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Close Scarpa’s fascia.</w:t>
            </w:r>
          </w:p>
        </w:tc>
      </w:tr>
      <w:tr w:rsidR="001D68B7" w:rsidRPr="00226FB9" w14:paraId="672FCE47" w14:textId="77777777" w:rsidTr="00304757">
        <w:trPr>
          <w:trHeight w:val="367"/>
        </w:trPr>
        <w:tc>
          <w:tcPr>
            <w:tcW w:w="1903" w:type="dxa"/>
            <w:tcBorders>
              <w:top w:val="single" w:sz="8" w:space="0" w:color="CCCCCC"/>
              <w:left w:val="single" w:sz="6" w:space="0" w:color="000000"/>
              <w:bottom w:val="single" w:sz="6" w:space="0" w:color="000000"/>
              <w:right w:val="single" w:sz="8" w:space="0" w:color="CCCCCC"/>
            </w:tcBorders>
            <w:shd w:val="clear" w:color="auto" w:fill="auto"/>
            <w:tcMar>
              <w:top w:w="80" w:type="dxa"/>
              <w:left w:w="80" w:type="dxa"/>
              <w:bottom w:w="80" w:type="dxa"/>
              <w:right w:w="80" w:type="dxa"/>
            </w:tcMar>
            <w:vAlign w:val="center"/>
          </w:tcPr>
          <w:p w14:paraId="21C0A454" w14:textId="77777777" w:rsidR="001D68B7" w:rsidRPr="00226FB9" w:rsidRDefault="001D68B7" w:rsidP="00304757">
            <w:pPr>
              <w:rPr>
                <w:lang w:val="en-US"/>
              </w:rPr>
            </w:pPr>
          </w:p>
        </w:tc>
        <w:tc>
          <w:tcPr>
            <w:tcW w:w="1228" w:type="dxa"/>
            <w:tcBorders>
              <w:top w:val="single" w:sz="8" w:space="0" w:color="CCCCCC"/>
              <w:left w:val="single" w:sz="8" w:space="0" w:color="CCCCCC"/>
              <w:bottom w:val="single" w:sz="6" w:space="0" w:color="000000"/>
              <w:right w:val="single" w:sz="8" w:space="0" w:color="CCCCCC"/>
            </w:tcBorders>
            <w:shd w:val="clear" w:color="auto" w:fill="auto"/>
            <w:tcMar>
              <w:top w:w="80" w:type="dxa"/>
              <w:left w:w="80" w:type="dxa"/>
              <w:bottom w:w="80" w:type="dxa"/>
              <w:right w:w="80" w:type="dxa"/>
            </w:tcMar>
            <w:vAlign w:val="center"/>
          </w:tcPr>
          <w:p w14:paraId="766CE2C9"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Skin</w:t>
            </w:r>
          </w:p>
        </w:tc>
        <w:tc>
          <w:tcPr>
            <w:tcW w:w="945" w:type="dxa"/>
            <w:tcBorders>
              <w:top w:val="single" w:sz="8" w:space="0" w:color="CCCCCC"/>
              <w:left w:val="single" w:sz="8" w:space="0" w:color="CCCCCC"/>
              <w:bottom w:val="single" w:sz="6" w:space="0" w:color="000000"/>
              <w:right w:val="single" w:sz="8" w:space="0" w:color="CCCCCC"/>
            </w:tcBorders>
            <w:shd w:val="clear" w:color="auto" w:fill="auto"/>
            <w:tcMar>
              <w:top w:w="80" w:type="dxa"/>
              <w:left w:w="80" w:type="dxa"/>
              <w:bottom w:w="80" w:type="dxa"/>
              <w:right w:w="80" w:type="dxa"/>
            </w:tcMar>
            <w:vAlign w:val="center"/>
          </w:tcPr>
          <w:p w14:paraId="4A4522AB"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Close</w:t>
            </w:r>
          </w:p>
        </w:tc>
        <w:tc>
          <w:tcPr>
            <w:tcW w:w="5422" w:type="dxa"/>
            <w:tcBorders>
              <w:top w:val="single" w:sz="8" w:space="0" w:color="CCCCCC"/>
              <w:left w:val="single" w:sz="8" w:space="0" w:color="CCCCCC"/>
              <w:bottom w:val="single" w:sz="6" w:space="0" w:color="000000"/>
              <w:right w:val="single" w:sz="6" w:space="0" w:color="000000"/>
            </w:tcBorders>
            <w:shd w:val="clear" w:color="auto" w:fill="auto"/>
            <w:tcMar>
              <w:top w:w="80" w:type="dxa"/>
              <w:left w:w="80" w:type="dxa"/>
              <w:bottom w:w="80" w:type="dxa"/>
              <w:right w:w="80" w:type="dxa"/>
            </w:tcMar>
            <w:vAlign w:val="center"/>
          </w:tcPr>
          <w:p w14:paraId="594FD874" w14:textId="77777777" w:rsidR="001D68B7" w:rsidRPr="00226FB9" w:rsidRDefault="001D68B7" w:rsidP="00304757">
            <w:pPr>
              <w:pStyle w:val="TableStyle2A"/>
              <w:spacing w:line="288" w:lineRule="auto"/>
              <w:rPr>
                <w:rFonts w:ascii="Times New Roman" w:hAnsi="Times New Roman" w:cs="Times New Roman"/>
                <w:lang w:val="en-US"/>
              </w:rPr>
            </w:pPr>
            <w:r w:rsidRPr="00226FB9">
              <w:rPr>
                <w:rStyle w:val="None"/>
                <w:rFonts w:ascii="Times New Roman" w:hAnsi="Times New Roman" w:cs="Times New Roman"/>
                <w:sz w:val="14"/>
                <w:szCs w:val="14"/>
                <w:lang w:val="en-US"/>
              </w:rPr>
              <w:t>Close the skin.</w:t>
            </w:r>
          </w:p>
        </w:tc>
      </w:tr>
    </w:tbl>
    <w:p w14:paraId="30096877" w14:textId="77777777" w:rsidR="001D68B7" w:rsidRPr="00226FB9" w:rsidRDefault="001D68B7" w:rsidP="001D68B7">
      <w:pPr>
        <w:pStyle w:val="BodyA"/>
        <w:rPr>
          <w:rStyle w:val="None"/>
          <w:rFonts w:ascii="Times New Roman" w:hAnsi="Times New Roman" w:cs="Times New Roman"/>
          <w:sz w:val="24"/>
          <w:szCs w:val="24"/>
          <w:lang w:val="en-US"/>
        </w:rPr>
      </w:pPr>
    </w:p>
    <w:p w14:paraId="73F95B91" w14:textId="77777777" w:rsidR="001D68B7" w:rsidRPr="00226FB9" w:rsidRDefault="001D68B7" w:rsidP="001D68B7">
      <w:pPr>
        <w:pBdr>
          <w:top w:val="nil"/>
          <w:left w:val="nil"/>
          <w:bottom w:val="nil"/>
          <w:right w:val="nil"/>
          <w:between w:val="nil"/>
          <w:bar w:val="nil"/>
        </w:pBdr>
        <w:rPr>
          <w:rStyle w:val="None"/>
          <w:color w:val="000000"/>
          <w:u w:color="000000"/>
          <w:bdr w:val="nil"/>
          <w:lang w:val="en-US" w:eastAsia="en-GB"/>
        </w:rPr>
      </w:pPr>
    </w:p>
    <w:sectPr w:rsidR="001D68B7" w:rsidRPr="00226FB9">
      <w:headerReference w:type="even" r:id="rId6"/>
      <w:headerReference w:type="default" r:id="rId7"/>
      <w:footerReference w:type="even" r:id="rId8"/>
      <w:footerReference w:type="default" r:id="rId9"/>
      <w:headerReference w:type="first" r:id="rId10"/>
      <w:pgSz w:w="11900" w:h="16840"/>
      <w:pgMar w:top="1800"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87518" w14:textId="77777777" w:rsidR="00FC4B3F" w:rsidRDefault="00FC4B3F" w:rsidP="001D68B7">
      <w:r>
        <w:separator/>
      </w:r>
    </w:p>
  </w:endnote>
  <w:endnote w:type="continuationSeparator" w:id="0">
    <w:p w14:paraId="33718385" w14:textId="77777777" w:rsidR="00FC4B3F" w:rsidRDefault="00FC4B3F" w:rsidP="001D6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7290AA5" w14:textId="77777777" w:rsidR="00C13B89" w:rsidRDefault="00FC4B3F" w:rsidP="003866D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C8A1DCD" w14:textId="77777777" w:rsidR="00C13B89" w:rsidRDefault="00FC4B3F" w:rsidP="00F44A66">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841120B" w14:textId="77777777" w:rsidR="00C13B89" w:rsidRPr="00F44A66" w:rsidRDefault="00FC4B3F" w:rsidP="003866D0">
    <w:pPr>
      <w:pStyle w:val="Voettekst"/>
      <w:framePr w:wrap="none" w:vAnchor="text" w:hAnchor="margin" w:xAlign="right" w:y="1"/>
      <w:rPr>
        <w:rStyle w:val="Paginanummer"/>
        <w:rFonts w:ascii="Arial" w:hAnsi="Arial" w:cs="Arial"/>
      </w:rPr>
    </w:pPr>
    <w:r w:rsidRPr="00F44A66">
      <w:rPr>
        <w:rStyle w:val="Paginanummer"/>
        <w:rFonts w:ascii="Arial" w:hAnsi="Arial" w:cs="Arial"/>
      </w:rPr>
      <w:fldChar w:fldCharType="begin"/>
    </w:r>
    <w:r w:rsidRPr="00F44A66">
      <w:rPr>
        <w:rStyle w:val="Paginanummer"/>
        <w:rFonts w:ascii="Arial" w:hAnsi="Arial" w:cs="Arial"/>
      </w:rPr>
      <w:instrText xml:space="preserve">PAGE  </w:instrText>
    </w:r>
    <w:r w:rsidRPr="00F44A66">
      <w:rPr>
        <w:rStyle w:val="Paginanummer"/>
        <w:rFonts w:ascii="Arial" w:hAnsi="Arial" w:cs="Arial"/>
      </w:rPr>
      <w:fldChar w:fldCharType="separate"/>
    </w:r>
    <w:r>
      <w:rPr>
        <w:rStyle w:val="Paginanummer"/>
        <w:rFonts w:ascii="Arial" w:hAnsi="Arial" w:cs="Arial"/>
        <w:noProof/>
      </w:rPr>
      <w:t>1</w:t>
    </w:r>
    <w:r w:rsidRPr="00F44A66">
      <w:rPr>
        <w:rStyle w:val="Paginanummer"/>
        <w:rFonts w:ascii="Arial" w:hAnsi="Arial" w:cs="Arial"/>
      </w:rPr>
      <w:fldChar w:fldCharType="end"/>
    </w:r>
  </w:p>
  <w:p w14:paraId="035E075E" w14:textId="77777777" w:rsidR="00C13B89" w:rsidRPr="00F44A66" w:rsidRDefault="00FC4B3F" w:rsidP="00F44A66">
    <w:pPr>
      <w:pStyle w:val="Voettekst"/>
      <w:ind w:right="360"/>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9A750" w14:textId="77777777" w:rsidR="00FC4B3F" w:rsidRDefault="00FC4B3F" w:rsidP="001D68B7">
      <w:r>
        <w:separator/>
      </w:r>
    </w:p>
  </w:footnote>
  <w:footnote w:type="continuationSeparator" w:id="0">
    <w:p w14:paraId="27A4BEAE" w14:textId="77777777" w:rsidR="00FC4B3F" w:rsidRDefault="00FC4B3F" w:rsidP="001D68B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C96B8D1" w14:textId="77777777" w:rsidR="00C13B89" w:rsidRDefault="001D68B7">
    <w:pPr>
      <w:pStyle w:val="Koptekst"/>
    </w:pPr>
    <w:r>
      <w:rPr>
        <w:noProof/>
        <w:lang w:val="nl-NL" w:eastAsia="nl-NL"/>
      </w:rPr>
      <mc:AlternateContent>
        <mc:Choice Requires="wps">
          <w:drawing>
            <wp:anchor distT="0" distB="0" distL="114300" distR="114300" simplePos="0" relativeHeight="251662336" behindDoc="1" locked="0" layoutInCell="0" allowOverlap="1" wp14:anchorId="7579CFE8" wp14:editId="5D29F9BB">
              <wp:simplePos x="0" y="0"/>
              <wp:positionH relativeFrom="margin">
                <wp:align>center</wp:align>
              </wp:positionH>
              <wp:positionV relativeFrom="margin">
                <wp:align>center</wp:align>
              </wp:positionV>
              <wp:extent cx="6467475" cy="20208240"/>
              <wp:effectExtent l="0" t="1981200" r="0" b="197167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67475" cy="20208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74F948" w14:textId="77777777" w:rsidR="001D68B7" w:rsidRDefault="001D68B7" w:rsidP="001D68B7">
                          <w:pPr>
                            <w:pStyle w:val="Normaalweb"/>
                            <w:spacing w:before="0" w:beforeAutospacing="0" w:after="0" w:afterAutospacing="0"/>
                            <w:jc w:val="center"/>
                          </w:pPr>
                          <w:r>
                            <w:rPr>
                              <w:rFonts w:ascii="Arial" w:eastAsia="Arial" w:hAnsi="Arial" w:cs="Arial"/>
                              <w:color w:val="C0C0C0"/>
                              <w:sz w:val="2"/>
                              <w:szCs w:val="2"/>
                              <w14:textFill>
                                <w14:solidFill>
                                  <w14:srgbClr w14:val="C0C0C0">
                                    <w14:alpha w14:val="4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79CFE8" id="_x0000_t202" coordsize="21600,21600" o:spt="202" path="m0,0l0,21600,21600,21600,21600,0xe">
              <v:stroke joinstyle="miter"/>
              <v:path gradientshapeok="t" o:connecttype="rect"/>
            </v:shapetype>
            <v:shape id="Tekstvak 2" o:spid="_x0000_s1026" type="#_x0000_t202" style="position:absolute;margin-left:0;margin-top:0;width:509.25pt;height:1591.2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" o:allowincell="f" filled="f" stroked="f">
              <v:stroke joinstyle="round"/>
              <o:lock v:ext="edit" shapetype="t"/>
              <v:textbox style="mso-fit-shape-to-text:t">
                <w:txbxContent>
                  <w:p w14:paraId="6574F948" w14:textId="77777777" w:rsidR="001D68B7" w:rsidRDefault="001D68B7" w:rsidP="001D68B7">
                    <w:pPr>
                      <w:pStyle w:val="Normaalweb"/>
                      <w:spacing w:before="0" w:beforeAutospacing="0" w:after="0" w:afterAutospacing="0"/>
                      <w:jc w:val="center"/>
                    </w:pPr>
                    <w:r>
                      <w:rPr>
                        <w:rFonts w:ascii="Arial" w:eastAsia="Arial" w:hAnsi="Arial" w:cs="Arial"/>
                        <w:color w:val="C0C0C0"/>
                        <w:sz w:val="2"/>
                        <w:szCs w:val="2"/>
                        <w14:textFill>
                          <w14:solidFill>
                            <w14:srgbClr w14:val="C0C0C0">
                              <w14:alpha w14:val="40000"/>
                            </w14:srgbClr>
                          </w14:solidFill>
                        </w14:textFill>
                      </w:rPr>
                      <w:t>Concept</w:t>
                    </w:r>
                  </w:p>
                </w:txbxContent>
              </v:textbox>
              <w10:wrap anchorx="margin" anchory="margin"/>
            </v:shape>
          </w:pict>
        </mc:Fallback>
      </mc:AlternateContent>
    </w:r>
    <w:r w:rsidR="00FC4B3F">
      <w:rPr>
        <w:noProof/>
      </w:rPr>
      <w:pict w14:anchorId="29AABB8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alt="" style="position:absolute;margin-left:0;margin-top:0;width:509.25pt;height:169.75pt;rotation:315;z-index:-251656192;mso-wrap-edited:f;mso-width-percent:0;mso-height-percent:0;mso-position-horizontal:center;mso-position-horizontal-relative:margin;mso-position-vertical:center;mso-position-vertical-relative:margin;mso-width-percent:0;mso-height-percent:0" o:allowincell="f" fillcolor="silver" stroked="f">
          <v:fill opacity="39321f"/>
          <v:textpath style="font-family:&quot;Arial&quot;;font-size:1pt" string="Concept"/>
          <w10:wrap anchorx="margin" anchory="margin"/>
        </v:shape>
      </w:pict>
    </w:r>
    <w:r w:rsidR="00FC4B3F">
      <w:rPr>
        <w:noProof/>
      </w:rPr>
      <w:pict w14:anchorId="15E7E4AF">
        <v:shape id="PowerPlusWaterMarkObject1" o:spid="_x0000_s2049" type="#_x0000_t136" alt="" style="position:absolute;margin-left:0;margin-top:0;width:509.25pt;height:169.7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39321f"/>
          <v:textpath style="font-family:&quot;Arial&quot;;font-size:1pt" string="Concep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D555371" w14:textId="77777777" w:rsidR="00C13B89" w:rsidRPr="00DF53EA" w:rsidRDefault="00FC4B3F" w:rsidP="003A26FE">
    <w:pPr>
      <w:pStyle w:val="HeaderFooterA"/>
      <w:tabs>
        <w:tab w:val="clear" w:pos="9020"/>
        <w:tab w:val="center" w:pos="4819"/>
        <w:tab w:val="right" w:pos="9612"/>
      </w:tabs>
      <w:spacing w:line="480" w:lineRule="auto"/>
      <w:rPr>
        <w:rFonts w:ascii="Times New Roman" w:hAnsi="Times New Roman" w:cs="Times New Roman"/>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5839D82" w14:textId="77777777" w:rsidR="00C13B89" w:rsidRDefault="001D68B7">
    <w:pPr>
      <w:pStyle w:val="Koptekst"/>
    </w:pPr>
    <w:r>
      <w:rPr>
        <w:noProof/>
        <w:lang w:val="nl-NL" w:eastAsia="nl-NL"/>
      </w:rPr>
      <mc:AlternateContent>
        <mc:Choice Requires="wps">
          <w:drawing>
            <wp:anchor distT="0" distB="0" distL="114300" distR="114300" simplePos="0" relativeHeight="251663360" behindDoc="1" locked="0" layoutInCell="0" allowOverlap="1" wp14:anchorId="0DC3C100" wp14:editId="29CFCC48">
              <wp:simplePos x="0" y="0"/>
              <wp:positionH relativeFrom="margin">
                <wp:align>center</wp:align>
              </wp:positionH>
              <wp:positionV relativeFrom="margin">
                <wp:align>center</wp:align>
              </wp:positionV>
              <wp:extent cx="6467475" cy="20208240"/>
              <wp:effectExtent l="0" t="1981200" r="0" b="197167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67475" cy="20208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27C2D9" w14:textId="77777777" w:rsidR="001D68B7" w:rsidRDefault="001D68B7" w:rsidP="001D68B7">
                          <w:pPr>
                            <w:pStyle w:val="Normaalweb"/>
                            <w:spacing w:before="0" w:beforeAutospacing="0" w:after="0" w:afterAutospacing="0"/>
                            <w:jc w:val="center"/>
                          </w:pPr>
                          <w:r>
                            <w:rPr>
                              <w:rFonts w:ascii="Arial" w:eastAsia="Arial" w:hAnsi="Arial" w:cs="Arial"/>
                              <w:color w:val="C0C0C0"/>
                              <w:sz w:val="2"/>
                              <w:szCs w:val="2"/>
                              <w14:textFill>
                                <w14:solidFill>
                                  <w14:srgbClr w14:val="C0C0C0">
                                    <w14:alpha w14:val="4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C3C100" id="_x0000_t202" coordsize="21600,21600" o:spt="202" path="m0,0l0,21600,21600,21600,21600,0xe">
              <v:stroke joinstyle="miter"/>
              <v:path gradientshapeok="t" o:connecttype="rect"/>
            </v:shapetype>
            <v:shape id="Tekstvak 1" o:spid="_x0000_s1027" type="#_x0000_t202" style="position:absolute;margin-left:0;margin-top:0;width:509.25pt;height:1591.2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" o:allowincell="f" filled="f" stroked="f">
              <v:stroke joinstyle="round"/>
              <o:lock v:ext="edit" shapetype="t"/>
              <v:textbox style="mso-fit-shape-to-text:t">
                <w:txbxContent>
                  <w:p w14:paraId="2327C2D9" w14:textId="77777777" w:rsidR="001D68B7" w:rsidRDefault="001D68B7" w:rsidP="001D68B7">
                    <w:pPr>
                      <w:pStyle w:val="Normaalweb"/>
                      <w:spacing w:before="0" w:beforeAutospacing="0" w:after="0" w:afterAutospacing="0"/>
                      <w:jc w:val="center"/>
                    </w:pPr>
                    <w:r>
                      <w:rPr>
                        <w:rFonts w:ascii="Arial" w:eastAsia="Arial" w:hAnsi="Arial" w:cs="Arial"/>
                        <w:color w:val="C0C0C0"/>
                        <w:sz w:val="2"/>
                        <w:szCs w:val="2"/>
                        <w14:textFill>
                          <w14:solidFill>
                            <w14:srgbClr w14:val="C0C0C0">
                              <w14:alpha w14:val="40000"/>
                            </w14:srgbClr>
                          </w14:solidFill>
                        </w14:textFill>
                      </w:rPr>
                      <w:t>Concept</w:t>
                    </w:r>
                  </w:p>
                </w:txbxContent>
              </v:textbox>
              <w10:wrap anchorx="margin" anchory="margin"/>
            </v:shape>
          </w:pict>
        </mc:Fallback>
      </mc:AlternateContent>
    </w:r>
    <w:r w:rsidR="00FC4B3F">
      <w:rPr>
        <w:noProof/>
      </w:rPr>
      <w:pict w14:anchorId="386C05D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alt="" style="position:absolute;margin-left:0;margin-top:0;width:509.25pt;height:169.7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39321f"/>
          <v:textpath style="font-family:&quot;Arial&quot;;font-size:1pt" string="Concep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8B7"/>
    <w:rsid w:val="00050E9B"/>
    <w:rsid w:val="00067C8A"/>
    <w:rsid w:val="000B3F98"/>
    <w:rsid w:val="000C312B"/>
    <w:rsid w:val="000E2DA4"/>
    <w:rsid w:val="00104B28"/>
    <w:rsid w:val="00125652"/>
    <w:rsid w:val="001273F2"/>
    <w:rsid w:val="0015005C"/>
    <w:rsid w:val="00156BBC"/>
    <w:rsid w:val="00164BE3"/>
    <w:rsid w:val="00174625"/>
    <w:rsid w:val="0019528E"/>
    <w:rsid w:val="00197A86"/>
    <w:rsid w:val="001B6165"/>
    <w:rsid w:val="001D68B7"/>
    <w:rsid w:val="001F0536"/>
    <w:rsid w:val="001F2613"/>
    <w:rsid w:val="00205CC0"/>
    <w:rsid w:val="002653F2"/>
    <w:rsid w:val="002734D4"/>
    <w:rsid w:val="00274408"/>
    <w:rsid w:val="00283C4C"/>
    <w:rsid w:val="002A589A"/>
    <w:rsid w:val="002F71B2"/>
    <w:rsid w:val="002F7CBB"/>
    <w:rsid w:val="00366814"/>
    <w:rsid w:val="003741BC"/>
    <w:rsid w:val="003D6031"/>
    <w:rsid w:val="003F4637"/>
    <w:rsid w:val="00451880"/>
    <w:rsid w:val="0047136A"/>
    <w:rsid w:val="004D22F9"/>
    <w:rsid w:val="004F0C1A"/>
    <w:rsid w:val="004F18B9"/>
    <w:rsid w:val="00544D91"/>
    <w:rsid w:val="005938A3"/>
    <w:rsid w:val="005B7402"/>
    <w:rsid w:val="00637B6D"/>
    <w:rsid w:val="00665CD9"/>
    <w:rsid w:val="0070246C"/>
    <w:rsid w:val="007106FB"/>
    <w:rsid w:val="0072370A"/>
    <w:rsid w:val="00731C2D"/>
    <w:rsid w:val="0077277E"/>
    <w:rsid w:val="00786042"/>
    <w:rsid w:val="007969E0"/>
    <w:rsid w:val="007E2EE6"/>
    <w:rsid w:val="007F6C64"/>
    <w:rsid w:val="00804525"/>
    <w:rsid w:val="00814895"/>
    <w:rsid w:val="00831F12"/>
    <w:rsid w:val="00843673"/>
    <w:rsid w:val="00843F50"/>
    <w:rsid w:val="008B56BF"/>
    <w:rsid w:val="008B764A"/>
    <w:rsid w:val="008C40BE"/>
    <w:rsid w:val="008D66CB"/>
    <w:rsid w:val="008F4D70"/>
    <w:rsid w:val="00903384"/>
    <w:rsid w:val="00910725"/>
    <w:rsid w:val="00927214"/>
    <w:rsid w:val="009A2DCB"/>
    <w:rsid w:val="009C1592"/>
    <w:rsid w:val="009E14A3"/>
    <w:rsid w:val="00A21952"/>
    <w:rsid w:val="00A302F2"/>
    <w:rsid w:val="00A460DF"/>
    <w:rsid w:val="00A56B4A"/>
    <w:rsid w:val="00A60310"/>
    <w:rsid w:val="00A65586"/>
    <w:rsid w:val="00AB13AB"/>
    <w:rsid w:val="00AB377C"/>
    <w:rsid w:val="00AD17D3"/>
    <w:rsid w:val="00B013A1"/>
    <w:rsid w:val="00B179F9"/>
    <w:rsid w:val="00B5440F"/>
    <w:rsid w:val="00B71BE4"/>
    <w:rsid w:val="00B819C6"/>
    <w:rsid w:val="00B84030"/>
    <w:rsid w:val="00BC4C5D"/>
    <w:rsid w:val="00BD2A97"/>
    <w:rsid w:val="00BF20A7"/>
    <w:rsid w:val="00C0109F"/>
    <w:rsid w:val="00C12DB3"/>
    <w:rsid w:val="00C45F76"/>
    <w:rsid w:val="00C5027A"/>
    <w:rsid w:val="00C61FEF"/>
    <w:rsid w:val="00C87018"/>
    <w:rsid w:val="00CB543A"/>
    <w:rsid w:val="00CC1DB8"/>
    <w:rsid w:val="00CD241C"/>
    <w:rsid w:val="00CF09C9"/>
    <w:rsid w:val="00D178A2"/>
    <w:rsid w:val="00D25B1A"/>
    <w:rsid w:val="00D4121B"/>
    <w:rsid w:val="00D464C8"/>
    <w:rsid w:val="00D4733C"/>
    <w:rsid w:val="00D7218F"/>
    <w:rsid w:val="00D8698A"/>
    <w:rsid w:val="00D86F26"/>
    <w:rsid w:val="00DE6A31"/>
    <w:rsid w:val="00E3360C"/>
    <w:rsid w:val="00E375CA"/>
    <w:rsid w:val="00E45845"/>
    <w:rsid w:val="00E47F48"/>
    <w:rsid w:val="00E66459"/>
    <w:rsid w:val="00E73FAD"/>
    <w:rsid w:val="00ED32E9"/>
    <w:rsid w:val="00EF6AC4"/>
    <w:rsid w:val="00F03EBA"/>
    <w:rsid w:val="00FC4B3F"/>
    <w:rsid w:val="00FF39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E419B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D68B7"/>
    <w:rPr>
      <w:rFonts w:ascii="Times New Roman" w:eastAsia="Arial Unicode MS"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Teken"/>
    <w:uiPriority w:val="99"/>
    <w:semiHidden/>
    <w:unhideWhenUsed/>
    <w:rsid w:val="00804525"/>
    <w:rPr>
      <w:rFonts w:eastAsiaTheme="minorHAnsi"/>
      <w:sz w:val="18"/>
      <w:szCs w:val="18"/>
      <w:lang w:eastAsia="en-US"/>
    </w:rPr>
  </w:style>
  <w:style w:type="character" w:customStyle="1" w:styleId="BallontekstTeken">
    <w:name w:val="Ballontekst Teken"/>
    <w:basedOn w:val="Standaardalinea-lettertype"/>
    <w:link w:val="Ballontekst"/>
    <w:uiPriority w:val="99"/>
    <w:semiHidden/>
    <w:rsid w:val="00804525"/>
    <w:rPr>
      <w:rFonts w:ascii="Times New Roman" w:hAnsi="Times New Roman" w:cs="Times New Roman"/>
      <w:sz w:val="18"/>
      <w:szCs w:val="18"/>
    </w:rPr>
  </w:style>
  <w:style w:type="paragraph" w:customStyle="1" w:styleId="HeaderFooterA">
    <w:name w:val="Header &amp; Footer A"/>
    <w:rsid w:val="001D68B7"/>
    <w:pPr>
      <w:pBdr>
        <w:top w:val="nil"/>
        <w:left w:val="nil"/>
        <w:bottom w:val="nil"/>
        <w:right w:val="nil"/>
        <w:between w:val="nil"/>
        <w:bar w:val="nil"/>
      </w:pBdr>
      <w:tabs>
        <w:tab w:val="right" w:pos="9020"/>
      </w:tabs>
    </w:pPr>
    <w:rPr>
      <w:rFonts w:ascii="Helvetica" w:eastAsia="Arial Unicode MS" w:hAnsi="Helvetica" w:cs="Arial Unicode MS"/>
      <w:color w:val="000000"/>
      <w:sz w:val="22"/>
      <w:szCs w:val="22"/>
      <w:u w:color="000000"/>
      <w:bdr w:val="nil"/>
      <w:lang w:val="en-US" w:eastAsia="en-GB"/>
    </w:rPr>
  </w:style>
  <w:style w:type="paragraph" w:customStyle="1" w:styleId="BodyA">
    <w:name w:val="Body A"/>
    <w:rsid w:val="001D68B7"/>
    <w:pPr>
      <w:pBdr>
        <w:top w:val="nil"/>
        <w:left w:val="nil"/>
        <w:bottom w:val="nil"/>
        <w:right w:val="nil"/>
        <w:between w:val="nil"/>
        <w:bar w:val="nil"/>
      </w:pBdr>
      <w:spacing w:line="480" w:lineRule="auto"/>
      <w:jc w:val="both"/>
    </w:pPr>
    <w:rPr>
      <w:rFonts w:ascii="Arial" w:eastAsia="Arial Unicode MS" w:hAnsi="Arial" w:cs="Arial Unicode MS"/>
      <w:color w:val="000000"/>
      <w:sz w:val="22"/>
      <w:szCs w:val="22"/>
      <w:u w:color="000000"/>
      <w:bdr w:val="nil"/>
      <w:lang w:val="es-ES_tradnl" w:eastAsia="en-GB"/>
    </w:rPr>
  </w:style>
  <w:style w:type="character" w:customStyle="1" w:styleId="None">
    <w:name w:val="None"/>
    <w:rsid w:val="001D68B7"/>
  </w:style>
  <w:style w:type="paragraph" w:customStyle="1" w:styleId="TableStyle2A">
    <w:name w:val="Table Style 2 A"/>
    <w:rsid w:val="001D68B7"/>
    <w:pPr>
      <w:pBdr>
        <w:top w:val="nil"/>
        <w:left w:val="nil"/>
        <w:bottom w:val="nil"/>
        <w:right w:val="nil"/>
        <w:between w:val="nil"/>
        <w:bar w:val="nil"/>
      </w:pBdr>
    </w:pPr>
    <w:rPr>
      <w:rFonts w:ascii="Arial" w:eastAsia="Arial Unicode MS" w:hAnsi="Arial" w:cs="Arial Unicode MS"/>
      <w:color w:val="000000"/>
      <w:u w:color="000000"/>
      <w:bdr w:val="nil"/>
      <w:lang w:eastAsia="en-GB"/>
    </w:rPr>
  </w:style>
  <w:style w:type="paragraph" w:customStyle="1" w:styleId="Body">
    <w:name w:val="Body"/>
    <w:rsid w:val="001D68B7"/>
    <w:pPr>
      <w:pBdr>
        <w:top w:val="nil"/>
        <w:left w:val="nil"/>
        <w:bottom w:val="nil"/>
        <w:right w:val="nil"/>
        <w:between w:val="nil"/>
        <w:bar w:val="nil"/>
      </w:pBdr>
    </w:pPr>
    <w:rPr>
      <w:rFonts w:ascii="Helvetica" w:eastAsia="Helvetica" w:hAnsi="Helvetica" w:cs="Helvetica"/>
      <w:color w:val="000000"/>
      <w:sz w:val="22"/>
      <w:szCs w:val="22"/>
      <w:bdr w:val="nil"/>
      <w:lang w:val="en-GB" w:eastAsia="en-GB"/>
    </w:rPr>
  </w:style>
  <w:style w:type="paragraph" w:styleId="Koptekst">
    <w:name w:val="header"/>
    <w:basedOn w:val="Standaard"/>
    <w:link w:val="KoptekstTeken"/>
    <w:uiPriority w:val="99"/>
    <w:unhideWhenUsed/>
    <w:rsid w:val="001D68B7"/>
    <w:pPr>
      <w:pBdr>
        <w:top w:val="nil"/>
        <w:left w:val="nil"/>
        <w:bottom w:val="nil"/>
        <w:right w:val="nil"/>
        <w:between w:val="nil"/>
        <w:bar w:val="nil"/>
      </w:pBdr>
      <w:tabs>
        <w:tab w:val="center" w:pos="4680"/>
        <w:tab w:val="right" w:pos="9360"/>
      </w:tabs>
    </w:pPr>
    <w:rPr>
      <w:rFonts w:eastAsia="Times New Roman"/>
      <w:color w:val="000000"/>
      <w:u w:color="000000"/>
      <w:bdr w:val="nil"/>
      <w:lang w:val="en-US" w:eastAsia="en-GB"/>
    </w:rPr>
  </w:style>
  <w:style w:type="character" w:customStyle="1" w:styleId="KoptekstTeken">
    <w:name w:val="Koptekst Teken"/>
    <w:basedOn w:val="Standaardalinea-lettertype"/>
    <w:link w:val="Koptekst"/>
    <w:uiPriority w:val="99"/>
    <w:rsid w:val="001D68B7"/>
    <w:rPr>
      <w:rFonts w:ascii="Times New Roman" w:eastAsia="Times New Roman" w:hAnsi="Times New Roman" w:cs="Times New Roman"/>
      <w:color w:val="000000"/>
      <w:u w:color="000000"/>
      <w:bdr w:val="nil"/>
      <w:lang w:val="en-US" w:eastAsia="en-GB"/>
    </w:rPr>
  </w:style>
  <w:style w:type="paragraph" w:styleId="Voettekst">
    <w:name w:val="footer"/>
    <w:basedOn w:val="Standaard"/>
    <w:link w:val="VoettekstTeken"/>
    <w:uiPriority w:val="99"/>
    <w:unhideWhenUsed/>
    <w:rsid w:val="001D68B7"/>
    <w:pPr>
      <w:pBdr>
        <w:top w:val="nil"/>
        <w:left w:val="nil"/>
        <w:bottom w:val="nil"/>
        <w:right w:val="nil"/>
        <w:between w:val="nil"/>
        <w:bar w:val="nil"/>
      </w:pBdr>
      <w:tabs>
        <w:tab w:val="center" w:pos="4680"/>
        <w:tab w:val="right" w:pos="9360"/>
      </w:tabs>
    </w:pPr>
    <w:rPr>
      <w:rFonts w:eastAsia="Times New Roman"/>
      <w:color w:val="000000"/>
      <w:u w:color="000000"/>
      <w:bdr w:val="nil"/>
      <w:lang w:val="en-US" w:eastAsia="en-GB"/>
    </w:rPr>
  </w:style>
  <w:style w:type="character" w:customStyle="1" w:styleId="VoettekstTeken">
    <w:name w:val="Voettekst Teken"/>
    <w:basedOn w:val="Standaardalinea-lettertype"/>
    <w:link w:val="Voettekst"/>
    <w:uiPriority w:val="99"/>
    <w:rsid w:val="001D68B7"/>
    <w:rPr>
      <w:rFonts w:ascii="Times New Roman" w:eastAsia="Times New Roman" w:hAnsi="Times New Roman" w:cs="Times New Roman"/>
      <w:color w:val="000000"/>
      <w:u w:color="000000"/>
      <w:bdr w:val="nil"/>
      <w:lang w:val="en-US" w:eastAsia="en-GB"/>
    </w:rPr>
  </w:style>
  <w:style w:type="table" w:styleId="Tabelzonderopmaak5">
    <w:name w:val="Plain Table 5"/>
    <w:basedOn w:val="Standaardtabel"/>
    <w:uiPriority w:val="45"/>
    <w:rsid w:val="001D68B7"/>
    <w:pPr>
      <w:pBdr>
        <w:top w:val="nil"/>
        <w:left w:val="nil"/>
        <w:bottom w:val="nil"/>
        <w:right w:val="nil"/>
        <w:between w:val="nil"/>
        <w:bar w:val="nil"/>
      </w:pBdr>
    </w:pPr>
    <w:rPr>
      <w:rFonts w:ascii="Times New Roman" w:eastAsia="Arial Unicode MS" w:hAnsi="Times New Roman" w:cs="Times New Roman"/>
      <w:sz w:val="20"/>
      <w:szCs w:val="20"/>
      <w:bdr w:val="nil"/>
      <w:lang w:val="en-GB" w:eastAsia="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rsid w:val="001D68B7"/>
  </w:style>
  <w:style w:type="table" w:styleId="Tabelzonderopmaak4">
    <w:name w:val="Plain Table 4"/>
    <w:basedOn w:val="Standaardtabel"/>
    <w:uiPriority w:val="44"/>
    <w:rsid w:val="001D68B7"/>
    <w:pPr>
      <w:pBdr>
        <w:top w:val="nil"/>
        <w:left w:val="nil"/>
        <w:bottom w:val="nil"/>
        <w:right w:val="nil"/>
        <w:between w:val="nil"/>
        <w:bar w:val="nil"/>
      </w:pBdr>
    </w:pPr>
    <w:rPr>
      <w:rFonts w:ascii="Times New Roman" w:eastAsia="Arial Unicode MS" w:hAnsi="Times New Roman" w:cs="Times New Roman"/>
      <w:sz w:val="20"/>
      <w:szCs w:val="20"/>
      <w:bdr w:val="nil"/>
      <w:lang w:val="en-GB" w:eastAsia="en-GB"/>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alweb">
    <w:name w:val="Normal (Web)"/>
    <w:basedOn w:val="Standaard"/>
    <w:uiPriority w:val="99"/>
    <w:semiHidden/>
    <w:unhideWhenUsed/>
    <w:rsid w:val="001D68B7"/>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3880</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Tahmina Nazari</dc:creator>
  <cp:keywords/>
  <dc:description/>
  <cp:lastModifiedBy>Tahmina Nazari</cp:lastModifiedBy>
  <cp:revision>1</cp:revision>
  <dcterms:created xsi:type="dcterms:W3CDTF">2019-07-15T13:21:00Z</dcterms:created>
  <dcterms:modified xsi:type="dcterms:W3CDTF">2019-07-15T13:28:00Z</dcterms:modified>
</cp:coreProperties>
</file>