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410"/>
        <w:gridCol w:w="2404"/>
      </w:tblGrid>
      <w:tr w:rsidR="0099096B" w:rsidRPr="00603B78" w:rsidTr="00E50278">
        <w:tc>
          <w:tcPr>
            <w:tcW w:w="4248" w:type="dxa"/>
          </w:tcPr>
          <w:p w:rsidR="0099096B" w:rsidRPr="00E50278" w:rsidRDefault="0099096B" w:rsidP="00E50278">
            <w:pPr>
              <w:spacing w:line="276" w:lineRule="auto"/>
            </w:pPr>
          </w:p>
        </w:tc>
        <w:tc>
          <w:tcPr>
            <w:tcW w:w="2410" w:type="dxa"/>
          </w:tcPr>
          <w:p w:rsidR="0099096B" w:rsidRPr="00603B78" w:rsidRDefault="0099096B" w:rsidP="00E50278">
            <w:pPr>
              <w:spacing w:line="276" w:lineRule="auto"/>
            </w:pPr>
            <w:r w:rsidRPr="00603B78">
              <w:rPr>
                <w:rFonts w:eastAsia="Times New Roman"/>
                <w:b/>
                <w:bCs/>
                <w:color w:val="000000"/>
              </w:rPr>
              <w:t>Ventral hernia repair (n=46)</w:t>
            </w:r>
          </w:p>
        </w:tc>
        <w:tc>
          <w:tcPr>
            <w:tcW w:w="2404" w:type="dxa"/>
          </w:tcPr>
          <w:p w:rsidR="0099096B" w:rsidRPr="00603B78" w:rsidRDefault="0099096B" w:rsidP="00E50278">
            <w:pPr>
              <w:spacing w:line="276" w:lineRule="auto"/>
            </w:pPr>
            <w:r w:rsidRPr="00603B78">
              <w:rPr>
                <w:rFonts w:eastAsia="Times New Roman"/>
                <w:b/>
                <w:bCs/>
                <w:color w:val="000000"/>
              </w:rPr>
              <w:t>Open abdomen closure (n=9)</w:t>
            </w:r>
          </w:p>
        </w:tc>
      </w:tr>
      <w:tr w:rsidR="00E62EFF" w:rsidRPr="00603B78" w:rsidTr="00E50278">
        <w:tc>
          <w:tcPr>
            <w:tcW w:w="9062" w:type="dxa"/>
            <w:gridSpan w:val="3"/>
            <w:shd w:val="clear" w:color="auto" w:fill="BFBFBF" w:themeFill="background1" w:themeFillShade="BF"/>
          </w:tcPr>
          <w:p w:rsidR="00E62EFF" w:rsidRPr="00603B78" w:rsidRDefault="00E62EFF" w:rsidP="00E50278">
            <w:pPr>
              <w:spacing w:line="276" w:lineRule="auto"/>
            </w:pPr>
            <w:r w:rsidRPr="00603B78">
              <w:rPr>
                <w:rFonts w:eastAsia="Times New Roman"/>
                <w:b/>
                <w:bCs/>
                <w:color w:val="000000"/>
              </w:rPr>
              <w:t>Preoperative data</w:t>
            </w:r>
          </w:p>
        </w:tc>
      </w:tr>
      <w:tr w:rsidR="0099096B" w:rsidRPr="00603B78" w:rsidTr="00E50278">
        <w:tc>
          <w:tcPr>
            <w:tcW w:w="4248" w:type="dxa"/>
          </w:tcPr>
          <w:p w:rsidR="0099096B" w:rsidRPr="00603B78" w:rsidRDefault="0099096B" w:rsidP="00E50278">
            <w:pPr>
              <w:spacing w:line="276" w:lineRule="auto"/>
              <w:rPr>
                <w:rFonts w:eastAsia="Times New Roman"/>
                <w:color w:val="000000"/>
                <w:vertAlign w:val="subscript"/>
              </w:rPr>
            </w:pPr>
            <w:r w:rsidRPr="00603B78">
              <w:rPr>
                <w:rFonts w:eastAsia="Times New Roman"/>
                <w:color w:val="000000"/>
              </w:rPr>
              <w:t xml:space="preserve">modified VHWG </w:t>
            </w:r>
            <w:r w:rsidRPr="00603B78">
              <w:rPr>
                <w:rFonts w:eastAsia="Times New Roman"/>
                <w:color w:val="000000"/>
                <w:vertAlign w:val="subscript"/>
              </w:rPr>
              <w:t>(1)</w:t>
            </w:r>
          </w:p>
          <w:p w:rsidR="0099096B" w:rsidRPr="00603B78" w:rsidRDefault="0099096B" w:rsidP="00E50278">
            <w:pPr>
              <w:spacing w:line="276" w:lineRule="auto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 xml:space="preserve">   </w:t>
            </w:r>
            <w:r w:rsidR="007F5840" w:rsidRPr="00603B78">
              <w:rPr>
                <w:rFonts w:eastAsia="Times New Roman"/>
                <w:color w:val="000000"/>
              </w:rPr>
              <w:t xml:space="preserve">  </w:t>
            </w:r>
            <w:r w:rsidRPr="00603B78">
              <w:rPr>
                <w:rFonts w:eastAsia="Times New Roman"/>
                <w:color w:val="000000"/>
              </w:rPr>
              <w:t>1</w:t>
            </w:r>
          </w:p>
          <w:p w:rsidR="0099096B" w:rsidRPr="00603B78" w:rsidRDefault="0099096B" w:rsidP="00E50278">
            <w:pPr>
              <w:spacing w:line="276" w:lineRule="auto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 xml:space="preserve">   </w:t>
            </w:r>
            <w:r w:rsidR="007F5840" w:rsidRPr="00603B78">
              <w:rPr>
                <w:rFonts w:eastAsia="Times New Roman"/>
                <w:color w:val="000000"/>
              </w:rPr>
              <w:t xml:space="preserve">  </w:t>
            </w:r>
            <w:r w:rsidRPr="00603B78">
              <w:rPr>
                <w:rFonts w:eastAsia="Times New Roman"/>
                <w:color w:val="000000"/>
              </w:rPr>
              <w:t>2</w:t>
            </w:r>
          </w:p>
          <w:p w:rsidR="0099096B" w:rsidRPr="00603B78" w:rsidRDefault="0099096B" w:rsidP="00E50278">
            <w:pPr>
              <w:spacing w:line="276" w:lineRule="auto"/>
            </w:pPr>
            <w:r w:rsidRPr="00603B78">
              <w:rPr>
                <w:rFonts w:eastAsia="Times New Roman"/>
                <w:color w:val="000000"/>
              </w:rPr>
              <w:t xml:space="preserve">   </w:t>
            </w:r>
            <w:r w:rsidR="007F5840" w:rsidRPr="00603B78">
              <w:rPr>
                <w:rFonts w:eastAsia="Times New Roman"/>
                <w:color w:val="000000"/>
              </w:rPr>
              <w:t xml:space="preserve">  </w:t>
            </w:r>
            <w:r w:rsidRPr="00603B78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410" w:type="dxa"/>
          </w:tcPr>
          <w:p w:rsidR="0099096B" w:rsidRPr="00603B78" w:rsidRDefault="0099096B" w:rsidP="00E50278">
            <w:pPr>
              <w:spacing w:line="276" w:lineRule="auto"/>
              <w:jc w:val="center"/>
            </w:pPr>
          </w:p>
          <w:p w:rsidR="0099096B" w:rsidRPr="00603B78" w:rsidRDefault="0099096B" w:rsidP="00E50278">
            <w:pPr>
              <w:spacing w:line="276" w:lineRule="auto"/>
              <w:jc w:val="center"/>
            </w:pPr>
            <w:r w:rsidRPr="00603B78">
              <w:t>3 (6.5%)</w:t>
            </w:r>
          </w:p>
          <w:p w:rsidR="0099096B" w:rsidRPr="00603B78" w:rsidRDefault="0099096B" w:rsidP="00E50278">
            <w:pPr>
              <w:spacing w:line="276" w:lineRule="auto"/>
              <w:jc w:val="center"/>
            </w:pPr>
            <w:r w:rsidRPr="00603B78">
              <w:t>14 (30.4%)</w:t>
            </w:r>
          </w:p>
          <w:p w:rsidR="0099096B" w:rsidRPr="00603B78" w:rsidRDefault="0099096B" w:rsidP="00E50278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603B78">
              <w:t>29 (63.0%)</w:t>
            </w:r>
          </w:p>
        </w:tc>
        <w:tc>
          <w:tcPr>
            <w:tcW w:w="2404" w:type="dxa"/>
          </w:tcPr>
          <w:p w:rsidR="0099096B" w:rsidRPr="00603B78" w:rsidRDefault="0099096B" w:rsidP="00E50278">
            <w:pPr>
              <w:spacing w:line="276" w:lineRule="auto"/>
              <w:jc w:val="center"/>
            </w:pPr>
          </w:p>
          <w:p w:rsidR="0099096B" w:rsidRPr="00603B78" w:rsidRDefault="0099096B" w:rsidP="00E50278">
            <w:pPr>
              <w:spacing w:line="276" w:lineRule="auto"/>
              <w:jc w:val="center"/>
            </w:pPr>
            <w:r w:rsidRPr="00603B78">
              <w:t>2 (22.2%)</w:t>
            </w:r>
          </w:p>
          <w:p w:rsidR="0099096B" w:rsidRPr="00603B78" w:rsidRDefault="0099096B" w:rsidP="00E50278">
            <w:pPr>
              <w:spacing w:line="276" w:lineRule="auto"/>
              <w:jc w:val="center"/>
            </w:pPr>
            <w:r w:rsidRPr="00603B78">
              <w:t>4 (44.4%)</w:t>
            </w:r>
          </w:p>
          <w:p w:rsidR="0099096B" w:rsidRPr="00603B78" w:rsidRDefault="0099096B" w:rsidP="00E50278">
            <w:pPr>
              <w:spacing w:line="276" w:lineRule="auto"/>
              <w:jc w:val="center"/>
              <w:rPr>
                <w:rFonts w:eastAsia="Times New Roman"/>
                <w:color w:val="000000" w:themeColor="text1"/>
              </w:rPr>
            </w:pPr>
            <w:r w:rsidRPr="00603B78">
              <w:t>3 (33.3%)</w:t>
            </w:r>
          </w:p>
        </w:tc>
      </w:tr>
      <w:tr w:rsidR="0099096B" w:rsidRPr="00603B78" w:rsidTr="00E50278">
        <w:tc>
          <w:tcPr>
            <w:tcW w:w="4248" w:type="dxa"/>
          </w:tcPr>
          <w:p w:rsidR="0099096B" w:rsidRPr="00603B78" w:rsidRDefault="0099096B" w:rsidP="00E50278">
            <w:pPr>
              <w:spacing w:line="276" w:lineRule="auto"/>
            </w:pPr>
            <w:r w:rsidRPr="00603B78">
              <w:rPr>
                <w:rFonts w:eastAsia="Times New Roman"/>
                <w:color w:val="000000"/>
              </w:rPr>
              <w:t>≥ 1 complicating comorbidit</w:t>
            </w:r>
            <w:r w:rsidR="00E50278" w:rsidRPr="00603B78">
              <w:rPr>
                <w:rFonts w:eastAsia="Times New Roman"/>
                <w:color w:val="000000"/>
              </w:rPr>
              <w:t>ies</w:t>
            </w:r>
            <w:r w:rsidRPr="00603B78">
              <w:rPr>
                <w:rFonts w:eastAsia="Times New Roman"/>
                <w:color w:val="000000"/>
              </w:rPr>
              <w:t xml:space="preserve"> </w:t>
            </w:r>
            <w:r w:rsidRPr="00603B78">
              <w:rPr>
                <w:rFonts w:eastAsia="Times New Roman"/>
                <w:color w:val="000000"/>
                <w:vertAlign w:val="subscript"/>
              </w:rPr>
              <w:t>(2)</w:t>
            </w:r>
          </w:p>
        </w:tc>
        <w:tc>
          <w:tcPr>
            <w:tcW w:w="2410" w:type="dxa"/>
            <w:vAlign w:val="bottom"/>
          </w:tcPr>
          <w:p w:rsidR="0099096B" w:rsidRPr="00603B78" w:rsidRDefault="0099096B" w:rsidP="00E50278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>41 (91.3%)</w:t>
            </w:r>
          </w:p>
        </w:tc>
        <w:tc>
          <w:tcPr>
            <w:tcW w:w="2404" w:type="dxa"/>
            <w:vAlign w:val="bottom"/>
          </w:tcPr>
          <w:p w:rsidR="0099096B" w:rsidRPr="00603B78" w:rsidRDefault="0099096B" w:rsidP="00E50278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>10 (88.9%)</w:t>
            </w:r>
          </w:p>
        </w:tc>
      </w:tr>
      <w:tr w:rsidR="0099096B" w:rsidRPr="00603B78" w:rsidTr="00E50278">
        <w:tc>
          <w:tcPr>
            <w:tcW w:w="4248" w:type="dxa"/>
          </w:tcPr>
          <w:p w:rsidR="0099096B" w:rsidRPr="00603B78" w:rsidRDefault="0099096B" w:rsidP="00E50278">
            <w:pPr>
              <w:spacing w:line="276" w:lineRule="auto"/>
            </w:pPr>
            <w:r w:rsidRPr="00603B78">
              <w:rPr>
                <w:rFonts w:eastAsia="Times New Roman"/>
                <w:color w:val="000000"/>
              </w:rPr>
              <w:t>≥ 1 complicating hernia characteristic</w:t>
            </w:r>
            <w:r w:rsidR="00E50278" w:rsidRPr="00603B78">
              <w:rPr>
                <w:rFonts w:eastAsia="Times New Roman"/>
                <w:color w:val="000000"/>
              </w:rPr>
              <w:t>s</w:t>
            </w:r>
            <w:r w:rsidRPr="00603B78">
              <w:rPr>
                <w:rFonts w:eastAsia="Times New Roman"/>
                <w:color w:val="000000"/>
              </w:rPr>
              <w:t xml:space="preserve"> </w:t>
            </w:r>
            <w:r w:rsidRPr="00603B78">
              <w:rPr>
                <w:rFonts w:eastAsia="Times New Roman"/>
                <w:color w:val="000000"/>
                <w:vertAlign w:val="subscript"/>
              </w:rPr>
              <w:t>(3)</w:t>
            </w:r>
          </w:p>
        </w:tc>
        <w:tc>
          <w:tcPr>
            <w:tcW w:w="2410" w:type="dxa"/>
            <w:vAlign w:val="bottom"/>
          </w:tcPr>
          <w:p w:rsidR="0099096B" w:rsidRPr="00603B78" w:rsidRDefault="0099096B" w:rsidP="00E50278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>44 (95.7%)</w:t>
            </w:r>
          </w:p>
        </w:tc>
        <w:tc>
          <w:tcPr>
            <w:tcW w:w="2404" w:type="dxa"/>
            <w:vAlign w:val="bottom"/>
          </w:tcPr>
          <w:p w:rsidR="0099096B" w:rsidRPr="00603B78" w:rsidRDefault="0099096B" w:rsidP="00E50278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>5 (55.6%)</w:t>
            </w:r>
          </w:p>
        </w:tc>
      </w:tr>
      <w:tr w:rsidR="00E62EFF" w:rsidRPr="00603B78" w:rsidTr="00E50278">
        <w:tc>
          <w:tcPr>
            <w:tcW w:w="9062" w:type="dxa"/>
            <w:gridSpan w:val="3"/>
            <w:shd w:val="clear" w:color="auto" w:fill="BFBFBF" w:themeFill="background1" w:themeFillShade="BF"/>
          </w:tcPr>
          <w:p w:rsidR="00E62EFF" w:rsidRPr="00603B78" w:rsidRDefault="00E62EFF" w:rsidP="00E50278">
            <w:pPr>
              <w:spacing w:line="276" w:lineRule="auto"/>
            </w:pPr>
            <w:r w:rsidRPr="00603B78">
              <w:rPr>
                <w:rFonts w:eastAsia="Times New Roman"/>
                <w:b/>
                <w:bCs/>
                <w:color w:val="000000"/>
              </w:rPr>
              <w:t>Operative data</w:t>
            </w:r>
          </w:p>
        </w:tc>
      </w:tr>
      <w:tr w:rsidR="0099096B" w:rsidRPr="00603B78" w:rsidTr="00E50278">
        <w:tc>
          <w:tcPr>
            <w:tcW w:w="4248" w:type="dxa"/>
            <w:vAlign w:val="bottom"/>
          </w:tcPr>
          <w:p w:rsidR="0099096B" w:rsidRPr="00603B78" w:rsidRDefault="0099096B" w:rsidP="00E50278">
            <w:pPr>
              <w:spacing w:line="276" w:lineRule="auto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 xml:space="preserve">CDC wound classification </w:t>
            </w:r>
          </w:p>
          <w:p w:rsidR="0099096B" w:rsidRPr="00603B78" w:rsidRDefault="0099096B" w:rsidP="00E50278">
            <w:pPr>
              <w:spacing w:line="276" w:lineRule="auto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 xml:space="preserve">   </w:t>
            </w:r>
            <w:r w:rsidR="007F5840" w:rsidRPr="00603B78">
              <w:rPr>
                <w:rFonts w:eastAsia="Times New Roman"/>
                <w:color w:val="000000"/>
              </w:rPr>
              <w:t xml:space="preserve">  </w:t>
            </w:r>
            <w:r w:rsidRPr="00603B78">
              <w:rPr>
                <w:rFonts w:eastAsia="Times New Roman"/>
                <w:color w:val="000000"/>
              </w:rPr>
              <w:t>clean</w:t>
            </w:r>
          </w:p>
          <w:p w:rsidR="0099096B" w:rsidRPr="00603B78" w:rsidRDefault="0099096B" w:rsidP="00E50278">
            <w:pPr>
              <w:spacing w:line="276" w:lineRule="auto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 xml:space="preserve">   </w:t>
            </w:r>
            <w:r w:rsidR="007F5840" w:rsidRPr="00603B78">
              <w:rPr>
                <w:rFonts w:eastAsia="Times New Roman"/>
                <w:color w:val="000000"/>
              </w:rPr>
              <w:t xml:space="preserve">  </w:t>
            </w:r>
            <w:r w:rsidRPr="00603B78">
              <w:rPr>
                <w:rFonts w:eastAsia="Times New Roman"/>
                <w:color w:val="000000"/>
              </w:rPr>
              <w:t>clean-contaminated</w:t>
            </w:r>
          </w:p>
          <w:p w:rsidR="0099096B" w:rsidRPr="00603B78" w:rsidRDefault="0099096B" w:rsidP="00E50278">
            <w:pPr>
              <w:spacing w:line="276" w:lineRule="auto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 xml:space="preserve">   </w:t>
            </w:r>
            <w:r w:rsidR="007F5840" w:rsidRPr="00603B78">
              <w:rPr>
                <w:rFonts w:eastAsia="Times New Roman"/>
                <w:color w:val="000000"/>
              </w:rPr>
              <w:t xml:space="preserve">  </w:t>
            </w:r>
            <w:r w:rsidRPr="00603B78">
              <w:rPr>
                <w:rFonts w:eastAsia="Times New Roman"/>
                <w:color w:val="000000"/>
              </w:rPr>
              <w:t>contaminated</w:t>
            </w:r>
          </w:p>
          <w:p w:rsidR="0099096B" w:rsidRPr="00603B78" w:rsidRDefault="0099096B" w:rsidP="00E50278">
            <w:pPr>
              <w:spacing w:line="276" w:lineRule="auto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 xml:space="preserve">   </w:t>
            </w:r>
            <w:r w:rsidR="007F5840" w:rsidRPr="00603B78">
              <w:rPr>
                <w:rFonts w:eastAsia="Times New Roman"/>
                <w:color w:val="000000"/>
              </w:rPr>
              <w:t xml:space="preserve">  </w:t>
            </w:r>
            <w:r w:rsidRPr="00603B78">
              <w:rPr>
                <w:rFonts w:eastAsia="Times New Roman"/>
                <w:color w:val="000000"/>
              </w:rPr>
              <w:t>dirty</w:t>
            </w:r>
          </w:p>
        </w:tc>
        <w:tc>
          <w:tcPr>
            <w:tcW w:w="2410" w:type="dxa"/>
          </w:tcPr>
          <w:p w:rsidR="0099096B" w:rsidRPr="00603B78" w:rsidRDefault="0099096B" w:rsidP="00E50278">
            <w:pPr>
              <w:spacing w:line="276" w:lineRule="auto"/>
              <w:jc w:val="center"/>
            </w:pPr>
          </w:p>
          <w:p w:rsidR="0099096B" w:rsidRPr="00603B78" w:rsidRDefault="0099096B" w:rsidP="00E50278">
            <w:pPr>
              <w:spacing w:line="276" w:lineRule="auto"/>
              <w:jc w:val="center"/>
            </w:pPr>
            <w:r w:rsidRPr="00603B78">
              <w:t>14 (30.4%)</w:t>
            </w:r>
          </w:p>
          <w:p w:rsidR="0099096B" w:rsidRPr="00603B78" w:rsidRDefault="0099096B" w:rsidP="00E50278">
            <w:pPr>
              <w:spacing w:line="276" w:lineRule="auto"/>
              <w:jc w:val="center"/>
            </w:pPr>
            <w:r w:rsidRPr="00603B78">
              <w:t>13 (28.3%)</w:t>
            </w:r>
          </w:p>
          <w:p w:rsidR="0099096B" w:rsidRPr="00603B78" w:rsidRDefault="0099096B" w:rsidP="00E50278">
            <w:pPr>
              <w:spacing w:line="276" w:lineRule="auto"/>
              <w:jc w:val="center"/>
            </w:pPr>
            <w:r w:rsidRPr="00603B78">
              <w:t>9 (19.6%)</w:t>
            </w:r>
          </w:p>
          <w:p w:rsidR="0099096B" w:rsidRPr="00603B78" w:rsidRDefault="0099096B" w:rsidP="00E50278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603B78">
              <w:t>10 (21.7%)</w:t>
            </w:r>
          </w:p>
        </w:tc>
        <w:tc>
          <w:tcPr>
            <w:tcW w:w="2404" w:type="dxa"/>
          </w:tcPr>
          <w:p w:rsidR="0099096B" w:rsidRPr="00603B78" w:rsidRDefault="0099096B" w:rsidP="00E50278">
            <w:pPr>
              <w:spacing w:line="276" w:lineRule="auto"/>
              <w:jc w:val="center"/>
            </w:pPr>
          </w:p>
          <w:p w:rsidR="0099096B" w:rsidRPr="00603B78" w:rsidRDefault="0099096B" w:rsidP="00E50278">
            <w:pPr>
              <w:spacing w:line="276" w:lineRule="auto"/>
              <w:jc w:val="center"/>
            </w:pPr>
            <w:r w:rsidRPr="00603B78">
              <w:t>6 (66.7%)</w:t>
            </w:r>
          </w:p>
          <w:p w:rsidR="0099096B" w:rsidRPr="00603B78" w:rsidRDefault="0099096B" w:rsidP="00E50278">
            <w:pPr>
              <w:spacing w:line="276" w:lineRule="auto"/>
              <w:jc w:val="center"/>
            </w:pPr>
            <w:r w:rsidRPr="00603B78">
              <w:t>3 (33.3%)</w:t>
            </w:r>
          </w:p>
          <w:p w:rsidR="0099096B" w:rsidRPr="00603B78" w:rsidRDefault="0099096B" w:rsidP="00E50278">
            <w:pPr>
              <w:spacing w:line="276" w:lineRule="auto"/>
              <w:jc w:val="center"/>
            </w:pPr>
            <w:r w:rsidRPr="00603B78">
              <w:t>0 (-)</w:t>
            </w:r>
          </w:p>
          <w:p w:rsidR="0099096B" w:rsidRPr="00603B78" w:rsidRDefault="0099096B" w:rsidP="00E50278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603B78">
              <w:t>0 (-)</w:t>
            </w:r>
          </w:p>
        </w:tc>
      </w:tr>
      <w:tr w:rsidR="00E62EFF" w:rsidRPr="00603B78" w:rsidTr="00E50278">
        <w:tc>
          <w:tcPr>
            <w:tcW w:w="9062" w:type="dxa"/>
            <w:gridSpan w:val="3"/>
            <w:shd w:val="clear" w:color="auto" w:fill="BFBFBF" w:themeFill="background1" w:themeFillShade="BF"/>
            <w:vAlign w:val="bottom"/>
          </w:tcPr>
          <w:p w:rsidR="00E62EFF" w:rsidRPr="00603B78" w:rsidRDefault="00E62EFF" w:rsidP="00E50278">
            <w:pPr>
              <w:spacing w:line="276" w:lineRule="auto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b/>
                <w:bCs/>
                <w:color w:val="000000"/>
              </w:rPr>
              <w:t>Outcomes</w:t>
            </w:r>
          </w:p>
        </w:tc>
      </w:tr>
      <w:tr w:rsidR="0099096B" w:rsidRPr="00603B78" w:rsidTr="00E50278">
        <w:tc>
          <w:tcPr>
            <w:tcW w:w="4248" w:type="dxa"/>
            <w:vAlign w:val="bottom"/>
          </w:tcPr>
          <w:p w:rsidR="0099096B" w:rsidRPr="00603B78" w:rsidRDefault="0099096B" w:rsidP="00E50278">
            <w:pPr>
              <w:spacing w:line="276" w:lineRule="auto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>Wound complications</w:t>
            </w:r>
          </w:p>
          <w:p w:rsidR="0099096B" w:rsidRPr="00603B78" w:rsidRDefault="0099096B" w:rsidP="00E50278">
            <w:pPr>
              <w:spacing w:line="276" w:lineRule="auto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 xml:space="preserve">   </w:t>
            </w:r>
            <w:r w:rsidR="007F5840" w:rsidRPr="00603B78">
              <w:rPr>
                <w:rFonts w:eastAsia="Times New Roman"/>
                <w:color w:val="000000"/>
              </w:rPr>
              <w:t xml:space="preserve">  </w:t>
            </w:r>
            <w:r w:rsidRPr="00603B78">
              <w:rPr>
                <w:rFonts w:eastAsia="Times New Roman"/>
                <w:color w:val="000000"/>
              </w:rPr>
              <w:t>SSI</w:t>
            </w:r>
          </w:p>
          <w:p w:rsidR="0099096B" w:rsidRPr="00603B78" w:rsidRDefault="0099096B" w:rsidP="00E50278">
            <w:pPr>
              <w:spacing w:line="276" w:lineRule="auto"/>
              <w:rPr>
                <w:rFonts w:eastAsia="Times New Roman"/>
                <w:color w:val="000000"/>
                <w:vertAlign w:val="subscript"/>
              </w:rPr>
            </w:pPr>
            <w:r w:rsidRPr="00603B78">
              <w:rPr>
                <w:rFonts w:eastAsia="Times New Roman"/>
                <w:color w:val="000000"/>
              </w:rPr>
              <w:t xml:space="preserve">   </w:t>
            </w:r>
            <w:r w:rsidR="007F5840" w:rsidRPr="00603B78">
              <w:rPr>
                <w:rFonts w:eastAsia="Times New Roman"/>
                <w:color w:val="000000"/>
              </w:rPr>
              <w:t xml:space="preserve">  </w:t>
            </w:r>
            <w:r w:rsidRPr="00603B78">
              <w:rPr>
                <w:rFonts w:eastAsia="Times New Roman"/>
                <w:color w:val="000000"/>
              </w:rPr>
              <w:t xml:space="preserve">SSI in contact with mesh </w:t>
            </w:r>
            <w:r w:rsidRPr="00603B78">
              <w:rPr>
                <w:rFonts w:eastAsia="Times New Roman"/>
                <w:color w:val="000000"/>
                <w:vertAlign w:val="subscript"/>
              </w:rPr>
              <w:t>(4)</w:t>
            </w:r>
          </w:p>
          <w:p w:rsidR="0099096B" w:rsidRPr="00603B78" w:rsidRDefault="0099096B" w:rsidP="00E50278">
            <w:pPr>
              <w:spacing w:line="276" w:lineRule="auto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 xml:space="preserve">   </w:t>
            </w:r>
            <w:r w:rsidR="007F5840" w:rsidRPr="00603B78">
              <w:rPr>
                <w:rFonts w:eastAsia="Times New Roman"/>
                <w:color w:val="000000"/>
              </w:rPr>
              <w:t xml:space="preserve">  </w:t>
            </w:r>
            <w:r w:rsidRPr="00603B78">
              <w:rPr>
                <w:rFonts w:eastAsia="Times New Roman"/>
                <w:color w:val="000000"/>
              </w:rPr>
              <w:t>SSO</w:t>
            </w:r>
          </w:p>
          <w:p w:rsidR="0099096B" w:rsidRPr="00603B78" w:rsidRDefault="0099096B" w:rsidP="00E50278">
            <w:pPr>
              <w:spacing w:line="276" w:lineRule="auto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 xml:space="preserve">   </w:t>
            </w:r>
            <w:r w:rsidR="007F5840" w:rsidRPr="00603B78">
              <w:rPr>
                <w:rFonts w:eastAsia="Times New Roman"/>
                <w:color w:val="000000"/>
              </w:rPr>
              <w:t xml:space="preserve">  </w:t>
            </w:r>
            <w:r w:rsidRPr="00603B78">
              <w:rPr>
                <w:rFonts w:eastAsia="Times New Roman"/>
                <w:color w:val="000000"/>
              </w:rPr>
              <w:t>SSOPI</w:t>
            </w:r>
          </w:p>
        </w:tc>
        <w:tc>
          <w:tcPr>
            <w:tcW w:w="2410" w:type="dxa"/>
            <w:vAlign w:val="bottom"/>
          </w:tcPr>
          <w:p w:rsidR="0099096B" w:rsidRPr="00603B78" w:rsidRDefault="0099096B" w:rsidP="00E50278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>21 (45.7%)</w:t>
            </w:r>
          </w:p>
          <w:p w:rsidR="0099096B" w:rsidRPr="00603B78" w:rsidRDefault="0099096B" w:rsidP="00E50278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>12 (26.1%)</w:t>
            </w:r>
          </w:p>
          <w:p w:rsidR="0099096B" w:rsidRPr="00603B78" w:rsidRDefault="0099096B" w:rsidP="00E50278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>36 (78.3%)</w:t>
            </w:r>
          </w:p>
          <w:p w:rsidR="0099096B" w:rsidRPr="00603B78" w:rsidRDefault="0099096B" w:rsidP="00E50278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>29 (63.0%)</w:t>
            </w:r>
          </w:p>
        </w:tc>
        <w:tc>
          <w:tcPr>
            <w:tcW w:w="2404" w:type="dxa"/>
            <w:vAlign w:val="bottom"/>
          </w:tcPr>
          <w:p w:rsidR="0099096B" w:rsidRPr="00603B78" w:rsidRDefault="0099096B" w:rsidP="00E50278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>5 (55.6%)</w:t>
            </w:r>
          </w:p>
          <w:p w:rsidR="0099096B" w:rsidRPr="00603B78" w:rsidRDefault="0099096B" w:rsidP="00E50278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>4 (44.4%)</w:t>
            </w:r>
          </w:p>
          <w:p w:rsidR="0099096B" w:rsidRPr="00603B78" w:rsidRDefault="0099096B" w:rsidP="00E50278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>7 (77.8%)</w:t>
            </w:r>
          </w:p>
          <w:p w:rsidR="0099096B" w:rsidRPr="00603B78" w:rsidRDefault="0099096B" w:rsidP="00E50278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>4 (44.4%)</w:t>
            </w:r>
          </w:p>
        </w:tc>
      </w:tr>
      <w:tr w:rsidR="0099096B" w:rsidRPr="00603B78" w:rsidTr="00E50278">
        <w:tc>
          <w:tcPr>
            <w:tcW w:w="4248" w:type="dxa"/>
            <w:vAlign w:val="bottom"/>
          </w:tcPr>
          <w:p w:rsidR="0099096B" w:rsidRPr="00603B78" w:rsidRDefault="0099096B" w:rsidP="00E50278">
            <w:pPr>
              <w:spacing w:line="276" w:lineRule="auto"/>
              <w:rPr>
                <w:rFonts w:eastAsia="Times New Roman"/>
                <w:color w:val="000000"/>
                <w:vertAlign w:val="subscript"/>
              </w:rPr>
            </w:pPr>
            <w:r w:rsidRPr="00603B78">
              <w:rPr>
                <w:rFonts w:eastAsia="Times New Roman"/>
                <w:color w:val="000000"/>
              </w:rPr>
              <w:t xml:space="preserve">Clinical outcomes </w:t>
            </w:r>
            <w:r w:rsidRPr="00603B78">
              <w:rPr>
                <w:rFonts w:eastAsia="Times New Roman"/>
                <w:color w:val="000000"/>
                <w:vertAlign w:val="subscript"/>
              </w:rPr>
              <w:t>(5)</w:t>
            </w:r>
          </w:p>
          <w:p w:rsidR="0099096B" w:rsidRPr="00603B78" w:rsidRDefault="0099096B" w:rsidP="00E50278">
            <w:pPr>
              <w:spacing w:line="276" w:lineRule="auto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 xml:space="preserve">   </w:t>
            </w:r>
            <w:r w:rsidR="007F5840" w:rsidRPr="00603B78">
              <w:rPr>
                <w:rFonts w:eastAsia="Times New Roman"/>
                <w:color w:val="000000"/>
              </w:rPr>
              <w:t xml:space="preserve">  </w:t>
            </w:r>
            <w:r w:rsidRPr="00603B78">
              <w:rPr>
                <w:rFonts w:eastAsia="Times New Roman"/>
                <w:color w:val="000000"/>
              </w:rPr>
              <w:t>mesh excision for persistent infection</w:t>
            </w:r>
          </w:p>
          <w:p w:rsidR="0099096B" w:rsidRPr="00603B78" w:rsidRDefault="0099096B" w:rsidP="00E50278">
            <w:pPr>
              <w:spacing w:line="276" w:lineRule="auto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 xml:space="preserve">   </w:t>
            </w:r>
            <w:r w:rsidR="007F5840" w:rsidRPr="00603B78">
              <w:rPr>
                <w:rFonts w:eastAsia="Times New Roman"/>
                <w:color w:val="000000"/>
              </w:rPr>
              <w:t xml:space="preserve">  </w:t>
            </w:r>
            <w:r w:rsidRPr="00603B78">
              <w:rPr>
                <w:rFonts w:eastAsia="Times New Roman"/>
                <w:color w:val="000000"/>
              </w:rPr>
              <w:t xml:space="preserve">hernia recurrence </w:t>
            </w:r>
            <w:r w:rsidRPr="00603B78">
              <w:rPr>
                <w:rFonts w:eastAsia="Times New Roman"/>
                <w:color w:val="000000"/>
                <w:vertAlign w:val="subscript"/>
              </w:rPr>
              <w:t>(6)</w:t>
            </w:r>
          </w:p>
        </w:tc>
        <w:tc>
          <w:tcPr>
            <w:tcW w:w="2410" w:type="dxa"/>
            <w:vAlign w:val="bottom"/>
          </w:tcPr>
          <w:p w:rsidR="0099096B" w:rsidRPr="00603B78" w:rsidRDefault="0099096B" w:rsidP="00E50278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>0 (-)</w:t>
            </w:r>
          </w:p>
          <w:p w:rsidR="0099096B" w:rsidRPr="00603B78" w:rsidRDefault="0099096B" w:rsidP="00E50278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>4 (8.7%)</w:t>
            </w:r>
          </w:p>
        </w:tc>
        <w:tc>
          <w:tcPr>
            <w:tcW w:w="2404" w:type="dxa"/>
            <w:vAlign w:val="bottom"/>
          </w:tcPr>
          <w:p w:rsidR="0099096B" w:rsidRPr="00603B78" w:rsidRDefault="0099096B" w:rsidP="00E50278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>0 (-)</w:t>
            </w:r>
          </w:p>
          <w:p w:rsidR="0099096B" w:rsidRPr="00603B78" w:rsidRDefault="0099096B" w:rsidP="00E50278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603B78">
              <w:rPr>
                <w:rFonts w:eastAsia="Times New Roman"/>
                <w:color w:val="000000"/>
              </w:rPr>
              <w:t>1 (11.1%)</w:t>
            </w:r>
          </w:p>
        </w:tc>
      </w:tr>
    </w:tbl>
    <w:p w:rsidR="00E50278" w:rsidRPr="00603B78" w:rsidRDefault="00E50278" w:rsidP="00E50278">
      <w:pPr>
        <w:pStyle w:val="NoSpacing"/>
        <w:spacing w:line="360" w:lineRule="auto"/>
        <w:rPr>
          <w:rFonts w:ascii="Times New Roman" w:hAnsi="Times New Roman" w:cs="Times New Roman"/>
          <w:b/>
        </w:rPr>
      </w:pPr>
    </w:p>
    <w:p w:rsidR="00E50278" w:rsidRPr="00603B78" w:rsidRDefault="00E50278" w:rsidP="00E50278">
      <w:pPr>
        <w:pStyle w:val="NoSpacing"/>
        <w:spacing w:line="360" w:lineRule="auto"/>
        <w:rPr>
          <w:rFonts w:ascii="Times New Roman" w:hAnsi="Times New Roman" w:cs="Times New Roman"/>
        </w:rPr>
      </w:pPr>
      <w:r w:rsidRPr="00603B78">
        <w:rPr>
          <w:rFonts w:ascii="Times New Roman" w:hAnsi="Times New Roman" w:cs="Times New Roman"/>
        </w:rPr>
        <w:t>Summary of the preoperative risk classification, operative wound classification, postoperative wound complications, and clinical outcomes presented for patients with a ventral hernia and patients with an open abdomen.</w:t>
      </w:r>
    </w:p>
    <w:p w:rsidR="00E50278" w:rsidRPr="00603B78" w:rsidRDefault="00E50278" w:rsidP="00E50278">
      <w:pPr>
        <w:pStyle w:val="NoSpacing"/>
        <w:spacing w:line="360" w:lineRule="auto"/>
        <w:rPr>
          <w:rFonts w:ascii="Times New Roman" w:hAnsi="Times New Roman" w:cs="Times New Roman"/>
        </w:rPr>
      </w:pPr>
    </w:p>
    <w:p w:rsidR="00E50278" w:rsidRPr="00603B78" w:rsidRDefault="00E50278" w:rsidP="00E50278">
      <w:pPr>
        <w:pStyle w:val="NoSpacing"/>
        <w:spacing w:line="360" w:lineRule="auto"/>
        <w:rPr>
          <w:rFonts w:ascii="Times New Roman" w:hAnsi="Times New Roman" w:cs="Times New Roman"/>
        </w:rPr>
      </w:pPr>
      <w:r w:rsidRPr="00603B78">
        <w:rPr>
          <w:rFonts w:ascii="Times New Roman" w:hAnsi="Times New Roman" w:cs="Times New Roman"/>
        </w:rPr>
        <w:t>(1) The modified VHWG classification is originally not designed to classify patients with an open abdomen. (2) Including: age &gt; 70, active smoking, BMI &gt;30, COPD, cardiac disease, DM, anticoagulative or immunosuppressive medication, previous abdominal wound infection. (3) Including: presence of a stoma, intestinal fistula, infected mesh, transverse defect width ≥10cm, loss of domain &gt;20%, previous hernia repair, concomitant bowel surgery. (4) C</w:t>
      </w:r>
      <w:r w:rsidRPr="00603B78">
        <w:rPr>
          <w:rFonts w:ascii="Times New Roman" w:hAnsi="Times New Roman" w:cs="Times New Roman"/>
          <w:lang w:val="en-GB"/>
        </w:rPr>
        <w:t xml:space="preserve">onfirmed by CT imaging. </w:t>
      </w:r>
      <w:r w:rsidRPr="00603B78">
        <w:rPr>
          <w:rFonts w:ascii="Times New Roman" w:hAnsi="Times New Roman" w:cs="Times New Roman"/>
        </w:rPr>
        <w:t>(5) Assessed at a median follow-up of 13.0 months (IQR 9.0-17.0). (6) Defined as a CT confirmed hernia recurrence.</w:t>
      </w:r>
    </w:p>
    <w:p w:rsidR="00E50278" w:rsidRPr="00603B78" w:rsidRDefault="00E50278" w:rsidP="00E50278">
      <w:pPr>
        <w:pStyle w:val="NoSpacing"/>
        <w:spacing w:line="360" w:lineRule="auto"/>
        <w:rPr>
          <w:rFonts w:ascii="Times New Roman" w:hAnsi="Times New Roman" w:cs="Times New Roman"/>
        </w:rPr>
      </w:pPr>
    </w:p>
    <w:p w:rsidR="00A2245E" w:rsidRPr="00E50278" w:rsidRDefault="00E50278" w:rsidP="00E62EFF">
      <w:pPr>
        <w:pStyle w:val="NoSpacing"/>
        <w:spacing w:line="360" w:lineRule="auto"/>
        <w:rPr>
          <w:rFonts w:ascii="Times New Roman" w:hAnsi="Times New Roman" w:cs="Times New Roman"/>
        </w:rPr>
      </w:pPr>
      <w:r w:rsidRPr="00603B78">
        <w:rPr>
          <w:rFonts w:ascii="Times New Roman" w:hAnsi="Times New Roman" w:cs="Times New Roman"/>
        </w:rPr>
        <w:t xml:space="preserve">Abbreviations: </w:t>
      </w:r>
      <w:r w:rsidRPr="00603B78">
        <w:rPr>
          <w:rFonts w:ascii="Times New Roman" w:hAnsi="Times New Roman" w:cs="Times New Roman"/>
          <w:i/>
        </w:rPr>
        <w:t>VHWG:</w:t>
      </w:r>
      <w:r w:rsidRPr="00603B78">
        <w:rPr>
          <w:rFonts w:ascii="Times New Roman" w:hAnsi="Times New Roman" w:cs="Times New Roman"/>
        </w:rPr>
        <w:t xml:space="preserve"> Ventral Hernia Working Group, </w:t>
      </w:r>
      <w:r w:rsidRPr="00603B78">
        <w:rPr>
          <w:rFonts w:ascii="Times New Roman" w:hAnsi="Times New Roman" w:cs="Times New Roman"/>
          <w:i/>
        </w:rPr>
        <w:t>CDC:</w:t>
      </w:r>
      <w:r w:rsidRPr="00603B78">
        <w:rPr>
          <w:rFonts w:ascii="Times New Roman" w:hAnsi="Times New Roman" w:cs="Times New Roman"/>
        </w:rPr>
        <w:t xml:space="preserve"> Center for Disease Control and Prevention, </w:t>
      </w:r>
      <w:r w:rsidRPr="00603B78">
        <w:rPr>
          <w:rFonts w:ascii="Times New Roman" w:hAnsi="Times New Roman" w:cs="Times New Roman"/>
          <w:i/>
        </w:rPr>
        <w:t>SSI:</w:t>
      </w:r>
      <w:r w:rsidRPr="00603B78">
        <w:rPr>
          <w:rFonts w:ascii="Times New Roman" w:hAnsi="Times New Roman" w:cs="Times New Roman"/>
        </w:rPr>
        <w:t xml:space="preserve"> Surgical Site Infection, </w:t>
      </w:r>
      <w:r w:rsidRPr="00603B78">
        <w:rPr>
          <w:rFonts w:ascii="Times New Roman" w:hAnsi="Times New Roman" w:cs="Times New Roman"/>
          <w:i/>
        </w:rPr>
        <w:t>SSO:</w:t>
      </w:r>
      <w:r w:rsidRPr="00603B78">
        <w:rPr>
          <w:rFonts w:ascii="Times New Roman" w:hAnsi="Times New Roman" w:cs="Times New Roman"/>
        </w:rPr>
        <w:t xml:space="preserve"> Surgical Site Occurrence, </w:t>
      </w:r>
      <w:r w:rsidRPr="00603B78">
        <w:rPr>
          <w:rFonts w:ascii="Times New Roman" w:hAnsi="Times New Roman" w:cs="Times New Roman"/>
          <w:i/>
        </w:rPr>
        <w:t>SSOPI:</w:t>
      </w:r>
      <w:r w:rsidRPr="00603B78">
        <w:rPr>
          <w:rFonts w:ascii="Times New Roman" w:hAnsi="Times New Roman" w:cs="Times New Roman"/>
        </w:rPr>
        <w:t xml:space="preserve"> Surgical Site Occurrence requiring Procedural Intervention</w:t>
      </w:r>
      <w:bookmarkStart w:id="0" w:name="_GoBack"/>
      <w:bookmarkEnd w:id="0"/>
    </w:p>
    <w:sectPr w:rsidR="00A2245E" w:rsidRPr="00E50278" w:rsidSect="00603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96B"/>
    <w:rsid w:val="00603B78"/>
    <w:rsid w:val="007F1A2F"/>
    <w:rsid w:val="007F5840"/>
    <w:rsid w:val="0093702D"/>
    <w:rsid w:val="0099096B"/>
    <w:rsid w:val="00A11857"/>
    <w:rsid w:val="00A2245E"/>
    <w:rsid w:val="00B87C95"/>
    <w:rsid w:val="00C96BBF"/>
    <w:rsid w:val="00CB3D3E"/>
    <w:rsid w:val="00D939C3"/>
    <w:rsid w:val="00E50278"/>
    <w:rsid w:val="00E6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9821F8-61F2-411B-A07A-3999B428E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62EFF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Timmer, A.S. (Simba)</dc:creator>
  <cp:keywords/>
  <dc:description/>
  <cp:lastModifiedBy>Ganesh Boopathy</cp:lastModifiedBy>
  <cp:revision>3</cp:revision>
  <dcterms:created xsi:type="dcterms:W3CDTF">2022-02-25T09:12:00Z</dcterms:created>
  <dcterms:modified xsi:type="dcterms:W3CDTF">2022-03-25T23:47:00Z</dcterms:modified>
</cp:coreProperties>
</file>