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633" w:rsidRPr="00BE5189" w:rsidRDefault="00F01633" w:rsidP="00F01633">
      <w:pPr>
        <w:rPr>
          <w:rFonts w:ascii="Times New Roman" w:hAnsi="Times New Roman" w:cs="Times New Roman"/>
          <w:b/>
          <w:sz w:val="20"/>
          <w:szCs w:val="20"/>
        </w:rPr>
      </w:pPr>
      <w:r w:rsidRPr="00BE5189">
        <w:rPr>
          <w:rFonts w:ascii="Times New Roman" w:hAnsi="Times New Roman" w:cs="Times New Roman"/>
          <w:b/>
          <w:sz w:val="20"/>
          <w:szCs w:val="20"/>
        </w:rPr>
        <w:t>Topical Antimicrobial Treatment of Mesh for the Reduction of Surgical Site Infections after Hernia Repair</w:t>
      </w:r>
    </w:p>
    <w:p w:rsidR="00F01633" w:rsidRPr="00BE5189" w:rsidRDefault="00F01633" w:rsidP="00F01633">
      <w:pPr>
        <w:rPr>
          <w:rFonts w:ascii="Times New Roman" w:hAnsi="Times New Roman" w:cs="Times New Roman"/>
          <w:sz w:val="20"/>
          <w:szCs w:val="20"/>
        </w:rPr>
      </w:pPr>
      <w:r w:rsidRPr="00BE5189">
        <w:rPr>
          <w:rFonts w:ascii="Times New Roman" w:hAnsi="Times New Roman" w:cs="Times New Roman"/>
          <w:sz w:val="20"/>
          <w:szCs w:val="20"/>
        </w:rPr>
        <w:t>A Systematic Review and Meta-Analysis</w:t>
      </w:r>
      <w:bookmarkStart w:id="0" w:name="_GoBack"/>
      <w:bookmarkEnd w:id="0"/>
    </w:p>
    <w:p w:rsidR="00F01633" w:rsidRPr="00C73A3E" w:rsidRDefault="00F01633" w:rsidP="00F01633">
      <w:pPr>
        <w:rPr>
          <w:rFonts w:ascii="Times New Roman" w:hAnsi="Times New Roman" w:cs="Times New Roman"/>
          <w:b/>
          <w:sz w:val="20"/>
          <w:szCs w:val="20"/>
        </w:rPr>
      </w:pPr>
      <w:r w:rsidRPr="00C73A3E">
        <w:rPr>
          <w:rFonts w:ascii="Times New Roman" w:hAnsi="Times New Roman" w:cs="Times New Roman"/>
          <w:b/>
          <w:sz w:val="20"/>
          <w:szCs w:val="20"/>
        </w:rPr>
        <w:t>Hernia</w:t>
      </w:r>
    </w:p>
    <w:p w:rsidR="00F01633" w:rsidRPr="00524D9C" w:rsidRDefault="00F01633" w:rsidP="00F01633">
      <w:pPr>
        <w:pStyle w:val="Heading1"/>
        <w:spacing w:line="240" w:lineRule="auto"/>
      </w:pPr>
      <w:bookmarkStart w:id="1" w:name="_Toc151984948"/>
      <w:r>
        <w:rPr>
          <w:rFonts w:ascii="Times New Roman" w:eastAsia="Calibri" w:hAnsi="Times New Roman" w:cs="Times New Roman"/>
          <w:b/>
          <w:color w:val="auto"/>
          <w:sz w:val="24"/>
          <w:lang w:val="en-GB"/>
        </w:rPr>
        <w:t>Online Resource 2</w:t>
      </w:r>
      <w:r w:rsidRPr="002A2C22">
        <w:rPr>
          <w:rFonts w:ascii="Times New Roman" w:eastAsia="Calibri" w:hAnsi="Times New Roman" w:cs="Times New Roman"/>
          <w:b/>
          <w:color w:val="auto"/>
          <w:sz w:val="24"/>
          <w:lang w:val="en-GB"/>
        </w:rPr>
        <w:t>. Reasons for exclusion after full text review</w:t>
      </w:r>
      <w:bookmarkEnd w:id="1"/>
      <w:r>
        <w:rPr>
          <w:rFonts w:ascii="Times New Roman" w:eastAsia="Calibri" w:hAnsi="Times New Roman" w:cs="Times New Roman"/>
          <w:b/>
          <w:color w:val="auto"/>
          <w:sz w:val="24"/>
          <w:lang w:val="en-GB"/>
        </w:rPr>
        <w:br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685"/>
        <w:gridCol w:w="4962"/>
      </w:tblGrid>
      <w:tr w:rsidR="00F01633" w:rsidRPr="00524D9C" w:rsidTr="00EB4860">
        <w:trPr>
          <w:trHeight w:val="315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F01633" w:rsidRPr="00524D9C" w:rsidRDefault="00F01633" w:rsidP="00EB486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4D9C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633" w:rsidRPr="00524D9C" w:rsidRDefault="00F01633" w:rsidP="00EB486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4D9C">
              <w:rPr>
                <w:rFonts w:ascii="Times New Roman" w:hAnsi="Times New Roman" w:cs="Times New Roman"/>
                <w:b/>
                <w:sz w:val="16"/>
                <w:szCs w:val="16"/>
              </w:rPr>
              <w:t> Study</w:t>
            </w:r>
          </w:p>
        </w:tc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F01633" w:rsidRPr="00524D9C" w:rsidRDefault="00F01633" w:rsidP="00EB486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4D9C">
              <w:rPr>
                <w:rFonts w:ascii="Times New Roman" w:hAnsi="Times New Roman" w:cs="Times New Roman"/>
                <w:b/>
                <w:sz w:val="16"/>
                <w:szCs w:val="16"/>
              </w:rPr>
              <w:t>Reason for exclusion</w:t>
            </w:r>
          </w:p>
        </w:tc>
      </w:tr>
      <w:tr w:rsidR="00F01633" w:rsidRPr="00524D9C" w:rsidTr="00EB4860">
        <w:trPr>
          <w:trHeight w:val="56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F01633" w:rsidRPr="00524D9C" w:rsidRDefault="00F01633" w:rsidP="00EB486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24D9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33" w:rsidRPr="00524D9C" w:rsidRDefault="00F01633" w:rsidP="00CE0BF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24D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Roth 2022 </w:t>
            </w:r>
            <w:r w:rsidRPr="00524D9C">
              <w:rPr>
                <w:rFonts w:ascii="Times New Roman" w:hAnsi="Times New Roman" w:cs="Times New Roman"/>
                <w:noProof/>
                <w:sz w:val="16"/>
                <w:szCs w:val="16"/>
                <w:lang w:val="en-GB"/>
              </w:rPr>
              <w:t>[1]</w:t>
            </w:r>
            <w:r w:rsidR="00CE0BFB" w:rsidRPr="00524D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F01633" w:rsidRPr="00524D9C" w:rsidRDefault="00F01633" w:rsidP="00EB48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524D9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Not assess PICO</w:t>
            </w:r>
          </w:p>
        </w:tc>
      </w:tr>
      <w:tr w:rsidR="00F01633" w:rsidRPr="00524D9C" w:rsidTr="00EB4860">
        <w:trPr>
          <w:trHeight w:val="56"/>
        </w:trPr>
        <w:tc>
          <w:tcPr>
            <w:tcW w:w="562" w:type="dxa"/>
            <w:shd w:val="clear" w:color="auto" w:fill="auto"/>
            <w:noWrap/>
            <w:vAlign w:val="bottom"/>
          </w:tcPr>
          <w:p w:rsidR="00F01633" w:rsidRPr="00524D9C" w:rsidRDefault="00F01633" w:rsidP="00EB486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24D9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33" w:rsidRPr="00524D9C" w:rsidRDefault="00F01633" w:rsidP="00CE0BF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  <w:proofErr w:type="spellStart"/>
            <w:r w:rsidRPr="00524D9C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Mirel</w:t>
            </w:r>
            <w:proofErr w:type="spellEnd"/>
            <w:r w:rsidRPr="00524D9C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 xml:space="preserve"> 2022 </w:t>
            </w:r>
            <w:r w:rsidRPr="00524D9C">
              <w:rPr>
                <w:rFonts w:ascii="Times New Roman" w:hAnsi="Times New Roman" w:cs="Times New Roman"/>
                <w:noProof/>
                <w:sz w:val="16"/>
                <w:szCs w:val="16"/>
                <w:lang w:val="nl-NL"/>
              </w:rPr>
              <w:t>[2]</w:t>
            </w:r>
            <w:r w:rsidR="00CE0BFB" w:rsidRPr="00524D9C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F01633" w:rsidRPr="00524D9C" w:rsidRDefault="00F01633" w:rsidP="00EB48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nl-NL"/>
              </w:rPr>
            </w:pPr>
            <w:r w:rsidRPr="00524D9C">
              <w:rPr>
                <w:rFonts w:ascii="Times New Roman" w:hAnsi="Times New Roman" w:cs="Times New Roman"/>
                <w:color w:val="000000"/>
                <w:sz w:val="16"/>
                <w:szCs w:val="16"/>
                <w:lang w:val="nl-NL"/>
              </w:rPr>
              <w:t xml:space="preserve">Review </w:t>
            </w:r>
            <w:proofErr w:type="spellStart"/>
            <w:r w:rsidRPr="00524D9C">
              <w:rPr>
                <w:rFonts w:ascii="Times New Roman" w:hAnsi="Times New Roman" w:cs="Times New Roman"/>
                <w:color w:val="000000"/>
                <w:sz w:val="16"/>
                <w:szCs w:val="16"/>
                <w:lang w:val="nl-NL"/>
              </w:rPr>
              <w:t>article</w:t>
            </w:r>
            <w:proofErr w:type="spellEnd"/>
          </w:p>
        </w:tc>
      </w:tr>
      <w:tr w:rsidR="00F01633" w:rsidRPr="00524D9C" w:rsidTr="00EB4860">
        <w:trPr>
          <w:trHeight w:val="56"/>
        </w:trPr>
        <w:tc>
          <w:tcPr>
            <w:tcW w:w="562" w:type="dxa"/>
            <w:shd w:val="clear" w:color="auto" w:fill="auto"/>
            <w:noWrap/>
            <w:vAlign w:val="bottom"/>
          </w:tcPr>
          <w:p w:rsidR="00F01633" w:rsidRPr="00524D9C" w:rsidRDefault="00F01633" w:rsidP="00EB486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24D9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33" w:rsidRPr="00524D9C" w:rsidRDefault="00F01633" w:rsidP="00CE0BF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  <w:r w:rsidRPr="00524D9C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 xml:space="preserve">Robinson 2021 </w:t>
            </w:r>
            <w:r w:rsidRPr="00524D9C">
              <w:rPr>
                <w:rFonts w:ascii="Times New Roman" w:hAnsi="Times New Roman" w:cs="Times New Roman"/>
                <w:noProof/>
                <w:sz w:val="16"/>
                <w:szCs w:val="16"/>
                <w:lang w:val="nl-NL"/>
              </w:rPr>
              <w:t>[3]</w:t>
            </w:r>
            <w:r w:rsidR="00CE0BFB">
              <w:rPr>
                <w:rFonts w:ascii="Times New Roman" w:hAnsi="Times New Roman" w:cs="Times New Roman"/>
                <w:noProof/>
                <w:sz w:val="16"/>
                <w:szCs w:val="16"/>
                <w:lang w:val="nl-NL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F01633" w:rsidRPr="00524D9C" w:rsidRDefault="00F01633" w:rsidP="00CE0B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524D9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Partial follow-up study from same population </w:t>
            </w:r>
            <w:r w:rsidR="00207A78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as </w:t>
            </w:r>
            <w:r w:rsidRPr="00524D9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Baker </w:t>
            </w:r>
            <w:r w:rsidRPr="00524D9C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  <w:lang w:val="en-GB"/>
              </w:rPr>
              <w:t>[4]</w:t>
            </w:r>
            <w:r w:rsidR="00CE0BFB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  <w:lang w:val="en-GB"/>
              </w:rPr>
              <w:t xml:space="preserve"> </w:t>
            </w:r>
          </w:p>
        </w:tc>
      </w:tr>
      <w:tr w:rsidR="00F01633" w:rsidRPr="00524D9C" w:rsidTr="00EB4860">
        <w:trPr>
          <w:trHeight w:val="56"/>
        </w:trPr>
        <w:tc>
          <w:tcPr>
            <w:tcW w:w="562" w:type="dxa"/>
            <w:shd w:val="clear" w:color="auto" w:fill="auto"/>
            <w:noWrap/>
            <w:vAlign w:val="bottom"/>
          </w:tcPr>
          <w:p w:rsidR="00F01633" w:rsidRPr="00524D9C" w:rsidRDefault="00F01633" w:rsidP="00EB486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24D9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33" w:rsidRPr="00524D9C" w:rsidRDefault="00F01633" w:rsidP="00CE0BF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24D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Warren 2019 </w:t>
            </w:r>
            <w:r w:rsidRPr="00524D9C">
              <w:rPr>
                <w:rFonts w:ascii="Times New Roman" w:hAnsi="Times New Roman" w:cs="Times New Roman"/>
                <w:noProof/>
                <w:sz w:val="16"/>
                <w:szCs w:val="16"/>
                <w:lang w:val="en-GB"/>
              </w:rPr>
              <w:t>[5]</w:t>
            </w:r>
            <w:r w:rsidR="00CE0BFB">
              <w:rPr>
                <w:rFonts w:ascii="Times New Roman" w:hAnsi="Times New Roman" w:cs="Times New Roman"/>
                <w:noProof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F01633" w:rsidRPr="00524D9C" w:rsidRDefault="00F01633" w:rsidP="00EB48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524D9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Study protocol</w:t>
            </w:r>
          </w:p>
        </w:tc>
      </w:tr>
      <w:tr w:rsidR="00F01633" w:rsidRPr="00524D9C" w:rsidTr="00EB4860">
        <w:trPr>
          <w:trHeight w:val="56"/>
        </w:trPr>
        <w:tc>
          <w:tcPr>
            <w:tcW w:w="562" w:type="dxa"/>
            <w:shd w:val="clear" w:color="auto" w:fill="auto"/>
            <w:noWrap/>
            <w:vAlign w:val="bottom"/>
          </w:tcPr>
          <w:p w:rsidR="00F01633" w:rsidRPr="00524D9C" w:rsidRDefault="00F01633" w:rsidP="00EB486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24D9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33" w:rsidRPr="00524D9C" w:rsidRDefault="00F01633" w:rsidP="00CE0BF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524D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Gogoladze</w:t>
            </w:r>
            <w:proofErr w:type="spellEnd"/>
            <w:r w:rsidRPr="00524D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2016 </w:t>
            </w:r>
            <w:r w:rsidRPr="00524D9C">
              <w:rPr>
                <w:rFonts w:ascii="Times New Roman" w:hAnsi="Times New Roman" w:cs="Times New Roman"/>
                <w:noProof/>
                <w:sz w:val="16"/>
                <w:szCs w:val="16"/>
                <w:lang w:val="en-GB"/>
              </w:rPr>
              <w:t>[6]</w:t>
            </w:r>
            <w:r w:rsidR="00CE0BFB">
              <w:rPr>
                <w:rFonts w:ascii="Times New Roman" w:hAnsi="Times New Roman" w:cs="Times New Roman"/>
                <w:noProof/>
                <w:sz w:val="16"/>
                <w:szCs w:val="16"/>
                <w:lang w:val="en-GB"/>
              </w:rPr>
              <w:t xml:space="preserve">  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F01633" w:rsidRPr="00524D9C" w:rsidRDefault="00F01633" w:rsidP="00EB48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524D9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Article not </w:t>
            </w:r>
            <w:proofErr w:type="spellStart"/>
            <w:r w:rsidRPr="00524D9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retri</w:t>
            </w:r>
            <w:r w:rsidR="00404A8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e</w:t>
            </w:r>
            <w:r w:rsidRPr="00524D9C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veable</w:t>
            </w:r>
            <w:proofErr w:type="spellEnd"/>
          </w:p>
        </w:tc>
      </w:tr>
      <w:tr w:rsidR="00F01633" w:rsidRPr="00524D9C" w:rsidTr="00EB4860">
        <w:trPr>
          <w:trHeight w:val="56"/>
        </w:trPr>
        <w:tc>
          <w:tcPr>
            <w:tcW w:w="562" w:type="dxa"/>
            <w:shd w:val="clear" w:color="auto" w:fill="auto"/>
            <w:noWrap/>
            <w:vAlign w:val="bottom"/>
          </w:tcPr>
          <w:p w:rsidR="00F01633" w:rsidRPr="00524D9C" w:rsidRDefault="00F01633" w:rsidP="00EB486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24D9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33" w:rsidRPr="00524D9C" w:rsidRDefault="00F01633" w:rsidP="00CE0BF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24D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Cobb 2006 </w:t>
            </w:r>
            <w:r w:rsidRPr="00524D9C">
              <w:rPr>
                <w:rFonts w:ascii="Times New Roman" w:hAnsi="Times New Roman" w:cs="Times New Roman"/>
                <w:noProof/>
                <w:sz w:val="16"/>
                <w:szCs w:val="16"/>
                <w:lang w:val="en-GB"/>
              </w:rPr>
              <w:t>[7]</w:t>
            </w:r>
            <w:r w:rsidR="00CE0BFB">
              <w:rPr>
                <w:rFonts w:ascii="Times New Roman" w:hAnsi="Times New Roman" w:cs="Times New Roman"/>
                <w:noProof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F01633" w:rsidRPr="00524D9C" w:rsidRDefault="00D75C61" w:rsidP="00EB48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nl-NL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nl-NL"/>
              </w:rPr>
              <w:t>Not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nl-N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nl-NL"/>
              </w:rPr>
              <w:t>assess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nl-NL"/>
              </w:rPr>
              <w:t xml:space="preserve"> PICO</w:t>
            </w:r>
          </w:p>
        </w:tc>
      </w:tr>
      <w:tr w:rsidR="00F01633" w:rsidRPr="00524D9C" w:rsidTr="00EB4860">
        <w:trPr>
          <w:trHeight w:val="56"/>
        </w:trPr>
        <w:tc>
          <w:tcPr>
            <w:tcW w:w="562" w:type="dxa"/>
            <w:shd w:val="clear" w:color="auto" w:fill="auto"/>
            <w:noWrap/>
            <w:vAlign w:val="bottom"/>
          </w:tcPr>
          <w:p w:rsidR="00F01633" w:rsidRPr="00524D9C" w:rsidRDefault="00F01633" w:rsidP="00EB486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24D9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33" w:rsidRPr="00524D9C" w:rsidRDefault="00F01633" w:rsidP="00CE0BF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24D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Tran 2006 </w:t>
            </w:r>
            <w:r w:rsidRPr="00524D9C">
              <w:rPr>
                <w:rFonts w:ascii="Times New Roman" w:hAnsi="Times New Roman" w:cs="Times New Roman"/>
                <w:noProof/>
                <w:sz w:val="16"/>
                <w:szCs w:val="16"/>
                <w:lang w:val="en-GB"/>
              </w:rPr>
              <w:t>[8]</w:t>
            </w:r>
            <w:r w:rsidR="00CE0BFB">
              <w:rPr>
                <w:rFonts w:ascii="Times New Roman" w:hAnsi="Times New Roman" w:cs="Times New Roman"/>
                <w:noProof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F01633" w:rsidRPr="00524D9C" w:rsidRDefault="00D75C61" w:rsidP="00EB48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nl-NL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nl-NL"/>
              </w:rPr>
              <w:t>Not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nl-N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nl-NL"/>
              </w:rPr>
              <w:t>assess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nl-NL"/>
              </w:rPr>
              <w:t xml:space="preserve"> PICO</w:t>
            </w:r>
          </w:p>
        </w:tc>
      </w:tr>
      <w:tr w:rsidR="00F01633" w:rsidRPr="00524D9C" w:rsidTr="00EB4860">
        <w:trPr>
          <w:trHeight w:val="56"/>
        </w:trPr>
        <w:tc>
          <w:tcPr>
            <w:tcW w:w="562" w:type="dxa"/>
            <w:shd w:val="clear" w:color="auto" w:fill="auto"/>
            <w:noWrap/>
            <w:vAlign w:val="bottom"/>
          </w:tcPr>
          <w:p w:rsidR="00F01633" w:rsidRPr="00524D9C" w:rsidRDefault="00F01633" w:rsidP="00EB486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24D9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33" w:rsidRPr="00524D9C" w:rsidRDefault="00F01633" w:rsidP="00CE0BF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524D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Licheri</w:t>
            </w:r>
            <w:proofErr w:type="spellEnd"/>
            <w:r w:rsidRPr="00524D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2004 </w:t>
            </w:r>
            <w:r w:rsidRPr="00524D9C">
              <w:rPr>
                <w:rFonts w:ascii="Times New Roman" w:hAnsi="Times New Roman" w:cs="Times New Roman"/>
                <w:noProof/>
                <w:sz w:val="16"/>
                <w:szCs w:val="16"/>
                <w:lang w:val="en-GB"/>
              </w:rPr>
              <w:t>[9]</w:t>
            </w:r>
            <w:r w:rsidR="00CE0BFB">
              <w:rPr>
                <w:rFonts w:ascii="Times New Roman" w:hAnsi="Times New Roman" w:cs="Times New Roman"/>
                <w:noProof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:rsidR="00F01633" w:rsidRPr="00524D9C" w:rsidRDefault="00F01633" w:rsidP="00EB48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nl-NL"/>
              </w:rPr>
            </w:pPr>
            <w:r w:rsidRPr="00524D9C">
              <w:rPr>
                <w:rFonts w:ascii="Times New Roman" w:hAnsi="Times New Roman" w:cs="Times New Roman"/>
                <w:color w:val="000000"/>
                <w:sz w:val="16"/>
                <w:szCs w:val="16"/>
                <w:lang w:val="nl-NL"/>
              </w:rPr>
              <w:t>Conference abstract</w:t>
            </w:r>
          </w:p>
        </w:tc>
      </w:tr>
      <w:tr w:rsidR="00F01633" w:rsidRPr="00524D9C" w:rsidTr="00EB4860">
        <w:trPr>
          <w:trHeight w:val="57"/>
        </w:trPr>
        <w:tc>
          <w:tcPr>
            <w:tcW w:w="9209" w:type="dxa"/>
            <w:gridSpan w:val="3"/>
            <w:shd w:val="clear" w:color="auto" w:fill="auto"/>
            <w:noWrap/>
            <w:vAlign w:val="bottom"/>
          </w:tcPr>
          <w:p w:rsidR="00F01633" w:rsidRPr="00524D9C" w:rsidRDefault="00F01633" w:rsidP="00EB4860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noProof/>
                <w:sz w:val="6"/>
                <w:szCs w:val="16"/>
              </w:rPr>
            </w:pPr>
          </w:p>
          <w:p w:rsidR="00F01633" w:rsidRPr="00524D9C" w:rsidRDefault="00F01633" w:rsidP="00EB486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CE0BFB" w:rsidRPr="00CE0BFB" w:rsidRDefault="00CE0BFB" w:rsidP="00CE0BFB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noProof/>
                <w:sz w:val="16"/>
                <w:szCs w:val="24"/>
              </w:rPr>
            </w:pPr>
            <w:r w:rsidRPr="00CE0BFB">
              <w:rPr>
                <w:rFonts w:ascii="Times New Roman" w:hAnsi="Times New Roman" w:cs="Times New Roman"/>
                <w:noProof/>
                <w:sz w:val="16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noProof/>
                <w:sz w:val="16"/>
                <w:szCs w:val="24"/>
              </w:rPr>
              <w:t xml:space="preserve">              </w:t>
            </w:r>
            <w:r w:rsidRPr="00CE0BFB">
              <w:rPr>
                <w:rFonts w:ascii="Times New Roman" w:hAnsi="Times New Roman" w:cs="Times New Roman"/>
                <w:noProof/>
                <w:sz w:val="16"/>
                <w:szCs w:val="24"/>
              </w:rPr>
              <w:t xml:space="preserve">Roth JS, Anthone GJ, Selzer DJ, Poulose BK, Pierce RA, Bittner JG, et al. (2022) Long-Term, Prospective, Multicenter Study of Poly-4-Hydroxybutyrate Mesh (Phasix Mesh) for Hernia Repair in Cohort at Risk for Complication: 60-Month Follow-Up. J Am Coll Surg 235(6):894-904. </w:t>
            </w:r>
          </w:p>
          <w:p w:rsidR="00CE0BFB" w:rsidRPr="00CE0BFB" w:rsidRDefault="00CE0BFB" w:rsidP="00CE0BFB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noProof/>
                <w:sz w:val="16"/>
                <w:szCs w:val="24"/>
              </w:rPr>
            </w:pPr>
            <w:r w:rsidRPr="00CE0BFB">
              <w:rPr>
                <w:rFonts w:ascii="Times New Roman" w:hAnsi="Times New Roman" w:cs="Times New Roman"/>
                <w:noProof/>
                <w:sz w:val="16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noProof/>
                <w:sz w:val="16"/>
                <w:szCs w:val="24"/>
              </w:rPr>
              <w:t xml:space="preserve">              </w:t>
            </w:r>
            <w:r w:rsidRPr="00CE0BFB">
              <w:rPr>
                <w:rFonts w:ascii="Times New Roman" w:hAnsi="Times New Roman" w:cs="Times New Roman"/>
                <w:noProof/>
                <w:sz w:val="16"/>
                <w:szCs w:val="24"/>
              </w:rPr>
              <w:t>Mirel S, Pusta A, Moldovan M, Moldovan S (2022) Antimicrobial Meshes for Hernia Repair: Current Progress and Perspectives. J Clin Med 11(3). https://doi.org/10.3390/jcm11030883</w:t>
            </w:r>
          </w:p>
          <w:p w:rsidR="00CE0BFB" w:rsidRPr="00CE0BFB" w:rsidRDefault="00CE0BFB" w:rsidP="00CE0BFB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noProof/>
                <w:sz w:val="16"/>
                <w:szCs w:val="24"/>
              </w:rPr>
            </w:pPr>
            <w:r w:rsidRPr="00CE0BFB">
              <w:rPr>
                <w:rFonts w:ascii="Times New Roman" w:hAnsi="Times New Roman" w:cs="Times New Roman"/>
                <w:noProof/>
                <w:sz w:val="16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noProof/>
                <w:sz w:val="16"/>
                <w:szCs w:val="24"/>
              </w:rPr>
              <w:t xml:space="preserve">              </w:t>
            </w:r>
            <w:r w:rsidRPr="00CE0BFB">
              <w:rPr>
                <w:rFonts w:ascii="Times New Roman" w:hAnsi="Times New Roman" w:cs="Times New Roman"/>
                <w:noProof/>
                <w:sz w:val="16"/>
                <w:szCs w:val="24"/>
              </w:rPr>
              <w:t xml:space="preserve">Robinson J, Sulzer JK, Motz B, Baker EH, Martinie JB, Vrochides D, Iannitti DA (2022) Long-Term Clinical Outcomes of an Antibiotic-Coated Non-Cross-linked Porcine Acellular Dermal Graft for Abdominal Wall Reconstruction for High-Risk and Contaminated Wounds. Am Surg 88(8):1988-95. </w:t>
            </w:r>
          </w:p>
          <w:p w:rsidR="00CE0BFB" w:rsidRPr="00CE0BFB" w:rsidRDefault="00CE0BFB" w:rsidP="00CE0BFB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noProof/>
                <w:sz w:val="16"/>
                <w:szCs w:val="24"/>
              </w:rPr>
            </w:pPr>
            <w:r w:rsidRPr="00CE0BFB">
              <w:rPr>
                <w:rFonts w:ascii="Times New Roman" w:hAnsi="Times New Roman" w:cs="Times New Roman"/>
                <w:noProof/>
                <w:sz w:val="16"/>
                <w:szCs w:val="24"/>
                <w:lang w:val="nl-NL"/>
              </w:rPr>
              <w:t xml:space="preserve">4. </w:t>
            </w:r>
            <w:r w:rsidRPr="00CE0BFB">
              <w:rPr>
                <w:rFonts w:ascii="Times New Roman" w:hAnsi="Times New Roman" w:cs="Times New Roman"/>
                <w:noProof/>
                <w:sz w:val="16"/>
                <w:szCs w:val="24"/>
                <w:lang w:val="nl-NL"/>
              </w:rPr>
              <w:t xml:space="preserve">              </w:t>
            </w:r>
            <w:r w:rsidRPr="00CE0BFB">
              <w:rPr>
                <w:rFonts w:ascii="Times New Roman" w:hAnsi="Times New Roman" w:cs="Times New Roman"/>
                <w:noProof/>
                <w:sz w:val="16"/>
                <w:szCs w:val="24"/>
                <w:lang w:val="nl-NL"/>
              </w:rPr>
              <w:t xml:space="preserve">Baker EH, Lepere D, Lundgren MP, Greaney PJ, Ehrlich DA, Copit SE, et al. </w:t>
            </w:r>
            <w:r w:rsidRPr="00CE0BFB">
              <w:rPr>
                <w:rFonts w:ascii="Times New Roman" w:hAnsi="Times New Roman" w:cs="Times New Roman"/>
                <w:noProof/>
                <w:sz w:val="16"/>
                <w:szCs w:val="24"/>
              </w:rPr>
              <w:t>(2016) Early Clinical Outcomes of a Novel Antibiotic-Coated, Non-Crosslinked Porcine Acellular Dermal Graft after Complex Abdominal Wall Reconstruction. J Am Coll Surg 223(4):581-6. https://doi.org/10.1016/j.jamcollsurg.2016.05.022</w:t>
            </w:r>
          </w:p>
          <w:p w:rsidR="00CE0BFB" w:rsidRPr="00CE0BFB" w:rsidRDefault="00CE0BFB" w:rsidP="00CE0BFB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noProof/>
                <w:sz w:val="16"/>
                <w:szCs w:val="24"/>
              </w:rPr>
            </w:pPr>
            <w:r w:rsidRPr="00CE0BFB">
              <w:rPr>
                <w:rFonts w:ascii="Times New Roman" w:hAnsi="Times New Roman" w:cs="Times New Roman"/>
                <w:noProof/>
                <w:sz w:val="16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noProof/>
                <w:sz w:val="16"/>
                <w:szCs w:val="24"/>
              </w:rPr>
              <w:t xml:space="preserve">              </w:t>
            </w:r>
            <w:r w:rsidRPr="00CE0BFB">
              <w:rPr>
                <w:rFonts w:ascii="Times New Roman" w:hAnsi="Times New Roman" w:cs="Times New Roman"/>
                <w:noProof/>
                <w:sz w:val="16"/>
                <w:szCs w:val="24"/>
              </w:rPr>
              <w:t>Warren JA.</w:t>
            </w:r>
            <w:r>
              <w:rPr>
                <w:rFonts w:ascii="Times New Roman" w:hAnsi="Times New Roman" w:cs="Times New Roman"/>
                <w:noProof/>
                <w:sz w:val="16"/>
                <w:szCs w:val="24"/>
              </w:rPr>
              <w:t xml:space="preserve"> (2019)</w:t>
            </w:r>
            <w:r w:rsidRPr="00CE0BFB">
              <w:rPr>
                <w:rFonts w:ascii="Times New Roman" w:hAnsi="Times New Roman" w:cs="Times New Roman"/>
                <w:noProof/>
                <w:sz w:val="16"/>
                <w:szCs w:val="24"/>
              </w:rPr>
              <w:t xml:space="preserve"> Reducing INfection at the Surgical SitE With Antibiotic Irrigation During Ventral Hernia Repair (RINSE Trial) (RINSE). clinicaltrials.gov.</w:t>
            </w:r>
          </w:p>
          <w:p w:rsidR="00CE0BFB" w:rsidRPr="00CE0BFB" w:rsidRDefault="00CE0BFB" w:rsidP="00CE0BFB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noProof/>
                <w:sz w:val="16"/>
                <w:szCs w:val="24"/>
              </w:rPr>
            </w:pPr>
            <w:r w:rsidRPr="00CE0BFB">
              <w:rPr>
                <w:rFonts w:ascii="Times New Roman" w:hAnsi="Times New Roman" w:cs="Times New Roman"/>
                <w:noProof/>
                <w:sz w:val="16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noProof/>
                <w:sz w:val="16"/>
                <w:szCs w:val="24"/>
              </w:rPr>
              <w:t xml:space="preserve">              </w:t>
            </w:r>
            <w:r w:rsidRPr="00CE0BFB">
              <w:rPr>
                <w:rFonts w:ascii="Times New Roman" w:hAnsi="Times New Roman" w:cs="Times New Roman"/>
                <w:noProof/>
                <w:sz w:val="16"/>
                <w:szCs w:val="24"/>
              </w:rPr>
              <w:t xml:space="preserve">Gogoladze M, Kiladze M, Chkhikvadze T, Jiqia D (2016) [CLINICAL EVALUATION OF THE NEW ANTISEPTIC MESHES]. Georgian Med News (261):7-11. </w:t>
            </w:r>
          </w:p>
          <w:p w:rsidR="00CE0BFB" w:rsidRPr="00CE0BFB" w:rsidRDefault="00CE0BFB" w:rsidP="00CE0BFB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noProof/>
                <w:sz w:val="16"/>
                <w:szCs w:val="24"/>
              </w:rPr>
            </w:pPr>
            <w:r w:rsidRPr="00CE0BFB">
              <w:rPr>
                <w:rFonts w:ascii="Times New Roman" w:hAnsi="Times New Roman" w:cs="Times New Roman"/>
                <w:noProof/>
                <w:sz w:val="16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noProof/>
                <w:sz w:val="16"/>
                <w:szCs w:val="24"/>
              </w:rPr>
              <w:t xml:space="preserve">              </w:t>
            </w:r>
            <w:r w:rsidRPr="00CE0BFB">
              <w:rPr>
                <w:rFonts w:ascii="Times New Roman" w:hAnsi="Times New Roman" w:cs="Times New Roman"/>
                <w:noProof/>
                <w:sz w:val="16"/>
                <w:szCs w:val="24"/>
              </w:rPr>
              <w:t xml:space="preserve">Cobb WS, Paton BL, Novitsky YW, Rosen MJ, Kercher KW, Kuwada TS, Heniford BT (2006) Intra-abdominal placement of antimicrobial-impregnated mesh is associated with noninfectious fever. Am Surg 72(12):1205-8; discussion 8-9. </w:t>
            </w:r>
          </w:p>
          <w:p w:rsidR="00CE0BFB" w:rsidRPr="00CE0BFB" w:rsidRDefault="00CE0BFB" w:rsidP="00CE0BFB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noProof/>
                <w:sz w:val="16"/>
                <w:szCs w:val="24"/>
              </w:rPr>
            </w:pPr>
            <w:r w:rsidRPr="00CE0BFB">
              <w:rPr>
                <w:rFonts w:ascii="Times New Roman" w:hAnsi="Times New Roman" w:cs="Times New Roman"/>
                <w:noProof/>
                <w:sz w:val="16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noProof/>
                <w:sz w:val="16"/>
                <w:szCs w:val="24"/>
              </w:rPr>
              <w:t xml:space="preserve">              </w:t>
            </w:r>
            <w:r w:rsidRPr="00CE0BFB">
              <w:rPr>
                <w:rFonts w:ascii="Times New Roman" w:hAnsi="Times New Roman" w:cs="Times New Roman"/>
                <w:noProof/>
                <w:sz w:val="16"/>
                <w:szCs w:val="24"/>
              </w:rPr>
              <w:t xml:space="preserve">Tran DA, Truong QD, Nguyen MT (2006) Topical application of povidone-iodine solution (Betadine) in the management of giant omphaloceles. Dermatology 212 Suppl 1:88-90. </w:t>
            </w:r>
          </w:p>
          <w:p w:rsidR="00CE0BFB" w:rsidRPr="00CE0BFB" w:rsidRDefault="00CE0BFB" w:rsidP="00CE0BFB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noProof/>
                <w:sz w:val="16"/>
                <w:szCs w:val="24"/>
              </w:rPr>
            </w:pPr>
            <w:r w:rsidRPr="00CE0BFB">
              <w:rPr>
                <w:rFonts w:ascii="Times New Roman" w:hAnsi="Times New Roman" w:cs="Times New Roman"/>
                <w:noProof/>
                <w:sz w:val="16"/>
                <w:szCs w:val="24"/>
              </w:rPr>
              <w:t>9.</w:t>
            </w:r>
            <w:r>
              <w:rPr>
                <w:rFonts w:ascii="Times New Roman" w:hAnsi="Times New Roman" w:cs="Times New Roman"/>
                <w:noProof/>
                <w:sz w:val="16"/>
                <w:szCs w:val="24"/>
              </w:rPr>
              <w:t xml:space="preserve">              </w:t>
            </w:r>
            <w:r w:rsidRPr="00CE0BFB">
              <w:rPr>
                <w:rFonts w:ascii="Times New Roman" w:hAnsi="Times New Roman" w:cs="Times New Roman"/>
                <w:noProof/>
                <w:sz w:val="16"/>
                <w:szCs w:val="24"/>
              </w:rPr>
              <w:t xml:space="preserve"> Licheri S, Erdas E, Pomata M, Pisano G, Daniele GM (2004) Femoral hernia repair with Bard Mesh Dart Plug. Chir Ital 56(5):705-10. </w:t>
            </w:r>
          </w:p>
          <w:p w:rsidR="00F01633" w:rsidRPr="00524D9C" w:rsidRDefault="00F01633" w:rsidP="00CE0BFB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noProof/>
                <w:sz w:val="16"/>
                <w:szCs w:val="24"/>
              </w:rPr>
            </w:pPr>
          </w:p>
          <w:p w:rsidR="00F01633" w:rsidRPr="00524D9C" w:rsidRDefault="00F01633" w:rsidP="00EB4860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noProof/>
                <w:sz w:val="12"/>
                <w:szCs w:val="16"/>
              </w:rPr>
            </w:pPr>
          </w:p>
          <w:p w:rsidR="00F01633" w:rsidRPr="00524D9C" w:rsidRDefault="00F01633" w:rsidP="00EB4860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noProof/>
                <w:sz w:val="12"/>
                <w:szCs w:val="16"/>
              </w:rPr>
            </w:pPr>
          </w:p>
        </w:tc>
      </w:tr>
    </w:tbl>
    <w:p w:rsidR="00475C09" w:rsidRDefault="00475C09"/>
    <w:p w:rsidR="00CE0BFB" w:rsidRDefault="00CE0BFB"/>
    <w:sectPr w:rsidR="00CE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 Vancouv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ts590ewvvwwmezazpxxdvwzfw5fz0ttxpt&quot;&gt;Systematic review Mesh&lt;record-ids&gt;&lt;item&gt;8&lt;/item&gt;&lt;item&gt;14&lt;/item&gt;&lt;item&gt;20&lt;/item&gt;&lt;item&gt;24&lt;/item&gt;&lt;item&gt;25&lt;/item&gt;&lt;item&gt;57&lt;/item&gt;&lt;item&gt;58&lt;/item&gt;&lt;item&gt;59&lt;/item&gt;&lt;item&gt;62&lt;/item&gt;&lt;/record-ids&gt;&lt;/item&gt;&lt;/Libraries&gt;"/>
  </w:docVars>
  <w:rsids>
    <w:rsidRoot w:val="00692AE7"/>
    <w:rsid w:val="001716FB"/>
    <w:rsid w:val="00207A78"/>
    <w:rsid w:val="00404A82"/>
    <w:rsid w:val="00475C09"/>
    <w:rsid w:val="00692AE7"/>
    <w:rsid w:val="00C73A3E"/>
    <w:rsid w:val="00CE0BFB"/>
    <w:rsid w:val="00D75C61"/>
    <w:rsid w:val="00F0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D4FD2"/>
  <w15:chartTrackingRefBased/>
  <w15:docId w15:val="{D320B83A-F060-4897-8F8A-13ADE31D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633"/>
    <w:pPr>
      <w:spacing w:line="48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16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63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CE0BF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E0BF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E0BF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E0BFB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CE0B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401</Words>
  <Characters>2208</Characters>
  <Application>Microsoft Office Word</Application>
  <DocSecurity>0</DocSecurity>
  <Lines>18</Lines>
  <Paragraphs>5</Paragraphs>
  <ScaleCrop>false</ScaleCrop>
  <Company>AMC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Bontekoning, N.</dc:creator>
  <cp:keywords/>
  <dc:description/>
  <cp:lastModifiedBy>Bontekoning, N.</cp:lastModifiedBy>
  <cp:revision>8</cp:revision>
  <dcterms:created xsi:type="dcterms:W3CDTF">2023-12-01T10:38:00Z</dcterms:created>
  <dcterms:modified xsi:type="dcterms:W3CDTF">2024-01-24T15:20:00Z</dcterms:modified>
</cp:coreProperties>
</file>