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55" w:rsidRPr="00877055" w:rsidRDefault="00877055" w:rsidP="00877055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877055">
        <w:rPr>
          <w:rFonts w:ascii="Times New Roman" w:hAnsi="Times New Roman" w:cs="Times New Roman"/>
          <w:b/>
          <w:sz w:val="20"/>
          <w:szCs w:val="20"/>
        </w:rPr>
        <w:t>Topical Antimicrobial Treatment of Mesh for the Reduction of Surgical Site Infections after Hernia Repair</w:t>
      </w:r>
    </w:p>
    <w:p w:rsidR="00877055" w:rsidRPr="00877055" w:rsidRDefault="00877055" w:rsidP="0087705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77055">
        <w:rPr>
          <w:rFonts w:ascii="Times New Roman" w:hAnsi="Times New Roman" w:cs="Times New Roman"/>
          <w:sz w:val="20"/>
          <w:szCs w:val="20"/>
        </w:rPr>
        <w:t>A Systematic Review and Meta-Analysis</w:t>
      </w:r>
    </w:p>
    <w:p w:rsidR="00877055" w:rsidRPr="00F05548" w:rsidRDefault="00877055" w:rsidP="00877055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F05548">
        <w:rPr>
          <w:rFonts w:ascii="Times New Roman" w:hAnsi="Times New Roman" w:cs="Times New Roman"/>
          <w:b/>
          <w:sz w:val="20"/>
          <w:szCs w:val="20"/>
        </w:rPr>
        <w:t>Hernia</w:t>
      </w:r>
    </w:p>
    <w:p w:rsidR="00475C09" w:rsidRDefault="00475C09">
      <w:pPr>
        <w:rPr>
          <w:rFonts w:ascii="Times New Roman" w:hAnsi="Times New Roman" w:cs="Times New Roman"/>
          <w:sz w:val="20"/>
          <w:szCs w:val="20"/>
        </w:rPr>
      </w:pPr>
    </w:p>
    <w:p w:rsidR="00F05548" w:rsidRDefault="00F05548">
      <w:pPr>
        <w:rPr>
          <w:rFonts w:ascii="Times New Roman" w:hAnsi="Times New Roman" w:cs="Times New Roman"/>
          <w:sz w:val="20"/>
          <w:szCs w:val="20"/>
        </w:rPr>
      </w:pPr>
    </w:p>
    <w:p w:rsidR="00F05548" w:rsidRDefault="00F05548">
      <w:pPr>
        <w:rPr>
          <w:rFonts w:ascii="Times New Roman" w:hAnsi="Times New Roman" w:cs="Times New Roman"/>
          <w:sz w:val="20"/>
          <w:szCs w:val="20"/>
        </w:rPr>
      </w:pPr>
    </w:p>
    <w:p w:rsidR="00F05548" w:rsidRDefault="00F05548">
      <w:pPr>
        <w:rPr>
          <w:rFonts w:ascii="Times New Roman" w:hAnsi="Times New Roman" w:cs="Times New Roman"/>
          <w:sz w:val="20"/>
          <w:szCs w:val="20"/>
        </w:rPr>
      </w:pPr>
    </w:p>
    <w:p w:rsidR="00F05548" w:rsidRDefault="00F05548">
      <w:pPr>
        <w:rPr>
          <w:rFonts w:ascii="Times New Roman" w:hAnsi="Times New Roman" w:cs="Times New Roman"/>
          <w:sz w:val="20"/>
          <w:szCs w:val="20"/>
        </w:rPr>
      </w:pPr>
    </w:p>
    <w:p w:rsidR="00F05548" w:rsidRDefault="00F05548">
      <w:pPr>
        <w:rPr>
          <w:rFonts w:ascii="Times New Roman" w:hAnsi="Times New Roman" w:cs="Times New Roman"/>
          <w:sz w:val="20"/>
          <w:szCs w:val="20"/>
        </w:rPr>
      </w:pPr>
    </w:p>
    <w:p w:rsidR="00F05548" w:rsidRDefault="00F05548">
      <w:pPr>
        <w:rPr>
          <w:rFonts w:ascii="Times New Roman" w:hAnsi="Times New Roman" w:cs="Times New Roman"/>
          <w:sz w:val="20"/>
          <w:szCs w:val="20"/>
        </w:rPr>
      </w:pPr>
    </w:p>
    <w:p w:rsidR="00F05548" w:rsidRPr="00F05548" w:rsidRDefault="00F05548"/>
    <w:p w:rsidR="00877055" w:rsidRDefault="00877055"/>
    <w:p w:rsidR="00877055" w:rsidRDefault="00877055"/>
    <w:p w:rsidR="00877055" w:rsidRDefault="00877055"/>
    <w:p w:rsidR="00877055" w:rsidRDefault="00877055"/>
    <w:p w:rsidR="00877055" w:rsidRDefault="00877055"/>
    <w:p w:rsidR="00877055" w:rsidRDefault="00877055"/>
    <w:p w:rsidR="00877055" w:rsidRDefault="00877055"/>
    <w:p w:rsidR="00877055" w:rsidRDefault="00877055"/>
    <w:p w:rsidR="006E0495" w:rsidRDefault="006E0495" w:rsidP="000942A0">
      <w:pPr>
        <w:rPr>
          <w:rFonts w:ascii="Times New Roman" w:hAnsi="Times New Roman" w:cs="Times New Roman"/>
          <w:b/>
          <w:sz w:val="28"/>
          <w:lang w:val="en-GB"/>
        </w:rPr>
      </w:pPr>
      <w:r w:rsidRPr="006E0495">
        <w:rPr>
          <w:rFonts w:ascii="Times New Roman" w:hAnsi="Times New Roman" w:cs="Times New Roman"/>
          <w:b/>
          <w:sz w:val="28"/>
          <w:lang w:val="en-GB"/>
        </w:rPr>
        <w:lastRenderedPageBreak/>
        <w:t xml:space="preserve">Online Resource </w:t>
      </w:r>
      <w:r w:rsidR="000942A0">
        <w:rPr>
          <w:rFonts w:ascii="Times New Roman" w:hAnsi="Times New Roman" w:cs="Times New Roman"/>
          <w:b/>
          <w:sz w:val="28"/>
          <w:lang w:val="en-GB"/>
        </w:rPr>
        <w:t xml:space="preserve">3. </w:t>
      </w:r>
      <w:r w:rsidR="00D77D17">
        <w:rPr>
          <w:rFonts w:ascii="Times New Roman" w:hAnsi="Times New Roman" w:cs="Times New Roman"/>
          <w:b/>
          <w:sz w:val="26"/>
          <w:szCs w:val="26"/>
        </w:rPr>
        <w:t>Secondary outcomes and SSI criteria</w:t>
      </w:r>
    </w:p>
    <w:p w:rsidR="000942A0" w:rsidRPr="006E0495" w:rsidRDefault="000942A0" w:rsidP="000942A0">
      <w:pPr>
        <w:rPr>
          <w:rFonts w:ascii="Times New Roman" w:hAnsi="Times New Roman" w:cs="Times New Roman"/>
          <w:b/>
          <w:lang w:val="en-GB"/>
        </w:rPr>
      </w:pPr>
    </w:p>
    <w:tbl>
      <w:tblPr>
        <w:tblStyle w:val="Tabelraster2"/>
        <w:tblpPr w:leftFromText="141" w:rightFromText="141" w:vertAnchor="page" w:horzAnchor="page" w:tblpX="807" w:tblpY="2190"/>
        <w:tblW w:w="48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652"/>
        <w:gridCol w:w="679"/>
        <w:gridCol w:w="1514"/>
        <w:gridCol w:w="3226"/>
        <w:gridCol w:w="1516"/>
        <w:gridCol w:w="191"/>
        <w:gridCol w:w="948"/>
        <w:gridCol w:w="377"/>
        <w:gridCol w:w="2658"/>
        <w:gridCol w:w="1705"/>
      </w:tblGrid>
      <w:tr w:rsidR="000942A0" w:rsidRPr="00745E69" w:rsidTr="00EB4860">
        <w:trPr>
          <w:trHeight w:val="575"/>
        </w:trPr>
        <w:tc>
          <w:tcPr>
            <w:tcW w:w="494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:rsidR="000942A0" w:rsidRPr="00745E69" w:rsidRDefault="000942A0" w:rsidP="00EB4860">
            <w:pPr>
              <w:rPr>
                <w:rFonts w:cstheme="minorHAnsi"/>
              </w:rPr>
            </w:pPr>
            <w:r w:rsidRPr="00745E69">
              <w:rPr>
                <w:rFonts w:cstheme="minorHAnsi"/>
              </w:rPr>
              <w:t>Study design</w:t>
            </w:r>
          </w:p>
        </w:tc>
        <w:tc>
          <w:tcPr>
            <w:tcW w:w="562" w:type="pct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:rsidR="000942A0" w:rsidRPr="00745E69" w:rsidRDefault="000942A0" w:rsidP="00EB4860">
            <w:pPr>
              <w:rPr>
                <w:rFonts w:cstheme="minorHAnsi"/>
              </w:rPr>
            </w:pPr>
            <w:r w:rsidRPr="00745E69">
              <w:rPr>
                <w:rFonts w:cstheme="minorHAnsi"/>
              </w:rPr>
              <w:t>Author, year</w:t>
            </w:r>
          </w:p>
        </w:tc>
        <w:tc>
          <w:tcPr>
            <w:tcW w:w="1198" w:type="pct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:rsidR="000942A0" w:rsidRPr="00745E69" w:rsidRDefault="000942A0" w:rsidP="00EB4860">
            <w:pPr>
              <w:rPr>
                <w:rFonts w:cstheme="minorHAnsi"/>
              </w:rPr>
            </w:pPr>
            <w:r w:rsidRPr="00745E69">
              <w:rPr>
                <w:rFonts w:cstheme="minorHAnsi"/>
              </w:rPr>
              <w:t>Type of mesh treatment</w:t>
            </w:r>
          </w:p>
        </w:tc>
        <w:tc>
          <w:tcPr>
            <w:tcW w:w="563" w:type="pct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</w:tcPr>
          <w:p w:rsidR="000942A0" w:rsidRPr="00745E69" w:rsidRDefault="000942A0" w:rsidP="00EB4860">
            <w:pPr>
              <w:jc w:val="center"/>
              <w:rPr>
                <w:rFonts w:cstheme="minorHAnsi"/>
              </w:rPr>
            </w:pPr>
            <w:r w:rsidRPr="00745E69">
              <w:rPr>
                <w:rFonts w:cstheme="minorHAnsi"/>
              </w:rPr>
              <w:t>Hernia recurrence</w:t>
            </w:r>
          </w:p>
        </w:tc>
        <w:tc>
          <w:tcPr>
            <w:tcW w:w="563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</w:rPr>
            </w:pPr>
            <w:r w:rsidRPr="00745E69">
              <w:rPr>
                <w:rFonts w:cstheme="minorHAnsi"/>
              </w:rPr>
              <w:t>Mesh infection</w:t>
            </w:r>
          </w:p>
        </w:tc>
        <w:tc>
          <w:tcPr>
            <w:tcW w:w="987" w:type="pct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</w:rPr>
            </w:pPr>
            <w:r w:rsidRPr="00745E69">
              <w:rPr>
                <w:rFonts w:cstheme="minorHAnsi"/>
              </w:rPr>
              <w:t>Pathogens</w:t>
            </w:r>
          </w:p>
        </w:tc>
        <w:tc>
          <w:tcPr>
            <w:tcW w:w="633" w:type="pct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</w:rPr>
            </w:pPr>
            <w:r w:rsidRPr="00745E69">
              <w:rPr>
                <w:rFonts w:cstheme="minorHAnsi"/>
              </w:rPr>
              <w:t>SSI criteria</w:t>
            </w:r>
          </w:p>
        </w:tc>
      </w:tr>
      <w:tr w:rsidR="000942A0" w:rsidRPr="00745E69" w:rsidTr="00EB4860">
        <w:trPr>
          <w:trHeight w:val="361"/>
        </w:trPr>
        <w:tc>
          <w:tcPr>
            <w:tcW w:w="494" w:type="pct"/>
            <w:gridSpan w:val="2"/>
            <w:vMerge w:val="restart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0942A0" w:rsidRPr="00745E69" w:rsidRDefault="000942A0" w:rsidP="00EB4860">
            <w:pPr>
              <w:ind w:left="113" w:right="113"/>
              <w:jc w:val="center"/>
              <w:rPr>
                <w:rFonts w:cstheme="minorHAnsi"/>
                <w:sz w:val="28"/>
              </w:rPr>
            </w:pPr>
            <w:r w:rsidRPr="00745E69">
              <w:rPr>
                <w:rFonts w:cstheme="minorHAnsi"/>
                <w:sz w:val="24"/>
              </w:rPr>
              <w:t>RCT</w:t>
            </w:r>
          </w:p>
        </w:tc>
        <w:tc>
          <w:tcPr>
            <w:tcW w:w="562" w:type="pct"/>
            <w:vMerge w:val="restart"/>
            <w:tcBorders>
              <w:top w:val="double" w:sz="4" w:space="0" w:color="auto"/>
              <w:left w:val="single" w:sz="8" w:space="0" w:color="auto"/>
            </w:tcBorders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  <w:proofErr w:type="spellStart"/>
            <w:r w:rsidRPr="00745E69">
              <w:rPr>
                <w:rFonts w:cstheme="minorHAnsi"/>
                <w:sz w:val="16"/>
              </w:rPr>
              <w:t>Musella</w:t>
            </w:r>
            <w:proofErr w:type="spellEnd"/>
            <w:r w:rsidRPr="00745E69">
              <w:rPr>
                <w:rFonts w:cstheme="minorHAnsi"/>
                <w:sz w:val="16"/>
              </w:rPr>
              <w:t xml:space="preserve"> (2001)</w:t>
            </w:r>
          </w:p>
        </w:tc>
        <w:tc>
          <w:tcPr>
            <w:tcW w:w="1198" w:type="pct"/>
            <w:tcBorders>
              <w:top w:val="double" w:sz="4" w:space="0" w:color="auto"/>
              <w:bottom w:val="single" w:sz="4" w:space="0" w:color="BDD6EE" w:themeColor="accent1" w:themeTint="66"/>
            </w:tcBorders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  <w:lang w:val="nl-NL"/>
              </w:rPr>
            </w:pPr>
            <w:proofErr w:type="spellStart"/>
            <w:r w:rsidRPr="00745E69">
              <w:rPr>
                <w:rFonts w:cstheme="minorHAnsi"/>
                <w:sz w:val="16"/>
                <w:lang w:val="nl-NL"/>
              </w:rPr>
              <w:t>Gentamicin</w:t>
            </w:r>
            <w:proofErr w:type="spellEnd"/>
            <w:r w:rsidRPr="00745E69">
              <w:rPr>
                <w:rFonts w:cstheme="minorHAnsi"/>
                <w:sz w:val="16"/>
                <w:lang w:val="nl-NL"/>
              </w:rPr>
              <w:t xml:space="preserve"> </w:t>
            </w:r>
            <w:proofErr w:type="spellStart"/>
            <w:r w:rsidRPr="00745E69">
              <w:rPr>
                <w:rFonts w:cstheme="minorHAnsi"/>
                <w:sz w:val="16"/>
                <w:lang w:val="nl-NL"/>
              </w:rPr>
              <w:t>collagen</w:t>
            </w:r>
            <w:proofErr w:type="spellEnd"/>
            <w:r w:rsidRPr="00745E69">
              <w:rPr>
                <w:rFonts w:cstheme="minorHAnsi"/>
                <w:sz w:val="16"/>
                <w:lang w:val="nl-NL"/>
              </w:rPr>
              <w:t xml:space="preserve"> tampon</w:t>
            </w:r>
            <w:r w:rsidRPr="00745E69">
              <w:rPr>
                <w:rFonts w:cstheme="minorHAnsi"/>
                <w:sz w:val="16"/>
                <w:vertAlign w:val="superscript"/>
                <w:lang w:val="nl-NL"/>
              </w:rPr>
              <w:t>1</w:t>
            </w:r>
            <w:r w:rsidRPr="00745E69">
              <w:rPr>
                <w:rFonts w:cstheme="minorHAnsi"/>
                <w:sz w:val="16"/>
                <w:lang w:val="nl-NL"/>
              </w:rPr>
              <w:t xml:space="preserve"> </w:t>
            </w:r>
          </w:p>
        </w:tc>
        <w:tc>
          <w:tcPr>
            <w:tcW w:w="634" w:type="pct"/>
            <w:gridSpan w:val="2"/>
            <w:tcBorders>
              <w:top w:val="double" w:sz="4" w:space="0" w:color="auto"/>
              <w:bottom w:val="single" w:sz="4" w:space="0" w:color="BDD6EE" w:themeColor="accent1" w:themeTint="66"/>
            </w:tcBorders>
            <w:shd w:val="clear" w:color="auto" w:fill="DEEAF6" w:themeFill="accent1" w:themeFillTint="33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  <w:tc>
          <w:tcPr>
            <w:tcW w:w="352" w:type="pct"/>
            <w:vMerge w:val="restart"/>
            <w:tcBorders>
              <w:top w:val="double" w:sz="4" w:space="0" w:color="auto"/>
            </w:tcBorders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  <w:tc>
          <w:tcPr>
            <w:tcW w:w="1127" w:type="pct"/>
            <w:gridSpan w:val="2"/>
            <w:vMerge w:val="restart"/>
            <w:tcBorders>
              <w:top w:val="double" w:sz="4" w:space="0" w:color="auto"/>
            </w:tcBorders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  <w:tc>
          <w:tcPr>
            <w:tcW w:w="633" w:type="pct"/>
            <w:vMerge w:val="restart"/>
            <w:tcBorders>
              <w:top w:val="double" w:sz="4" w:space="0" w:color="auto"/>
            </w:tcBorders>
            <w:shd w:val="clear" w:color="auto" w:fill="DEEAF6" w:themeFill="accent1" w:themeFillTint="33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</w:tr>
      <w:tr w:rsidR="000942A0" w:rsidRPr="00745E69" w:rsidTr="00EB4860">
        <w:trPr>
          <w:trHeight w:val="253"/>
        </w:trPr>
        <w:tc>
          <w:tcPr>
            <w:tcW w:w="494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0942A0" w:rsidRPr="00745E69" w:rsidRDefault="000942A0" w:rsidP="00EB4860">
            <w:pPr>
              <w:ind w:left="113" w:right="113"/>
              <w:jc w:val="center"/>
              <w:rPr>
                <w:rFonts w:cstheme="minorHAnsi"/>
                <w:sz w:val="28"/>
              </w:rPr>
            </w:pPr>
          </w:p>
        </w:tc>
        <w:tc>
          <w:tcPr>
            <w:tcW w:w="562" w:type="pct"/>
            <w:vMerge/>
            <w:tcBorders>
              <w:left w:val="single" w:sz="8" w:space="0" w:color="auto"/>
            </w:tcBorders>
            <w:shd w:val="clear" w:color="auto" w:fill="auto"/>
            <w:noWrap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</w:p>
        </w:tc>
        <w:tc>
          <w:tcPr>
            <w:tcW w:w="1198" w:type="pct"/>
            <w:tcBorders>
              <w:top w:val="single" w:sz="4" w:space="0" w:color="BDD6EE" w:themeColor="accent1" w:themeTint="66"/>
            </w:tcBorders>
            <w:shd w:val="clear" w:color="auto" w:fill="DEEAF6" w:themeFill="accent1" w:themeFillTint="33"/>
            <w:noWrap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No antimicrobial mesh treatment</w:t>
            </w:r>
          </w:p>
        </w:tc>
        <w:tc>
          <w:tcPr>
            <w:tcW w:w="634" w:type="pct"/>
            <w:gridSpan w:val="2"/>
            <w:tcBorders>
              <w:top w:val="single" w:sz="4" w:space="0" w:color="BDD6EE" w:themeColor="accent1" w:themeTint="66"/>
            </w:tcBorders>
            <w:shd w:val="clear" w:color="auto" w:fill="DEEAF6" w:themeFill="accent1" w:themeFillTint="33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  <w:tc>
          <w:tcPr>
            <w:tcW w:w="352" w:type="pct"/>
            <w:vMerge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127" w:type="pct"/>
            <w:gridSpan w:val="2"/>
            <w:vMerge/>
            <w:shd w:val="clear" w:color="auto" w:fill="auto"/>
            <w:noWrap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633" w:type="pct"/>
            <w:vMerge/>
            <w:shd w:val="clear" w:color="auto" w:fill="auto"/>
            <w:noWrap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</w:p>
        </w:tc>
      </w:tr>
      <w:tr w:rsidR="000942A0" w:rsidRPr="00745E69" w:rsidTr="00EB4860">
        <w:trPr>
          <w:trHeight w:val="358"/>
        </w:trPr>
        <w:tc>
          <w:tcPr>
            <w:tcW w:w="494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28"/>
              </w:rPr>
            </w:pPr>
          </w:p>
        </w:tc>
        <w:tc>
          <w:tcPr>
            <w:tcW w:w="562" w:type="pct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Praveen (2009)</w:t>
            </w:r>
          </w:p>
        </w:tc>
        <w:tc>
          <w:tcPr>
            <w:tcW w:w="1198" w:type="pct"/>
            <w:tcBorders>
              <w:bottom w:val="single" w:sz="8" w:space="0" w:color="BDD6EE" w:themeColor="accent1" w:themeTint="66"/>
            </w:tcBorders>
            <w:shd w:val="clear" w:color="auto" w:fill="auto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Soaked in Gentamicin</w:t>
            </w:r>
          </w:p>
        </w:tc>
        <w:tc>
          <w:tcPr>
            <w:tcW w:w="634" w:type="pct"/>
            <w:gridSpan w:val="2"/>
            <w:tcBorders>
              <w:bottom w:val="single" w:sz="4" w:space="0" w:color="BDD6EE" w:themeColor="accent1" w:themeTint="66"/>
            </w:tcBorders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1 (1%)</w:t>
            </w:r>
          </w:p>
        </w:tc>
        <w:tc>
          <w:tcPr>
            <w:tcW w:w="352" w:type="pct"/>
            <w:vMerge w:val="restart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  <w:tc>
          <w:tcPr>
            <w:tcW w:w="1127" w:type="pct"/>
            <w:gridSpan w:val="2"/>
            <w:vMerge w:val="restart"/>
            <w:shd w:val="clear" w:color="auto" w:fill="auto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ascii="Calibri" w:eastAsia="Times New Roman" w:hAnsi="Calibri" w:cs="Calibri"/>
                <w:color w:val="000000"/>
                <w:sz w:val="16"/>
                <w:lang w:eastAsia="nl-NL"/>
              </w:rPr>
              <w:t xml:space="preserve">Staphylococcus aureus, </w:t>
            </w:r>
            <w:proofErr w:type="spellStart"/>
            <w:r w:rsidRPr="00745E69">
              <w:rPr>
                <w:rFonts w:ascii="Calibri" w:eastAsia="Times New Roman" w:hAnsi="Calibri" w:cs="Calibri"/>
                <w:color w:val="000000"/>
                <w:sz w:val="16"/>
                <w:lang w:eastAsia="nl-NL"/>
              </w:rPr>
              <w:t>Enterobacter</w:t>
            </w:r>
            <w:proofErr w:type="spellEnd"/>
            <w:r w:rsidRPr="00745E69">
              <w:rPr>
                <w:rFonts w:ascii="Calibri" w:eastAsia="Times New Roman" w:hAnsi="Calibri" w:cs="Calibri"/>
                <w:color w:val="000000"/>
                <w:sz w:val="16"/>
                <w:lang w:eastAsia="nl-NL"/>
              </w:rPr>
              <w:t xml:space="preserve">, </w:t>
            </w:r>
            <w:proofErr w:type="spellStart"/>
            <w:r w:rsidRPr="00745E69">
              <w:rPr>
                <w:rFonts w:ascii="Calibri" w:eastAsia="Times New Roman" w:hAnsi="Calibri" w:cs="Calibri"/>
                <w:color w:val="000000"/>
                <w:sz w:val="16"/>
                <w:lang w:eastAsia="nl-NL"/>
              </w:rPr>
              <w:t>Staphyloccoccus</w:t>
            </w:r>
            <w:proofErr w:type="spellEnd"/>
            <w:r w:rsidRPr="00745E69">
              <w:rPr>
                <w:rFonts w:ascii="Calibri" w:eastAsia="Times New Roman" w:hAnsi="Calibri" w:cs="Calibri"/>
                <w:color w:val="000000"/>
                <w:sz w:val="16"/>
                <w:lang w:eastAsia="nl-NL"/>
              </w:rPr>
              <w:t xml:space="preserve"> coagulase negative</w:t>
            </w:r>
          </w:p>
        </w:tc>
        <w:tc>
          <w:tcPr>
            <w:tcW w:w="633" w:type="pct"/>
            <w:vMerge w:val="restart"/>
            <w:shd w:val="clear" w:color="auto" w:fill="auto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CDC</w:t>
            </w:r>
          </w:p>
        </w:tc>
      </w:tr>
      <w:tr w:rsidR="000942A0" w:rsidRPr="00745E69" w:rsidTr="00EB4860">
        <w:trPr>
          <w:trHeight w:val="303"/>
        </w:trPr>
        <w:tc>
          <w:tcPr>
            <w:tcW w:w="494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28"/>
              </w:rPr>
            </w:pPr>
          </w:p>
        </w:tc>
        <w:tc>
          <w:tcPr>
            <w:tcW w:w="562" w:type="pct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</w:p>
        </w:tc>
        <w:tc>
          <w:tcPr>
            <w:tcW w:w="1198" w:type="pct"/>
            <w:tcBorders>
              <w:top w:val="single" w:sz="8" w:space="0" w:color="BDD6EE" w:themeColor="accent1" w:themeTint="66"/>
            </w:tcBorders>
            <w:shd w:val="clear" w:color="auto" w:fill="auto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No antimicrobial mesh treatment</w:t>
            </w:r>
          </w:p>
        </w:tc>
        <w:tc>
          <w:tcPr>
            <w:tcW w:w="634" w:type="pct"/>
            <w:gridSpan w:val="2"/>
            <w:tcBorders>
              <w:top w:val="single" w:sz="4" w:space="0" w:color="BDD6EE" w:themeColor="accent1" w:themeTint="66"/>
            </w:tcBorders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0 (0%)</w:t>
            </w:r>
          </w:p>
        </w:tc>
        <w:tc>
          <w:tcPr>
            <w:tcW w:w="352" w:type="pct"/>
            <w:vMerge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127" w:type="pct"/>
            <w:gridSpan w:val="2"/>
            <w:vMerge/>
            <w:shd w:val="clear" w:color="auto" w:fill="auto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</w:p>
        </w:tc>
      </w:tr>
      <w:tr w:rsidR="000942A0" w:rsidRPr="00745E69" w:rsidTr="00EB4860">
        <w:trPr>
          <w:trHeight w:val="314"/>
        </w:trPr>
        <w:tc>
          <w:tcPr>
            <w:tcW w:w="494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28"/>
              </w:rPr>
            </w:pPr>
          </w:p>
        </w:tc>
        <w:tc>
          <w:tcPr>
            <w:tcW w:w="562" w:type="pct"/>
            <w:vMerge w:val="restart"/>
            <w:tcBorders>
              <w:left w:val="single" w:sz="8" w:space="0" w:color="auto"/>
            </w:tcBorders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  <w:proofErr w:type="spellStart"/>
            <w:r w:rsidRPr="00745E69">
              <w:rPr>
                <w:rFonts w:cstheme="minorHAnsi"/>
                <w:sz w:val="16"/>
              </w:rPr>
              <w:t>Şeker</w:t>
            </w:r>
            <w:proofErr w:type="spellEnd"/>
            <w:r w:rsidRPr="00745E69">
              <w:rPr>
                <w:rFonts w:cstheme="minorHAnsi"/>
                <w:sz w:val="16"/>
              </w:rPr>
              <w:t xml:space="preserve"> (2021)</w:t>
            </w:r>
          </w:p>
        </w:tc>
        <w:tc>
          <w:tcPr>
            <w:tcW w:w="1198" w:type="pct"/>
            <w:tcBorders>
              <w:bottom w:val="single" w:sz="8" w:space="0" w:color="BDD6EE" w:themeColor="accent1" w:themeTint="66"/>
            </w:tcBorders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Topical Gentamicin</w:t>
            </w:r>
          </w:p>
        </w:tc>
        <w:tc>
          <w:tcPr>
            <w:tcW w:w="634" w:type="pct"/>
            <w:gridSpan w:val="2"/>
            <w:tcBorders>
              <w:bottom w:val="single" w:sz="4" w:space="0" w:color="BDD6EE" w:themeColor="accent1" w:themeTint="66"/>
            </w:tcBorders>
            <w:shd w:val="clear" w:color="auto" w:fill="DEEAF6" w:themeFill="accent1" w:themeFillTint="33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  <w:tc>
          <w:tcPr>
            <w:tcW w:w="352" w:type="pct"/>
            <w:vMerge w:val="restart"/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  <w:tc>
          <w:tcPr>
            <w:tcW w:w="1127" w:type="pct"/>
            <w:gridSpan w:val="2"/>
            <w:vMerge w:val="restart"/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  <w:tc>
          <w:tcPr>
            <w:tcW w:w="633" w:type="pct"/>
            <w:vMerge w:val="restart"/>
            <w:shd w:val="clear" w:color="auto" w:fill="DEEAF6" w:themeFill="accent1" w:themeFillTint="33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CDC</w:t>
            </w:r>
          </w:p>
        </w:tc>
      </w:tr>
      <w:tr w:rsidR="000942A0" w:rsidRPr="00745E69" w:rsidTr="00EB4860">
        <w:trPr>
          <w:trHeight w:val="253"/>
        </w:trPr>
        <w:tc>
          <w:tcPr>
            <w:tcW w:w="494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28"/>
              </w:rPr>
            </w:pPr>
          </w:p>
        </w:tc>
        <w:tc>
          <w:tcPr>
            <w:tcW w:w="562" w:type="pct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</w:p>
        </w:tc>
        <w:tc>
          <w:tcPr>
            <w:tcW w:w="1198" w:type="pct"/>
            <w:tcBorders>
              <w:top w:val="single" w:sz="8" w:space="0" w:color="BDD6EE" w:themeColor="accent1" w:themeTint="66"/>
              <w:bottom w:val="single" w:sz="8" w:space="0" w:color="BDD6EE" w:themeColor="accent1" w:themeTint="66"/>
            </w:tcBorders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Topical Gentamicin</w:t>
            </w:r>
          </w:p>
        </w:tc>
        <w:tc>
          <w:tcPr>
            <w:tcW w:w="634" w:type="pct"/>
            <w:gridSpan w:val="2"/>
            <w:tcBorders>
              <w:top w:val="single" w:sz="4" w:space="0" w:color="BDD6EE" w:themeColor="accent1" w:themeTint="66"/>
              <w:bottom w:val="single" w:sz="4" w:space="0" w:color="BDD6EE" w:themeColor="accent1" w:themeTint="66"/>
            </w:tcBorders>
            <w:shd w:val="clear" w:color="auto" w:fill="DEEAF6" w:themeFill="accent1" w:themeFillTint="33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  <w:tc>
          <w:tcPr>
            <w:tcW w:w="352" w:type="pct"/>
            <w:vMerge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127" w:type="pct"/>
            <w:gridSpan w:val="2"/>
            <w:vMerge/>
            <w:shd w:val="clear" w:color="auto" w:fill="auto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</w:p>
        </w:tc>
      </w:tr>
      <w:tr w:rsidR="000942A0" w:rsidRPr="00745E69" w:rsidTr="00EB4860">
        <w:trPr>
          <w:trHeight w:val="283"/>
        </w:trPr>
        <w:tc>
          <w:tcPr>
            <w:tcW w:w="494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28"/>
              </w:rPr>
            </w:pPr>
          </w:p>
        </w:tc>
        <w:tc>
          <w:tcPr>
            <w:tcW w:w="562" w:type="pct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</w:p>
        </w:tc>
        <w:tc>
          <w:tcPr>
            <w:tcW w:w="1198" w:type="pct"/>
            <w:tcBorders>
              <w:top w:val="single" w:sz="8" w:space="0" w:color="BDD6EE" w:themeColor="accent1" w:themeTint="66"/>
            </w:tcBorders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No antimicrobial mesh treatment</w:t>
            </w:r>
          </w:p>
        </w:tc>
        <w:tc>
          <w:tcPr>
            <w:tcW w:w="634" w:type="pct"/>
            <w:gridSpan w:val="2"/>
            <w:tcBorders>
              <w:top w:val="single" w:sz="4" w:space="0" w:color="BDD6EE" w:themeColor="accent1" w:themeTint="66"/>
            </w:tcBorders>
            <w:shd w:val="clear" w:color="auto" w:fill="DEEAF6" w:themeFill="accent1" w:themeFillTint="33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  <w:tc>
          <w:tcPr>
            <w:tcW w:w="352" w:type="pct"/>
            <w:vMerge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127" w:type="pct"/>
            <w:gridSpan w:val="2"/>
            <w:vMerge/>
            <w:shd w:val="clear" w:color="auto" w:fill="auto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</w:p>
        </w:tc>
      </w:tr>
      <w:tr w:rsidR="000942A0" w:rsidRPr="00745E69" w:rsidTr="00EB4860">
        <w:trPr>
          <w:trHeight w:val="290"/>
        </w:trPr>
        <w:tc>
          <w:tcPr>
            <w:tcW w:w="494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28"/>
              </w:rPr>
            </w:pPr>
          </w:p>
        </w:tc>
        <w:tc>
          <w:tcPr>
            <w:tcW w:w="562" w:type="pct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Yabanoğlu (2015)</w:t>
            </w:r>
          </w:p>
        </w:tc>
        <w:tc>
          <w:tcPr>
            <w:tcW w:w="1198" w:type="pct"/>
            <w:tcBorders>
              <w:bottom w:val="single" w:sz="4" w:space="0" w:color="BDD6EE" w:themeColor="accent1" w:themeTint="66"/>
            </w:tcBorders>
            <w:shd w:val="clear" w:color="auto" w:fill="auto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Soaked in Vancomycin</w:t>
            </w:r>
          </w:p>
        </w:tc>
        <w:tc>
          <w:tcPr>
            <w:tcW w:w="634" w:type="pct"/>
            <w:gridSpan w:val="2"/>
            <w:tcBorders>
              <w:bottom w:val="single" w:sz="4" w:space="0" w:color="BDD6EE" w:themeColor="accent1" w:themeTint="66"/>
            </w:tcBorders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  <w:tc>
          <w:tcPr>
            <w:tcW w:w="352" w:type="pct"/>
            <w:vMerge w:val="restart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  <w:tc>
          <w:tcPr>
            <w:tcW w:w="1127" w:type="pct"/>
            <w:gridSpan w:val="2"/>
            <w:vMerge w:val="restart"/>
            <w:shd w:val="clear" w:color="auto" w:fill="auto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 xml:space="preserve">Pseudomonas aeruginosa, Staphylococcus, Staphylococcus aureus, enterococcus </w:t>
            </w:r>
            <w:proofErr w:type="spellStart"/>
            <w:r w:rsidRPr="00745E69">
              <w:rPr>
                <w:rFonts w:cstheme="minorHAnsi"/>
                <w:sz w:val="16"/>
              </w:rPr>
              <w:t>faecalis</w:t>
            </w:r>
            <w:proofErr w:type="spellEnd"/>
            <w:r w:rsidRPr="00745E69">
              <w:rPr>
                <w:rFonts w:cstheme="minorHAnsi"/>
                <w:sz w:val="16"/>
              </w:rPr>
              <w:t>, Proteus mirabilis, E-coli</w:t>
            </w:r>
          </w:p>
        </w:tc>
        <w:tc>
          <w:tcPr>
            <w:tcW w:w="633" w:type="pct"/>
            <w:vMerge w:val="restart"/>
            <w:shd w:val="clear" w:color="auto" w:fill="auto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CDC</w:t>
            </w:r>
          </w:p>
        </w:tc>
      </w:tr>
      <w:tr w:rsidR="000942A0" w:rsidRPr="00745E69" w:rsidTr="00EB4860">
        <w:trPr>
          <w:trHeight w:val="289"/>
        </w:trPr>
        <w:tc>
          <w:tcPr>
            <w:tcW w:w="494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28"/>
              </w:rPr>
            </w:pPr>
          </w:p>
        </w:tc>
        <w:tc>
          <w:tcPr>
            <w:tcW w:w="562" w:type="pct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</w:p>
        </w:tc>
        <w:tc>
          <w:tcPr>
            <w:tcW w:w="1198" w:type="pct"/>
            <w:tcBorders>
              <w:top w:val="single" w:sz="4" w:space="0" w:color="BDD6EE" w:themeColor="accent1" w:themeTint="66"/>
            </w:tcBorders>
            <w:shd w:val="clear" w:color="auto" w:fill="auto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 xml:space="preserve">No antimicrobial mesh treatment </w:t>
            </w:r>
          </w:p>
        </w:tc>
        <w:tc>
          <w:tcPr>
            <w:tcW w:w="634" w:type="pct"/>
            <w:gridSpan w:val="2"/>
            <w:tcBorders>
              <w:top w:val="single" w:sz="4" w:space="0" w:color="BDD6EE" w:themeColor="accent1" w:themeTint="66"/>
            </w:tcBorders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  <w:tc>
          <w:tcPr>
            <w:tcW w:w="352" w:type="pct"/>
            <w:vMerge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127" w:type="pct"/>
            <w:gridSpan w:val="2"/>
            <w:vMerge/>
            <w:shd w:val="clear" w:color="auto" w:fill="auto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</w:p>
        </w:tc>
      </w:tr>
      <w:tr w:rsidR="000942A0" w:rsidRPr="00745E69" w:rsidTr="00EB4860">
        <w:trPr>
          <w:trHeight w:val="290"/>
        </w:trPr>
        <w:tc>
          <w:tcPr>
            <w:tcW w:w="494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28"/>
              </w:rPr>
            </w:pPr>
          </w:p>
        </w:tc>
        <w:tc>
          <w:tcPr>
            <w:tcW w:w="562" w:type="pct"/>
            <w:vMerge w:val="restart"/>
            <w:tcBorders>
              <w:left w:val="single" w:sz="8" w:space="0" w:color="auto"/>
            </w:tcBorders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Warren (2023)</w:t>
            </w:r>
          </w:p>
        </w:tc>
        <w:tc>
          <w:tcPr>
            <w:tcW w:w="1198" w:type="pct"/>
            <w:tcBorders>
              <w:bottom w:val="single" w:sz="4" w:space="0" w:color="BDD6EE" w:themeColor="accent1" w:themeTint="66"/>
            </w:tcBorders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 xml:space="preserve">Irrigated with Gentamicin + Clindamycin </w:t>
            </w:r>
          </w:p>
        </w:tc>
        <w:tc>
          <w:tcPr>
            <w:tcW w:w="634" w:type="pct"/>
            <w:gridSpan w:val="2"/>
            <w:tcBorders>
              <w:bottom w:val="single" w:sz="4" w:space="0" w:color="BDD6EE" w:themeColor="accent1" w:themeTint="66"/>
            </w:tcBorders>
            <w:shd w:val="clear" w:color="auto" w:fill="DEEAF6" w:themeFill="accent1" w:themeFillTint="33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  <w:tc>
          <w:tcPr>
            <w:tcW w:w="352" w:type="pct"/>
            <w:vMerge w:val="restart"/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  <w:tc>
          <w:tcPr>
            <w:tcW w:w="1127" w:type="pct"/>
            <w:gridSpan w:val="2"/>
            <w:vMerge w:val="restart"/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  <w:tc>
          <w:tcPr>
            <w:tcW w:w="633" w:type="pct"/>
            <w:vMerge w:val="restart"/>
            <w:shd w:val="clear" w:color="auto" w:fill="DEEAF6" w:themeFill="accent1" w:themeFillTint="33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CDC</w:t>
            </w:r>
          </w:p>
        </w:tc>
      </w:tr>
      <w:tr w:rsidR="000942A0" w:rsidRPr="00745E69" w:rsidTr="00EB4860">
        <w:trPr>
          <w:trHeight w:val="250"/>
        </w:trPr>
        <w:tc>
          <w:tcPr>
            <w:tcW w:w="494" w:type="pct"/>
            <w:gridSpan w:val="2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28"/>
              </w:rPr>
            </w:pPr>
          </w:p>
        </w:tc>
        <w:tc>
          <w:tcPr>
            <w:tcW w:w="562" w:type="pct"/>
            <w:vMerge/>
            <w:tcBorders>
              <w:left w:val="single" w:sz="8" w:space="0" w:color="auto"/>
              <w:bottom w:val="single" w:sz="18" w:space="0" w:color="auto"/>
            </w:tcBorders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</w:p>
        </w:tc>
        <w:tc>
          <w:tcPr>
            <w:tcW w:w="1198" w:type="pct"/>
            <w:tcBorders>
              <w:top w:val="single" w:sz="4" w:space="0" w:color="BDD6EE" w:themeColor="accent1" w:themeTint="66"/>
              <w:bottom w:val="single" w:sz="18" w:space="0" w:color="auto"/>
            </w:tcBorders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 xml:space="preserve">No antimicrobial mesh treatment </w:t>
            </w:r>
          </w:p>
        </w:tc>
        <w:tc>
          <w:tcPr>
            <w:tcW w:w="634" w:type="pct"/>
            <w:gridSpan w:val="2"/>
            <w:tcBorders>
              <w:top w:val="single" w:sz="4" w:space="0" w:color="BDD6EE" w:themeColor="accent1" w:themeTint="66"/>
              <w:bottom w:val="single" w:sz="18" w:space="0" w:color="auto"/>
            </w:tcBorders>
            <w:shd w:val="clear" w:color="auto" w:fill="DEEAF6" w:themeFill="accent1" w:themeFillTint="33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  <w:tc>
          <w:tcPr>
            <w:tcW w:w="352" w:type="pct"/>
            <w:vMerge/>
            <w:tcBorders>
              <w:bottom w:val="single" w:sz="18" w:space="0" w:color="auto"/>
            </w:tcBorders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127" w:type="pct"/>
            <w:gridSpan w:val="2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633" w:type="pct"/>
            <w:vMerge/>
            <w:tcBorders>
              <w:bottom w:val="single" w:sz="18" w:space="0" w:color="auto"/>
            </w:tcBorders>
            <w:shd w:val="clear" w:color="auto" w:fill="auto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</w:p>
        </w:tc>
      </w:tr>
      <w:tr w:rsidR="000942A0" w:rsidRPr="00745E69" w:rsidTr="00EB4860">
        <w:trPr>
          <w:trHeight w:val="327"/>
        </w:trPr>
        <w:tc>
          <w:tcPr>
            <w:tcW w:w="242" w:type="pct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0942A0" w:rsidRPr="00745E69" w:rsidRDefault="000942A0" w:rsidP="00EB4860">
            <w:pPr>
              <w:ind w:left="113" w:right="113"/>
              <w:jc w:val="center"/>
              <w:rPr>
                <w:rFonts w:cstheme="minorHAnsi"/>
              </w:rPr>
            </w:pPr>
            <w:r w:rsidRPr="00745E69">
              <w:rPr>
                <w:rFonts w:cstheme="minorHAnsi"/>
              </w:rPr>
              <w:t>Observational</w:t>
            </w:r>
          </w:p>
        </w:tc>
        <w:tc>
          <w:tcPr>
            <w:tcW w:w="252" w:type="pct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0942A0" w:rsidRPr="00745E69" w:rsidRDefault="000942A0" w:rsidP="00EB4860">
            <w:pPr>
              <w:ind w:left="113" w:right="113"/>
              <w:jc w:val="center"/>
              <w:rPr>
                <w:rFonts w:cstheme="minorHAnsi"/>
                <w:sz w:val="18"/>
              </w:rPr>
            </w:pPr>
            <w:r w:rsidRPr="00745E69">
              <w:rPr>
                <w:rFonts w:cstheme="minorHAnsi"/>
                <w:sz w:val="18"/>
              </w:rPr>
              <w:t>comparative</w:t>
            </w:r>
          </w:p>
        </w:tc>
        <w:tc>
          <w:tcPr>
            <w:tcW w:w="562" w:type="pct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942A0" w:rsidRPr="00745E69" w:rsidRDefault="000942A0" w:rsidP="00EB4860">
            <w:pPr>
              <w:rPr>
                <w:rFonts w:cstheme="minorHAnsi"/>
                <w:b/>
                <w:sz w:val="16"/>
              </w:rPr>
            </w:pPr>
            <w:proofErr w:type="spellStart"/>
            <w:r w:rsidRPr="00745E69">
              <w:rPr>
                <w:rFonts w:cstheme="minorHAnsi"/>
                <w:sz w:val="16"/>
              </w:rPr>
              <w:t>Fatula</w:t>
            </w:r>
            <w:proofErr w:type="spellEnd"/>
            <w:r w:rsidRPr="00745E69">
              <w:rPr>
                <w:rFonts w:cstheme="minorHAnsi"/>
                <w:sz w:val="16"/>
              </w:rPr>
              <w:t xml:space="preserve"> (2018)</w:t>
            </w:r>
          </w:p>
        </w:tc>
        <w:tc>
          <w:tcPr>
            <w:tcW w:w="1198" w:type="pct"/>
            <w:tcBorders>
              <w:bottom w:val="dotted" w:sz="4" w:space="0" w:color="BDD6EE" w:themeColor="accent1" w:themeTint="66"/>
            </w:tcBorders>
            <w:shd w:val="clear" w:color="auto" w:fill="auto"/>
            <w:vAlign w:val="center"/>
          </w:tcPr>
          <w:p w:rsidR="000942A0" w:rsidRPr="00745E69" w:rsidRDefault="00D1000A" w:rsidP="00EB4860">
            <w:pPr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>Irrigated with Gentami</w:t>
            </w:r>
            <w:r w:rsidR="000942A0" w:rsidRPr="00745E69">
              <w:rPr>
                <w:rFonts w:cstheme="minorHAnsi"/>
                <w:sz w:val="16"/>
              </w:rPr>
              <w:t>cin</w:t>
            </w:r>
          </w:p>
        </w:tc>
        <w:tc>
          <w:tcPr>
            <w:tcW w:w="634" w:type="pct"/>
            <w:gridSpan w:val="2"/>
            <w:tcBorders>
              <w:bottom w:val="single" w:sz="4" w:space="0" w:color="BDD6EE" w:themeColor="accent1" w:themeTint="66"/>
            </w:tcBorders>
            <w:shd w:val="clear" w:color="auto" w:fill="auto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  <w:tc>
          <w:tcPr>
            <w:tcW w:w="352" w:type="pct"/>
            <w:vMerge w:val="restart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  <w:tc>
          <w:tcPr>
            <w:tcW w:w="1127" w:type="pct"/>
            <w:gridSpan w:val="2"/>
            <w:vMerge w:val="restart"/>
            <w:shd w:val="clear" w:color="auto" w:fill="auto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  <w:tc>
          <w:tcPr>
            <w:tcW w:w="633" w:type="pct"/>
            <w:vMerge w:val="restart"/>
            <w:shd w:val="clear" w:color="auto" w:fill="auto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</w:tr>
      <w:tr w:rsidR="000942A0" w:rsidRPr="00745E69" w:rsidTr="00EB4860">
        <w:trPr>
          <w:trHeight w:val="247"/>
        </w:trPr>
        <w:tc>
          <w:tcPr>
            <w:tcW w:w="24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0942A0" w:rsidRPr="00745E69" w:rsidRDefault="000942A0" w:rsidP="00EB4860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25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0942A0" w:rsidRPr="00745E69" w:rsidRDefault="000942A0" w:rsidP="00EB4860">
            <w:pPr>
              <w:ind w:left="113" w:right="113"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562" w:type="pct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</w:p>
        </w:tc>
        <w:tc>
          <w:tcPr>
            <w:tcW w:w="1198" w:type="pct"/>
            <w:tcBorders>
              <w:top w:val="single" w:sz="8" w:space="0" w:color="BDD6EE" w:themeColor="accent1" w:themeTint="66"/>
              <w:bottom w:val="dotted" w:sz="4" w:space="0" w:color="BDD6EE" w:themeColor="accent1" w:themeTint="66"/>
            </w:tcBorders>
            <w:shd w:val="clear" w:color="auto" w:fill="auto"/>
            <w:vAlign w:val="center"/>
          </w:tcPr>
          <w:p w:rsidR="000942A0" w:rsidRPr="00745E69" w:rsidRDefault="00D1000A" w:rsidP="00EB4860">
            <w:pPr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>Irrigated with Gentami</w:t>
            </w:r>
            <w:r w:rsidR="000942A0" w:rsidRPr="00745E69">
              <w:rPr>
                <w:rFonts w:cstheme="minorHAnsi"/>
                <w:sz w:val="16"/>
              </w:rPr>
              <w:t>cin + Clindamycin</w:t>
            </w:r>
          </w:p>
        </w:tc>
        <w:tc>
          <w:tcPr>
            <w:tcW w:w="634" w:type="pct"/>
            <w:gridSpan w:val="2"/>
            <w:tcBorders>
              <w:top w:val="single" w:sz="4" w:space="0" w:color="BDD6EE" w:themeColor="accent1" w:themeTint="66"/>
              <w:bottom w:val="single" w:sz="4" w:space="0" w:color="BDD6EE" w:themeColor="accent1" w:themeTint="66"/>
            </w:tcBorders>
            <w:shd w:val="clear" w:color="auto" w:fill="auto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  <w:tc>
          <w:tcPr>
            <w:tcW w:w="352" w:type="pct"/>
            <w:vMerge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127" w:type="pct"/>
            <w:gridSpan w:val="2"/>
            <w:vMerge/>
            <w:shd w:val="clear" w:color="auto" w:fill="auto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</w:p>
        </w:tc>
      </w:tr>
      <w:tr w:rsidR="000942A0" w:rsidRPr="00745E69" w:rsidTr="00EB4860">
        <w:trPr>
          <w:trHeight w:val="304"/>
        </w:trPr>
        <w:tc>
          <w:tcPr>
            <w:tcW w:w="24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0942A0" w:rsidRPr="00745E69" w:rsidRDefault="000942A0" w:rsidP="00EB4860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25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0942A0" w:rsidRPr="00745E69" w:rsidRDefault="000942A0" w:rsidP="00EB4860">
            <w:pPr>
              <w:ind w:left="113" w:right="113"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562" w:type="pct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</w:p>
        </w:tc>
        <w:tc>
          <w:tcPr>
            <w:tcW w:w="1198" w:type="pct"/>
            <w:tcBorders>
              <w:top w:val="single" w:sz="8" w:space="0" w:color="BDD6EE" w:themeColor="accent1" w:themeTint="66"/>
            </w:tcBorders>
            <w:shd w:val="clear" w:color="auto" w:fill="auto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No antimicrobial mesh treatment</w:t>
            </w:r>
          </w:p>
        </w:tc>
        <w:tc>
          <w:tcPr>
            <w:tcW w:w="634" w:type="pct"/>
            <w:gridSpan w:val="2"/>
            <w:tcBorders>
              <w:top w:val="single" w:sz="4" w:space="0" w:color="BDD6EE" w:themeColor="accent1" w:themeTint="66"/>
            </w:tcBorders>
            <w:shd w:val="clear" w:color="auto" w:fill="auto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  <w:tc>
          <w:tcPr>
            <w:tcW w:w="352" w:type="pct"/>
            <w:vMerge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127" w:type="pct"/>
            <w:gridSpan w:val="2"/>
            <w:vMerge/>
            <w:shd w:val="clear" w:color="auto" w:fill="auto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</w:p>
        </w:tc>
      </w:tr>
      <w:tr w:rsidR="000942A0" w:rsidRPr="00745E69" w:rsidTr="00EB4860">
        <w:trPr>
          <w:trHeight w:val="304"/>
        </w:trPr>
        <w:tc>
          <w:tcPr>
            <w:tcW w:w="24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0942A0" w:rsidRPr="00745E69" w:rsidRDefault="000942A0" w:rsidP="00EB4860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25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0942A0" w:rsidRPr="00745E69" w:rsidRDefault="000942A0" w:rsidP="00EB4860">
            <w:pPr>
              <w:ind w:left="113" w:right="113"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562" w:type="pct"/>
            <w:vMerge w:val="restart"/>
            <w:tcBorders>
              <w:left w:val="single" w:sz="8" w:space="0" w:color="auto"/>
            </w:tcBorders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rPr>
                <w:rFonts w:cstheme="minorHAnsi"/>
                <w:b/>
                <w:sz w:val="16"/>
              </w:rPr>
            </w:pPr>
            <w:proofErr w:type="spellStart"/>
            <w:r w:rsidRPr="00745E69">
              <w:rPr>
                <w:rFonts w:cstheme="minorHAnsi"/>
                <w:sz w:val="16"/>
              </w:rPr>
              <w:t>Kahramanca</w:t>
            </w:r>
            <w:proofErr w:type="spellEnd"/>
            <w:r w:rsidRPr="00745E69">
              <w:rPr>
                <w:rFonts w:cstheme="minorHAnsi"/>
                <w:sz w:val="16"/>
              </w:rPr>
              <w:t xml:space="preserve"> (2013)</w:t>
            </w:r>
          </w:p>
        </w:tc>
        <w:tc>
          <w:tcPr>
            <w:tcW w:w="1198" w:type="pct"/>
            <w:tcBorders>
              <w:top w:val="single" w:sz="8" w:space="0" w:color="BDD6EE" w:themeColor="accent1" w:themeTint="66"/>
            </w:tcBorders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Topical Rifampicin</w:t>
            </w:r>
          </w:p>
        </w:tc>
        <w:tc>
          <w:tcPr>
            <w:tcW w:w="634" w:type="pct"/>
            <w:gridSpan w:val="2"/>
            <w:tcBorders>
              <w:top w:val="single" w:sz="4" w:space="0" w:color="BDD6EE" w:themeColor="accent1" w:themeTint="66"/>
            </w:tcBorders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3 (2.2%)</w:t>
            </w:r>
          </w:p>
        </w:tc>
        <w:tc>
          <w:tcPr>
            <w:tcW w:w="352" w:type="pct"/>
            <w:vMerge w:val="restart"/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  <w:tc>
          <w:tcPr>
            <w:tcW w:w="1127" w:type="pct"/>
            <w:gridSpan w:val="2"/>
            <w:vMerge w:val="restart"/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ascii="Calibri" w:eastAsia="Times New Roman" w:hAnsi="Calibri" w:cs="Calibri"/>
                <w:color w:val="000000"/>
                <w:sz w:val="16"/>
                <w:lang w:val="nl-NL" w:eastAsia="nl-NL"/>
              </w:rPr>
              <w:t>Staphylococcus Aureus. Staphylococcus Epidermidis</w:t>
            </w:r>
          </w:p>
        </w:tc>
        <w:tc>
          <w:tcPr>
            <w:tcW w:w="633" w:type="pct"/>
            <w:vMerge w:val="restart"/>
            <w:shd w:val="clear" w:color="auto" w:fill="DEEAF6" w:themeFill="accent1" w:themeFillTint="33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Clinical assessment</w:t>
            </w:r>
          </w:p>
        </w:tc>
      </w:tr>
      <w:tr w:rsidR="000942A0" w:rsidRPr="00745E69" w:rsidTr="00EB4860">
        <w:trPr>
          <w:trHeight w:val="304"/>
        </w:trPr>
        <w:tc>
          <w:tcPr>
            <w:tcW w:w="24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0942A0" w:rsidRPr="00745E69" w:rsidRDefault="000942A0" w:rsidP="00EB4860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25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0942A0" w:rsidRPr="00745E69" w:rsidRDefault="000942A0" w:rsidP="00EB4860">
            <w:pPr>
              <w:ind w:left="113" w:right="113"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562" w:type="pct"/>
            <w:vMerge/>
            <w:tcBorders>
              <w:left w:val="single" w:sz="8" w:space="0" w:color="auto"/>
            </w:tcBorders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</w:p>
        </w:tc>
        <w:tc>
          <w:tcPr>
            <w:tcW w:w="1198" w:type="pct"/>
            <w:tcBorders>
              <w:top w:val="single" w:sz="8" w:space="0" w:color="BDD6EE" w:themeColor="accent1" w:themeTint="66"/>
            </w:tcBorders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No antimicrobial mesh treatment</w:t>
            </w:r>
          </w:p>
        </w:tc>
        <w:tc>
          <w:tcPr>
            <w:tcW w:w="634" w:type="pct"/>
            <w:gridSpan w:val="2"/>
            <w:tcBorders>
              <w:top w:val="single" w:sz="4" w:space="0" w:color="BDD6EE" w:themeColor="accent1" w:themeTint="66"/>
            </w:tcBorders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1 (0.7%)</w:t>
            </w:r>
          </w:p>
        </w:tc>
        <w:tc>
          <w:tcPr>
            <w:tcW w:w="352" w:type="pct"/>
            <w:vMerge/>
            <w:shd w:val="clear" w:color="auto" w:fill="DEEAF6" w:themeFill="accent1" w:themeFillTint="33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127" w:type="pct"/>
            <w:gridSpan w:val="2"/>
            <w:vMerge/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633" w:type="pct"/>
            <w:vMerge/>
            <w:shd w:val="clear" w:color="auto" w:fill="DEEAF6" w:themeFill="accent1" w:themeFillTint="33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</w:p>
        </w:tc>
      </w:tr>
      <w:tr w:rsidR="000942A0" w:rsidRPr="00745E69" w:rsidTr="00EB4860">
        <w:trPr>
          <w:trHeight w:val="375"/>
        </w:trPr>
        <w:tc>
          <w:tcPr>
            <w:tcW w:w="24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0942A0" w:rsidRPr="00745E69" w:rsidRDefault="000942A0" w:rsidP="00EB4860">
            <w:pPr>
              <w:ind w:left="113" w:right="113"/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252" w:type="pct"/>
            <w:vMerge w:val="restart"/>
            <w:tcBorders>
              <w:top w:val="dashed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0942A0" w:rsidRPr="00745E69" w:rsidRDefault="000942A0" w:rsidP="00EB4860">
            <w:pPr>
              <w:ind w:left="113" w:right="113"/>
              <w:jc w:val="center"/>
              <w:rPr>
                <w:rFonts w:cstheme="minorHAnsi"/>
                <w:sz w:val="18"/>
              </w:rPr>
            </w:pPr>
            <w:r w:rsidRPr="00745E69">
              <w:rPr>
                <w:rFonts w:cstheme="minorHAnsi"/>
                <w:sz w:val="18"/>
              </w:rPr>
              <w:t>Single arm</w:t>
            </w:r>
          </w:p>
        </w:tc>
        <w:tc>
          <w:tcPr>
            <w:tcW w:w="562" w:type="pct"/>
            <w:tcBorders>
              <w:top w:val="dashed" w:sz="4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Baker (2016)</w:t>
            </w:r>
          </w:p>
        </w:tc>
        <w:tc>
          <w:tcPr>
            <w:tcW w:w="1198" w:type="pct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Coated with Rifampicin + Minocycline</w:t>
            </w:r>
          </w:p>
        </w:tc>
        <w:tc>
          <w:tcPr>
            <w:tcW w:w="634" w:type="pct"/>
            <w:gridSpan w:val="2"/>
            <w:tcBorders>
              <w:top w:val="dashed" w:sz="4" w:space="0" w:color="auto"/>
            </w:tcBorders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4 (5.4%)</w:t>
            </w:r>
          </w:p>
        </w:tc>
        <w:tc>
          <w:tcPr>
            <w:tcW w:w="352" w:type="pct"/>
            <w:tcBorders>
              <w:top w:val="dashed" w:sz="4" w:space="0" w:color="auto"/>
            </w:tcBorders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  <w:tc>
          <w:tcPr>
            <w:tcW w:w="1127" w:type="pct"/>
            <w:gridSpan w:val="2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  <w:tc>
          <w:tcPr>
            <w:tcW w:w="633" w:type="pct"/>
            <w:tcBorders>
              <w:top w:val="dashed" w:sz="4" w:space="0" w:color="auto"/>
            </w:tcBorders>
            <w:shd w:val="clear" w:color="auto" w:fill="auto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</w:tr>
      <w:tr w:rsidR="000942A0" w:rsidRPr="00745E69" w:rsidTr="00EB4860">
        <w:trPr>
          <w:trHeight w:val="375"/>
        </w:trPr>
        <w:tc>
          <w:tcPr>
            <w:tcW w:w="24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0942A0" w:rsidRPr="00745E69" w:rsidRDefault="000942A0" w:rsidP="00EB4860">
            <w:pPr>
              <w:ind w:left="113" w:right="113"/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25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0942A0" w:rsidRPr="00745E69" w:rsidRDefault="000942A0" w:rsidP="00EB4860">
            <w:pPr>
              <w:ind w:left="113" w:right="113"/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562" w:type="pct"/>
            <w:tcBorders>
              <w:left w:val="single" w:sz="8" w:space="0" w:color="auto"/>
            </w:tcBorders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  <w:proofErr w:type="spellStart"/>
            <w:r w:rsidRPr="00745E69">
              <w:rPr>
                <w:rFonts w:cstheme="minorHAnsi"/>
                <w:sz w:val="16"/>
              </w:rPr>
              <w:t>Drohan</w:t>
            </w:r>
            <w:proofErr w:type="spellEnd"/>
            <w:r w:rsidRPr="00745E69">
              <w:rPr>
                <w:rFonts w:cstheme="minorHAnsi"/>
                <w:sz w:val="16"/>
              </w:rPr>
              <w:t xml:space="preserve"> (2020)</w:t>
            </w:r>
          </w:p>
        </w:tc>
        <w:tc>
          <w:tcPr>
            <w:tcW w:w="1198" w:type="pct"/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  <w:vertAlign w:val="superscript"/>
              </w:rPr>
            </w:pPr>
            <w:r w:rsidRPr="00745E69">
              <w:rPr>
                <w:rFonts w:cstheme="minorHAnsi"/>
                <w:sz w:val="16"/>
              </w:rPr>
              <w:t xml:space="preserve">CSAB with Vancomycin + </w:t>
            </w:r>
            <w:r w:rsidR="00D1000A">
              <w:rPr>
                <w:rFonts w:cstheme="minorHAnsi"/>
                <w:sz w:val="16"/>
              </w:rPr>
              <w:t>Gentami</w:t>
            </w:r>
            <w:bookmarkStart w:id="0" w:name="_GoBack"/>
            <w:bookmarkEnd w:id="0"/>
            <w:r w:rsidRPr="00745E69">
              <w:rPr>
                <w:rFonts w:cstheme="minorHAnsi"/>
                <w:sz w:val="16"/>
              </w:rPr>
              <w:t>cin</w:t>
            </w:r>
            <w:r w:rsidRPr="00745E69">
              <w:rPr>
                <w:rFonts w:cstheme="minorHAnsi"/>
                <w:sz w:val="16"/>
                <w:vertAlign w:val="superscript"/>
              </w:rPr>
              <w:t>1</w:t>
            </w:r>
          </w:p>
        </w:tc>
        <w:tc>
          <w:tcPr>
            <w:tcW w:w="634" w:type="pct"/>
            <w:gridSpan w:val="2"/>
            <w:shd w:val="clear" w:color="auto" w:fill="DEEAF6" w:themeFill="accent1" w:themeFillTint="33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1 (9%)</w:t>
            </w:r>
          </w:p>
        </w:tc>
        <w:tc>
          <w:tcPr>
            <w:tcW w:w="352" w:type="pct"/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  <w:tc>
          <w:tcPr>
            <w:tcW w:w="1127" w:type="pct"/>
            <w:gridSpan w:val="2"/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  <w:tc>
          <w:tcPr>
            <w:tcW w:w="633" w:type="pct"/>
            <w:shd w:val="clear" w:color="auto" w:fill="DEEAF6" w:themeFill="accent1" w:themeFillTint="33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</w:tr>
      <w:tr w:rsidR="000942A0" w:rsidRPr="00745E69" w:rsidTr="00EB4860">
        <w:trPr>
          <w:trHeight w:val="375"/>
        </w:trPr>
        <w:tc>
          <w:tcPr>
            <w:tcW w:w="24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0942A0" w:rsidRPr="00745E69" w:rsidRDefault="000942A0" w:rsidP="00EB4860">
            <w:pPr>
              <w:ind w:left="113" w:right="113"/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25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0942A0" w:rsidRPr="00745E69" w:rsidRDefault="000942A0" w:rsidP="00EB4860">
            <w:pPr>
              <w:ind w:left="113" w:right="113"/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562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  <w:proofErr w:type="spellStart"/>
            <w:r w:rsidRPr="00745E69">
              <w:rPr>
                <w:rFonts w:cstheme="minorHAnsi"/>
                <w:sz w:val="16"/>
              </w:rPr>
              <w:t>IIahi</w:t>
            </w:r>
            <w:proofErr w:type="spellEnd"/>
            <w:r w:rsidRPr="00745E69">
              <w:rPr>
                <w:rFonts w:cstheme="minorHAnsi"/>
                <w:sz w:val="16"/>
              </w:rPr>
              <w:t xml:space="preserve"> (2023)</w:t>
            </w:r>
          </w:p>
        </w:tc>
        <w:tc>
          <w:tcPr>
            <w:tcW w:w="1198" w:type="pct"/>
            <w:shd w:val="clear" w:color="auto" w:fill="auto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Coated with Rifampicin + Minocycline</w:t>
            </w:r>
          </w:p>
        </w:tc>
        <w:tc>
          <w:tcPr>
            <w:tcW w:w="634" w:type="pct"/>
            <w:gridSpan w:val="2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4 (6.8%)</w:t>
            </w:r>
          </w:p>
        </w:tc>
        <w:tc>
          <w:tcPr>
            <w:tcW w:w="352" w:type="pct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1</w:t>
            </w:r>
            <w:r>
              <w:rPr>
                <w:rFonts w:cstheme="minorHAnsi"/>
                <w:sz w:val="16"/>
              </w:rPr>
              <w:t xml:space="preserve"> (1.7%)</w:t>
            </w:r>
          </w:p>
        </w:tc>
        <w:tc>
          <w:tcPr>
            <w:tcW w:w="1127" w:type="pct"/>
            <w:gridSpan w:val="2"/>
            <w:shd w:val="clear" w:color="auto" w:fill="auto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  <w:tc>
          <w:tcPr>
            <w:tcW w:w="633" w:type="pct"/>
            <w:shd w:val="clear" w:color="auto" w:fill="auto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CDC</w:t>
            </w:r>
          </w:p>
        </w:tc>
      </w:tr>
      <w:tr w:rsidR="000942A0" w:rsidRPr="00745E69" w:rsidTr="00EB4860">
        <w:trPr>
          <w:trHeight w:val="375"/>
        </w:trPr>
        <w:tc>
          <w:tcPr>
            <w:tcW w:w="242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0942A0" w:rsidRPr="00745E69" w:rsidRDefault="000942A0" w:rsidP="00EB4860">
            <w:pPr>
              <w:ind w:left="113" w:right="113"/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252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0942A0" w:rsidRPr="00745E69" w:rsidRDefault="000942A0" w:rsidP="00EB4860">
            <w:pPr>
              <w:ind w:left="113" w:right="113"/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562" w:type="pct"/>
            <w:tcBorders>
              <w:left w:val="single" w:sz="8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  <w:proofErr w:type="spellStart"/>
            <w:r w:rsidRPr="00745E69">
              <w:rPr>
                <w:rFonts w:cstheme="minorHAnsi"/>
                <w:sz w:val="16"/>
              </w:rPr>
              <w:t>Schneeberger</w:t>
            </w:r>
            <w:proofErr w:type="spellEnd"/>
            <w:r w:rsidRPr="00745E69">
              <w:rPr>
                <w:rFonts w:cstheme="minorHAnsi"/>
                <w:sz w:val="16"/>
              </w:rPr>
              <w:t xml:space="preserve"> (2020)</w:t>
            </w:r>
          </w:p>
        </w:tc>
        <w:tc>
          <w:tcPr>
            <w:tcW w:w="1198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rPr>
                <w:rFonts w:cstheme="minorHAnsi"/>
                <w:sz w:val="16"/>
                <w:lang w:val="it-IT"/>
              </w:rPr>
            </w:pPr>
            <w:r w:rsidRPr="00745E69">
              <w:rPr>
                <w:rFonts w:cstheme="minorHAnsi"/>
                <w:sz w:val="16"/>
                <w:lang w:val="it-IT"/>
              </w:rPr>
              <w:t>Soaked in Povidone Iodine + Bacitracin + Gentamicin + Cefazolin</w:t>
            </w:r>
          </w:p>
        </w:tc>
        <w:tc>
          <w:tcPr>
            <w:tcW w:w="634" w:type="pct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2</w:t>
            </w:r>
            <w:r>
              <w:rPr>
                <w:rFonts w:cstheme="minorHAnsi"/>
                <w:sz w:val="16"/>
              </w:rPr>
              <w:t xml:space="preserve"> (2.3%)</w:t>
            </w:r>
          </w:p>
        </w:tc>
        <w:tc>
          <w:tcPr>
            <w:tcW w:w="1127" w:type="pct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0942A0" w:rsidRPr="00745E69" w:rsidRDefault="000942A0" w:rsidP="00EB4860">
            <w:pPr>
              <w:jc w:val="center"/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>NR</w:t>
            </w:r>
          </w:p>
        </w:tc>
      </w:tr>
      <w:tr w:rsidR="000942A0" w:rsidRPr="00745E69" w:rsidTr="00EB4860">
        <w:trPr>
          <w:trHeight w:val="375"/>
        </w:trPr>
        <w:tc>
          <w:tcPr>
            <w:tcW w:w="5000" w:type="pct"/>
            <w:gridSpan w:val="10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</w:p>
          <w:p w:rsidR="000942A0" w:rsidRPr="00745E69" w:rsidRDefault="000942A0" w:rsidP="00EB4860">
            <w:pPr>
              <w:rPr>
                <w:rFonts w:cstheme="minorHAnsi"/>
                <w:sz w:val="16"/>
              </w:rPr>
            </w:pPr>
            <w:r w:rsidRPr="00745E69">
              <w:rPr>
                <w:rFonts w:cstheme="minorHAnsi"/>
                <w:sz w:val="16"/>
              </w:rPr>
              <w:t xml:space="preserve">Abbreviations: Centers for Disease Control and Prevention </w:t>
            </w:r>
            <w:r>
              <w:rPr>
                <w:rFonts w:cstheme="minorHAnsi"/>
                <w:sz w:val="16"/>
              </w:rPr>
              <w:t>(CDC</w:t>
            </w:r>
            <w:r w:rsidRPr="00745E69">
              <w:rPr>
                <w:rFonts w:cstheme="minorHAnsi"/>
                <w:sz w:val="16"/>
              </w:rPr>
              <w:t xml:space="preserve">), Calcium Sulfate Antibiotic Beads (CSAB), Not Reported (NR), Randomized Controlled Trial (RCT), Surgical Site Infection (SSI). Note: </w:t>
            </w:r>
            <w:r w:rsidRPr="00745E69">
              <w:rPr>
                <w:rFonts w:cstheme="minorHAnsi"/>
                <w:sz w:val="16"/>
                <w:vertAlign w:val="superscript"/>
              </w:rPr>
              <w:t>1</w:t>
            </w:r>
            <w:r w:rsidRPr="00745E69">
              <w:rPr>
                <w:rFonts w:cstheme="minorHAnsi"/>
                <w:sz w:val="16"/>
              </w:rPr>
              <w:t xml:space="preserve"> Placed in front of the mesh.</w:t>
            </w:r>
          </w:p>
        </w:tc>
      </w:tr>
    </w:tbl>
    <w:p w:rsidR="006E0495" w:rsidRDefault="006E0495" w:rsidP="006E0495">
      <w:pPr>
        <w:pStyle w:val="EndNoteBibliography"/>
        <w:spacing w:after="0"/>
        <w:ind w:left="720" w:hanging="720"/>
        <w:rPr>
          <w:rFonts w:ascii="Times New Roman" w:hAnsi="Times New Roman" w:cs="Times New Roman"/>
          <w:lang w:val="en-GB"/>
        </w:rPr>
      </w:pPr>
    </w:p>
    <w:p w:rsidR="00877055" w:rsidRPr="006E0495" w:rsidRDefault="006E0495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fldChar w:fldCharType="begin"/>
      </w:r>
      <w:r>
        <w:rPr>
          <w:rFonts w:ascii="Times New Roman" w:hAnsi="Times New Roman" w:cs="Times New Roman"/>
          <w:lang w:val="en-GB"/>
        </w:rPr>
        <w:instrText xml:space="preserve"> ADDIN EN.REFLIST </w:instrText>
      </w:r>
      <w:r>
        <w:rPr>
          <w:rFonts w:ascii="Times New Roman" w:hAnsi="Times New Roman" w:cs="Times New Roman"/>
          <w:lang w:val="en-GB"/>
        </w:rPr>
        <w:fldChar w:fldCharType="end"/>
      </w:r>
    </w:p>
    <w:sectPr w:rsidR="00877055" w:rsidRPr="006E0495" w:rsidSect="0087705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4413C"/>
    <w:multiLevelType w:val="hybridMultilevel"/>
    <w:tmpl w:val="D9EE2BC0"/>
    <w:lvl w:ilvl="0" w:tplc="67243D0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EE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wts590ewvvwwmezazpxxdvwzfw5fz0ttxpt&quot;&gt;Systematic review Mesh&lt;record-ids&gt;&lt;item&gt;63&lt;/item&gt;&lt;item&gt;64&lt;/item&gt;&lt;item&gt;66&lt;/item&gt;&lt;item&gt;67&lt;/item&gt;&lt;/record-ids&gt;&lt;/item&gt;&lt;/Libraries&gt;"/>
  </w:docVars>
  <w:rsids>
    <w:rsidRoot w:val="00607DF2"/>
    <w:rsid w:val="000942A0"/>
    <w:rsid w:val="00475C09"/>
    <w:rsid w:val="00607DF2"/>
    <w:rsid w:val="006E0495"/>
    <w:rsid w:val="00877055"/>
    <w:rsid w:val="00D1000A"/>
    <w:rsid w:val="00D77D17"/>
    <w:rsid w:val="00F0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E645D"/>
  <w15:chartTrackingRefBased/>
  <w15:docId w15:val="{FD5080B2-F21D-44C6-8808-51873F71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7055"/>
    <w:pPr>
      <w:keepNext/>
      <w:keepLines/>
      <w:spacing w:before="240" w:after="0" w:line="48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0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table" w:customStyle="1" w:styleId="Tabelraster2">
    <w:name w:val="Tabelraster2"/>
    <w:basedOn w:val="TableNormal"/>
    <w:next w:val="TableGrid"/>
    <w:uiPriority w:val="59"/>
    <w:rsid w:val="00877055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877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0495"/>
    <w:pPr>
      <w:spacing w:after="200" w:line="276" w:lineRule="auto"/>
      <w:ind w:left="720"/>
      <w:contextualSpacing/>
    </w:pPr>
    <w:rPr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495"/>
    <w:rPr>
      <w:rFonts w:ascii="Segoe UI" w:hAnsi="Segoe UI" w:cs="Segoe UI"/>
      <w:sz w:val="18"/>
      <w:szCs w:val="18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6E049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E0495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E0495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E0495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6E04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Bontekoning, N.</dc:creator>
  <cp:keywords/>
  <dc:description/>
  <cp:lastModifiedBy>Bontekoning, N.</cp:lastModifiedBy>
  <cp:revision>5</cp:revision>
  <dcterms:created xsi:type="dcterms:W3CDTF">2023-12-01T11:50:00Z</dcterms:created>
  <dcterms:modified xsi:type="dcterms:W3CDTF">2024-01-22T08:23:00Z</dcterms:modified>
</cp:coreProperties>
</file>