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C6E92" w14:textId="77777777" w:rsidR="00D52E27" w:rsidRPr="00D52E27" w:rsidRDefault="00D52E27" w:rsidP="00D52E27">
      <w:pPr>
        <w:spacing w:line="480" w:lineRule="auto"/>
        <w:rPr>
          <w:rFonts w:ascii="Times New Roman" w:hAnsi="Times New Roman" w:cs="Times New Roman"/>
          <w:b/>
          <w:sz w:val="20"/>
          <w:szCs w:val="20"/>
        </w:rPr>
      </w:pPr>
      <w:r w:rsidRPr="00D52E27">
        <w:rPr>
          <w:rFonts w:ascii="Times New Roman" w:hAnsi="Times New Roman" w:cs="Times New Roman"/>
          <w:b/>
          <w:sz w:val="20"/>
          <w:szCs w:val="20"/>
        </w:rPr>
        <w:t>Topical Antimicrobial Treatment of Mesh for the Reduction of Surgical Site Infections after Hernia Repair</w:t>
      </w:r>
    </w:p>
    <w:p w14:paraId="386AABB5" w14:textId="77777777" w:rsidR="00D52E27" w:rsidRPr="00D52E27" w:rsidRDefault="00D52E27" w:rsidP="00D52E27">
      <w:pPr>
        <w:spacing w:line="480" w:lineRule="auto"/>
        <w:rPr>
          <w:rFonts w:ascii="Times New Roman" w:hAnsi="Times New Roman" w:cs="Times New Roman"/>
          <w:sz w:val="20"/>
          <w:szCs w:val="20"/>
        </w:rPr>
      </w:pPr>
      <w:r w:rsidRPr="00D52E27">
        <w:rPr>
          <w:rFonts w:ascii="Times New Roman" w:hAnsi="Times New Roman" w:cs="Times New Roman"/>
          <w:sz w:val="20"/>
          <w:szCs w:val="20"/>
        </w:rPr>
        <w:t>A Systematic Review and Meta-Analysis</w:t>
      </w:r>
    </w:p>
    <w:p w14:paraId="6F4A2255" w14:textId="77777777" w:rsidR="00D52E27" w:rsidRPr="00CB6F90" w:rsidRDefault="00D52E27" w:rsidP="00D52E27">
      <w:pPr>
        <w:spacing w:line="480" w:lineRule="auto"/>
        <w:rPr>
          <w:rFonts w:ascii="Times New Roman" w:hAnsi="Times New Roman" w:cs="Times New Roman"/>
          <w:b/>
          <w:sz w:val="20"/>
          <w:szCs w:val="20"/>
        </w:rPr>
      </w:pPr>
      <w:r w:rsidRPr="00CB6F90">
        <w:rPr>
          <w:rFonts w:ascii="Times New Roman" w:hAnsi="Times New Roman" w:cs="Times New Roman"/>
          <w:b/>
          <w:sz w:val="20"/>
          <w:szCs w:val="20"/>
        </w:rPr>
        <w:t>Hernia</w:t>
      </w:r>
    </w:p>
    <w:p w14:paraId="0A140015" w14:textId="77777777" w:rsidR="001E13F5" w:rsidRDefault="001E13F5" w:rsidP="001E13F5">
      <w:pPr>
        <w:pStyle w:val="Heading1"/>
        <w:spacing w:line="240" w:lineRule="auto"/>
        <w:rPr>
          <w:rFonts w:ascii="Times New Roman" w:hAnsi="Times New Roman" w:cs="Times New Roman"/>
          <w:b/>
          <w:bCs/>
          <w:color w:val="auto"/>
          <w:sz w:val="24"/>
        </w:rPr>
      </w:pPr>
      <w:bookmarkStart w:id="0" w:name="_Toc151984949"/>
      <w:r>
        <w:rPr>
          <w:rFonts w:ascii="Times New Roman" w:hAnsi="Times New Roman" w:cs="Times New Roman"/>
          <w:b/>
          <w:color w:val="auto"/>
          <w:sz w:val="24"/>
          <w:lang w:val="en-GB"/>
        </w:rPr>
        <w:t xml:space="preserve">Online Resource 4. </w:t>
      </w:r>
      <w:r w:rsidRPr="00073BF9">
        <w:rPr>
          <w:rFonts w:ascii="Times New Roman" w:hAnsi="Times New Roman" w:cs="Times New Roman"/>
          <w:b/>
          <w:color w:val="auto"/>
          <w:sz w:val="24"/>
          <w:lang w:val="en-GB"/>
        </w:rPr>
        <w:t>Statements on method of antimicrobial treatment of the mesh</w:t>
      </w:r>
      <w:r w:rsidR="000F29B9" w:rsidRPr="00033509">
        <w:rPr>
          <w:rFonts w:ascii="Times New Roman" w:hAnsi="Times New Roman" w:cs="Times New Roman"/>
          <w:b/>
          <w:color w:val="auto"/>
          <w:sz w:val="24"/>
          <w:lang w:val="en-GB"/>
        </w:rPr>
        <w:t>, mesh location</w:t>
      </w:r>
      <w:r>
        <w:rPr>
          <w:rFonts w:ascii="Times New Roman" w:hAnsi="Times New Roman" w:cs="Times New Roman"/>
          <w:b/>
          <w:color w:val="auto"/>
          <w:sz w:val="24"/>
          <w:lang w:val="en-GB"/>
        </w:rPr>
        <w:t xml:space="preserve"> and </w:t>
      </w:r>
      <w:r w:rsidRPr="00073BF9">
        <w:rPr>
          <w:rFonts w:ascii="Times New Roman" w:hAnsi="Times New Roman" w:cs="Times New Roman"/>
          <w:b/>
          <w:bCs/>
          <w:color w:val="auto"/>
          <w:sz w:val="24"/>
        </w:rPr>
        <w:t>systemic antibiotic prophylaxis</w:t>
      </w:r>
      <w:bookmarkEnd w:id="0"/>
    </w:p>
    <w:p w14:paraId="3C53DA01" w14:textId="77777777" w:rsidR="001E13F5" w:rsidRPr="00524D9C" w:rsidRDefault="001E13F5" w:rsidP="001E13F5"/>
    <w:tbl>
      <w:tblPr>
        <w:tblStyle w:val="Tabelraster1"/>
        <w:tblW w:w="10185" w:type="dxa"/>
        <w:tblInd w:w="-409" w:type="dxa"/>
        <w:tblLook w:val="04A0" w:firstRow="1" w:lastRow="0" w:firstColumn="1" w:lastColumn="0" w:noHBand="0" w:noVBand="1"/>
      </w:tblPr>
      <w:tblGrid>
        <w:gridCol w:w="1150"/>
        <w:gridCol w:w="4357"/>
        <w:gridCol w:w="2268"/>
        <w:gridCol w:w="2410"/>
      </w:tblGrid>
      <w:tr w:rsidR="00D82BB5" w:rsidRPr="002A2C22" w14:paraId="47B57DF0" w14:textId="77777777" w:rsidTr="00672986">
        <w:trPr>
          <w:trHeight w:val="612"/>
        </w:trPr>
        <w:tc>
          <w:tcPr>
            <w:tcW w:w="1150" w:type="dxa"/>
            <w:shd w:val="clear" w:color="auto" w:fill="auto"/>
          </w:tcPr>
          <w:p w14:paraId="77DF30ED" w14:textId="77777777" w:rsidR="00D82BB5" w:rsidRPr="002A2C22" w:rsidRDefault="00D82BB5" w:rsidP="00EB4860">
            <w:pPr>
              <w:rPr>
                <w:rFonts w:ascii="Times New Roman" w:eastAsia="Calibri" w:hAnsi="Times New Roman" w:cs="Times New Roman"/>
                <w:b/>
                <w:bCs/>
                <w:sz w:val="20"/>
                <w:szCs w:val="20"/>
              </w:rPr>
            </w:pPr>
            <w:r w:rsidRPr="002A2C22">
              <w:rPr>
                <w:rFonts w:ascii="Times New Roman" w:eastAsia="Calibri" w:hAnsi="Times New Roman" w:cs="Times New Roman"/>
                <w:b/>
                <w:bCs/>
                <w:sz w:val="20"/>
                <w:szCs w:val="20"/>
              </w:rPr>
              <w:t>Study</w:t>
            </w:r>
          </w:p>
        </w:tc>
        <w:tc>
          <w:tcPr>
            <w:tcW w:w="4357" w:type="dxa"/>
            <w:shd w:val="clear" w:color="auto" w:fill="auto"/>
          </w:tcPr>
          <w:p w14:paraId="4864E8C3" w14:textId="77777777" w:rsidR="00D82BB5" w:rsidRPr="002A2C22" w:rsidRDefault="00D82BB5" w:rsidP="00EB4860">
            <w:pPr>
              <w:rPr>
                <w:rFonts w:ascii="Times New Roman" w:eastAsia="Calibri" w:hAnsi="Times New Roman" w:cs="Times New Roman"/>
                <w:b/>
                <w:bCs/>
                <w:sz w:val="20"/>
                <w:szCs w:val="20"/>
              </w:rPr>
            </w:pPr>
            <w:r w:rsidRPr="002A2C22">
              <w:rPr>
                <w:rFonts w:ascii="Times New Roman" w:eastAsia="Calibri" w:hAnsi="Times New Roman" w:cs="Times New Roman"/>
                <w:b/>
                <w:bCs/>
                <w:sz w:val="20"/>
                <w:szCs w:val="20"/>
              </w:rPr>
              <w:t>Statements on method of antimicrobial treatment of the mesh</w:t>
            </w:r>
          </w:p>
          <w:p w14:paraId="624253A2" w14:textId="77777777" w:rsidR="00D82BB5" w:rsidRPr="002A2C22" w:rsidRDefault="00D82BB5" w:rsidP="00EB4860">
            <w:pPr>
              <w:rPr>
                <w:rFonts w:ascii="Times New Roman" w:eastAsia="Calibri" w:hAnsi="Times New Roman" w:cs="Times New Roman"/>
                <w:b/>
                <w:bCs/>
                <w:sz w:val="20"/>
                <w:szCs w:val="20"/>
              </w:rPr>
            </w:pPr>
          </w:p>
        </w:tc>
        <w:tc>
          <w:tcPr>
            <w:tcW w:w="2268" w:type="dxa"/>
          </w:tcPr>
          <w:p w14:paraId="258F630B" w14:textId="77777777" w:rsidR="00D82BB5" w:rsidRPr="00033509" w:rsidRDefault="005B40C3" w:rsidP="00723478">
            <w:pPr>
              <w:rPr>
                <w:rFonts w:ascii="Times New Roman" w:eastAsia="Calibri" w:hAnsi="Times New Roman" w:cs="Times New Roman"/>
                <w:b/>
                <w:bCs/>
                <w:sz w:val="20"/>
                <w:szCs w:val="20"/>
              </w:rPr>
            </w:pPr>
            <w:r w:rsidRPr="00033509">
              <w:rPr>
                <w:rFonts w:ascii="Times New Roman" w:eastAsia="Calibri" w:hAnsi="Times New Roman" w:cs="Times New Roman"/>
                <w:b/>
                <w:bCs/>
                <w:sz w:val="20"/>
                <w:szCs w:val="20"/>
              </w:rPr>
              <w:t>Statements on l</w:t>
            </w:r>
            <w:r w:rsidR="00F20BFA" w:rsidRPr="00033509">
              <w:rPr>
                <w:rFonts w:ascii="Times New Roman" w:eastAsia="Calibri" w:hAnsi="Times New Roman" w:cs="Times New Roman"/>
                <w:b/>
                <w:bCs/>
                <w:sz w:val="20"/>
                <w:szCs w:val="20"/>
              </w:rPr>
              <w:t>ocation</w:t>
            </w:r>
            <w:r w:rsidR="00D82BB5" w:rsidRPr="00033509">
              <w:rPr>
                <w:rFonts w:ascii="Times New Roman" w:eastAsia="Calibri" w:hAnsi="Times New Roman" w:cs="Times New Roman"/>
                <w:b/>
                <w:bCs/>
                <w:sz w:val="20"/>
                <w:szCs w:val="20"/>
              </w:rPr>
              <w:t xml:space="preserve"> of mesh</w:t>
            </w:r>
            <w:r w:rsidR="00723478" w:rsidRPr="00033509">
              <w:rPr>
                <w:rFonts w:ascii="Times New Roman" w:eastAsia="Calibri" w:hAnsi="Times New Roman" w:cs="Times New Roman"/>
                <w:b/>
                <w:bCs/>
                <w:sz w:val="20"/>
                <w:szCs w:val="20"/>
              </w:rPr>
              <w:t xml:space="preserve"> placement</w:t>
            </w:r>
            <w:r w:rsidR="003279FD" w:rsidRPr="00033509">
              <w:rPr>
                <w:rFonts w:ascii="Times New Roman" w:eastAsia="Calibri" w:hAnsi="Times New Roman" w:cs="Times New Roman"/>
                <w:b/>
                <w:bCs/>
                <w:sz w:val="20"/>
                <w:szCs w:val="20"/>
              </w:rPr>
              <w:t xml:space="preserve"> n (%)</w:t>
            </w:r>
          </w:p>
        </w:tc>
        <w:tc>
          <w:tcPr>
            <w:tcW w:w="2410" w:type="dxa"/>
          </w:tcPr>
          <w:p w14:paraId="08D753C6" w14:textId="77777777" w:rsidR="00D82BB5" w:rsidRPr="002A2C22" w:rsidRDefault="00D82BB5" w:rsidP="00EB4860">
            <w:pPr>
              <w:rPr>
                <w:rFonts w:ascii="Times New Roman" w:eastAsia="Calibri" w:hAnsi="Times New Roman" w:cs="Times New Roman"/>
                <w:b/>
                <w:bCs/>
                <w:sz w:val="20"/>
                <w:szCs w:val="20"/>
              </w:rPr>
            </w:pPr>
            <w:r w:rsidRPr="002A2C22">
              <w:rPr>
                <w:rFonts w:ascii="Times New Roman" w:eastAsia="Calibri" w:hAnsi="Times New Roman" w:cs="Times New Roman"/>
                <w:b/>
                <w:bCs/>
                <w:sz w:val="20"/>
                <w:szCs w:val="20"/>
              </w:rPr>
              <w:t>Statements on systemic antibiotic prophylaxis</w:t>
            </w:r>
          </w:p>
        </w:tc>
      </w:tr>
      <w:tr w:rsidR="00D82BB5" w:rsidRPr="002A2C22" w14:paraId="63CD5387" w14:textId="77777777" w:rsidTr="00672986">
        <w:trPr>
          <w:trHeight w:val="245"/>
        </w:trPr>
        <w:tc>
          <w:tcPr>
            <w:tcW w:w="1150" w:type="dxa"/>
            <w:shd w:val="clear" w:color="auto" w:fill="F2F2F2"/>
          </w:tcPr>
          <w:p w14:paraId="18AD4412" w14:textId="77777777" w:rsidR="00D82BB5" w:rsidRPr="002A2C22" w:rsidRDefault="00D82BB5" w:rsidP="00EB4860">
            <w:pPr>
              <w:rPr>
                <w:rFonts w:ascii="Times New Roman" w:eastAsia="Calibri" w:hAnsi="Times New Roman" w:cs="Times New Roman"/>
                <w:b/>
                <w:bCs/>
                <w:sz w:val="16"/>
                <w:szCs w:val="16"/>
              </w:rPr>
            </w:pPr>
            <w:r w:rsidRPr="002A2C22">
              <w:rPr>
                <w:rFonts w:ascii="Times New Roman" w:eastAsia="Calibri" w:hAnsi="Times New Roman" w:cs="Times New Roman"/>
                <w:b/>
                <w:bCs/>
                <w:sz w:val="16"/>
                <w:szCs w:val="16"/>
              </w:rPr>
              <w:t>Baker 2016</w:t>
            </w:r>
          </w:p>
        </w:tc>
        <w:tc>
          <w:tcPr>
            <w:tcW w:w="4357" w:type="dxa"/>
            <w:shd w:val="clear" w:color="auto" w:fill="F2F2F2"/>
          </w:tcPr>
          <w:p w14:paraId="4A191EE3"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 xml:space="preserve">Recently introduced to the market, </w:t>
            </w:r>
            <w:proofErr w:type="spellStart"/>
            <w:r w:rsidRPr="002A2C22">
              <w:rPr>
                <w:rFonts w:ascii="Times New Roman" w:eastAsia="Calibri" w:hAnsi="Times New Roman" w:cs="Times New Roman"/>
                <w:sz w:val="16"/>
                <w:szCs w:val="16"/>
              </w:rPr>
              <w:t>XenMatrix</w:t>
            </w:r>
            <w:proofErr w:type="spellEnd"/>
            <w:r w:rsidRPr="002A2C22">
              <w:rPr>
                <w:rFonts w:ascii="Times New Roman" w:eastAsia="Calibri" w:hAnsi="Times New Roman" w:cs="Times New Roman"/>
                <w:sz w:val="16"/>
                <w:szCs w:val="16"/>
              </w:rPr>
              <w:t xml:space="preserve"> AB Surgical Graft (</w:t>
            </w:r>
            <w:proofErr w:type="spellStart"/>
            <w:r w:rsidRPr="002A2C22">
              <w:rPr>
                <w:rFonts w:ascii="Times New Roman" w:eastAsia="Calibri" w:hAnsi="Times New Roman" w:cs="Times New Roman"/>
                <w:sz w:val="16"/>
                <w:szCs w:val="16"/>
              </w:rPr>
              <w:t>XenAB</w:t>
            </w:r>
            <w:proofErr w:type="spellEnd"/>
            <w:r w:rsidRPr="002A2C22">
              <w:rPr>
                <w:rFonts w:ascii="Times New Roman" w:eastAsia="Calibri" w:hAnsi="Times New Roman" w:cs="Times New Roman"/>
                <w:sz w:val="16"/>
                <w:szCs w:val="16"/>
              </w:rPr>
              <w:t>; CR Bard, Inc. [</w:t>
            </w:r>
            <w:proofErr w:type="spellStart"/>
            <w:r w:rsidRPr="002A2C22">
              <w:rPr>
                <w:rFonts w:ascii="Times New Roman" w:eastAsia="Calibri" w:hAnsi="Times New Roman" w:cs="Times New Roman"/>
                <w:sz w:val="16"/>
                <w:szCs w:val="16"/>
              </w:rPr>
              <w:t>Davol</w:t>
            </w:r>
            <w:proofErr w:type="spellEnd"/>
            <w:r w:rsidRPr="002A2C22">
              <w:rPr>
                <w:rFonts w:ascii="Times New Roman" w:eastAsia="Calibri" w:hAnsi="Times New Roman" w:cs="Times New Roman"/>
                <w:sz w:val="16"/>
                <w:szCs w:val="16"/>
              </w:rPr>
              <w:t>]) is a non-</w:t>
            </w:r>
            <w:proofErr w:type="spellStart"/>
            <w:r w:rsidRPr="002A2C22">
              <w:rPr>
                <w:rFonts w:ascii="Times New Roman" w:eastAsia="Calibri" w:hAnsi="Times New Roman" w:cs="Times New Roman"/>
                <w:sz w:val="16"/>
                <w:szCs w:val="16"/>
              </w:rPr>
              <w:t>crosslinked</w:t>
            </w:r>
            <w:proofErr w:type="spellEnd"/>
            <w:r w:rsidRPr="002A2C22">
              <w:rPr>
                <w:rFonts w:ascii="Times New Roman" w:eastAsia="Calibri" w:hAnsi="Times New Roman" w:cs="Times New Roman"/>
                <w:sz w:val="16"/>
                <w:szCs w:val="16"/>
              </w:rPr>
              <w:t xml:space="preserve"> porcine acellular dermal graft (NCPADG) with a tyrosine polymer coating containing the antibiotics rifampin and minocycline. Here we describe early clinical outcomes using </w:t>
            </w:r>
            <w:proofErr w:type="spellStart"/>
            <w:r w:rsidRPr="002A2C22">
              <w:rPr>
                <w:rFonts w:ascii="Times New Roman" w:eastAsia="Calibri" w:hAnsi="Times New Roman" w:cs="Times New Roman"/>
                <w:sz w:val="16"/>
                <w:szCs w:val="16"/>
              </w:rPr>
              <w:t>XenAB</w:t>
            </w:r>
            <w:proofErr w:type="spellEnd"/>
          </w:p>
          <w:p w14:paraId="40C2B4B8"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NCPADG for ventral hernia repair.</w:t>
            </w:r>
          </w:p>
        </w:tc>
        <w:tc>
          <w:tcPr>
            <w:tcW w:w="2268" w:type="dxa"/>
            <w:shd w:val="clear" w:color="auto" w:fill="F2F2F2"/>
          </w:tcPr>
          <w:p w14:paraId="089BD0E9" w14:textId="77777777" w:rsidR="006E4E48" w:rsidRPr="00033509" w:rsidRDefault="006E4E48" w:rsidP="006E4E48">
            <w:pPr>
              <w:rPr>
                <w:rFonts w:ascii="Times New Roman" w:eastAsia="Calibri" w:hAnsi="Times New Roman" w:cs="Times New Roman"/>
                <w:sz w:val="16"/>
                <w:szCs w:val="16"/>
              </w:rPr>
            </w:pPr>
            <w:proofErr w:type="spellStart"/>
            <w:r w:rsidRPr="00033509">
              <w:rPr>
                <w:rFonts w:ascii="Times New Roman" w:eastAsia="Calibri" w:hAnsi="Times New Roman" w:cs="Times New Roman"/>
                <w:sz w:val="16"/>
                <w:szCs w:val="16"/>
              </w:rPr>
              <w:t>Extraperitoneal</w:t>
            </w:r>
            <w:proofErr w:type="spellEnd"/>
            <w:r w:rsidRPr="00033509">
              <w:rPr>
                <w:rFonts w:ascii="Times New Roman" w:eastAsia="Calibri" w:hAnsi="Times New Roman" w:cs="Times New Roman"/>
                <w:sz w:val="16"/>
                <w:szCs w:val="16"/>
              </w:rPr>
              <w:t xml:space="preserve"> </w:t>
            </w:r>
            <w:proofErr w:type="spellStart"/>
            <w:r w:rsidRPr="00033509">
              <w:rPr>
                <w:rFonts w:ascii="Times New Roman" w:eastAsia="Calibri" w:hAnsi="Times New Roman" w:cs="Times New Roman"/>
                <w:sz w:val="16"/>
                <w:szCs w:val="16"/>
              </w:rPr>
              <w:t>sublay</w:t>
            </w:r>
            <w:proofErr w:type="spellEnd"/>
            <w:r w:rsidRPr="00033509">
              <w:rPr>
                <w:rFonts w:ascii="Times New Roman" w:eastAsia="Calibri" w:hAnsi="Times New Roman" w:cs="Times New Roman"/>
                <w:sz w:val="16"/>
                <w:szCs w:val="16"/>
              </w:rPr>
              <w:t xml:space="preserve"> 5 (6.8)</w:t>
            </w:r>
          </w:p>
          <w:p w14:paraId="5CAA3ADB" w14:textId="77777777" w:rsidR="006E4E48" w:rsidRPr="00033509" w:rsidRDefault="006E4E48" w:rsidP="006E4E48">
            <w:pPr>
              <w:rPr>
                <w:rFonts w:ascii="Times New Roman" w:eastAsia="Calibri" w:hAnsi="Times New Roman" w:cs="Times New Roman"/>
                <w:sz w:val="16"/>
                <w:szCs w:val="16"/>
              </w:rPr>
            </w:pPr>
            <w:r w:rsidRPr="00033509">
              <w:rPr>
                <w:rFonts w:ascii="Times New Roman" w:eastAsia="Calibri" w:hAnsi="Times New Roman" w:cs="Times New Roman"/>
                <w:sz w:val="16"/>
                <w:szCs w:val="16"/>
              </w:rPr>
              <w:t>Intraperitoneal 26 (35.1)</w:t>
            </w:r>
          </w:p>
          <w:p w14:paraId="09A0D6F4" w14:textId="77777777" w:rsidR="006E4E48" w:rsidRPr="00033509" w:rsidRDefault="006E4E48" w:rsidP="006E4E48">
            <w:pPr>
              <w:rPr>
                <w:rFonts w:ascii="Times New Roman" w:eastAsia="Calibri" w:hAnsi="Times New Roman" w:cs="Times New Roman"/>
                <w:sz w:val="16"/>
                <w:szCs w:val="16"/>
              </w:rPr>
            </w:pPr>
            <w:proofErr w:type="spellStart"/>
            <w:r w:rsidRPr="00033509">
              <w:rPr>
                <w:rFonts w:ascii="Times New Roman" w:eastAsia="Calibri" w:hAnsi="Times New Roman" w:cs="Times New Roman"/>
                <w:sz w:val="16"/>
                <w:szCs w:val="16"/>
              </w:rPr>
              <w:t>Retrorectus</w:t>
            </w:r>
            <w:proofErr w:type="spellEnd"/>
            <w:r w:rsidRPr="00033509">
              <w:rPr>
                <w:rFonts w:ascii="Times New Roman" w:eastAsia="Calibri" w:hAnsi="Times New Roman" w:cs="Times New Roman"/>
                <w:sz w:val="16"/>
                <w:szCs w:val="16"/>
              </w:rPr>
              <w:t xml:space="preserve"> </w:t>
            </w:r>
            <w:proofErr w:type="spellStart"/>
            <w:r w:rsidRPr="00033509">
              <w:rPr>
                <w:rFonts w:ascii="Times New Roman" w:eastAsia="Calibri" w:hAnsi="Times New Roman" w:cs="Times New Roman"/>
                <w:sz w:val="16"/>
                <w:szCs w:val="16"/>
              </w:rPr>
              <w:t>sublay</w:t>
            </w:r>
            <w:proofErr w:type="spellEnd"/>
            <w:r w:rsidRPr="00033509">
              <w:rPr>
                <w:rFonts w:ascii="Times New Roman" w:eastAsia="Calibri" w:hAnsi="Times New Roman" w:cs="Times New Roman"/>
                <w:sz w:val="16"/>
                <w:szCs w:val="16"/>
              </w:rPr>
              <w:t xml:space="preserve"> 9 (12.2)</w:t>
            </w:r>
          </w:p>
          <w:p w14:paraId="7A62F7A0" w14:textId="77777777" w:rsidR="006E4E48" w:rsidRPr="00033509" w:rsidRDefault="006E4E48" w:rsidP="006E4E48">
            <w:pPr>
              <w:rPr>
                <w:rFonts w:ascii="Times New Roman" w:eastAsia="Calibri" w:hAnsi="Times New Roman" w:cs="Times New Roman"/>
                <w:sz w:val="16"/>
                <w:szCs w:val="16"/>
              </w:rPr>
            </w:pPr>
            <w:r w:rsidRPr="00033509">
              <w:rPr>
                <w:rFonts w:ascii="Times New Roman" w:eastAsia="Calibri" w:hAnsi="Times New Roman" w:cs="Times New Roman"/>
                <w:sz w:val="16"/>
                <w:szCs w:val="16"/>
              </w:rPr>
              <w:t>Sandwich 2 (2.7)</w:t>
            </w:r>
          </w:p>
          <w:p w14:paraId="41C29CAD" w14:textId="77777777" w:rsidR="006E4E48" w:rsidRPr="00033509" w:rsidRDefault="006E4E48" w:rsidP="006E4E48">
            <w:pPr>
              <w:rPr>
                <w:rFonts w:ascii="Times New Roman" w:eastAsia="Calibri" w:hAnsi="Times New Roman" w:cs="Times New Roman"/>
                <w:sz w:val="16"/>
                <w:szCs w:val="16"/>
              </w:rPr>
            </w:pPr>
            <w:proofErr w:type="spellStart"/>
            <w:r w:rsidRPr="00033509">
              <w:rPr>
                <w:rFonts w:ascii="Times New Roman" w:eastAsia="Calibri" w:hAnsi="Times New Roman" w:cs="Times New Roman"/>
                <w:sz w:val="16"/>
                <w:szCs w:val="16"/>
              </w:rPr>
              <w:t>Onlay</w:t>
            </w:r>
            <w:proofErr w:type="spellEnd"/>
            <w:r w:rsidRPr="00033509">
              <w:rPr>
                <w:rFonts w:ascii="Times New Roman" w:eastAsia="Calibri" w:hAnsi="Times New Roman" w:cs="Times New Roman"/>
                <w:sz w:val="16"/>
                <w:szCs w:val="16"/>
              </w:rPr>
              <w:t xml:space="preserve"> 16 (21.6)</w:t>
            </w:r>
          </w:p>
          <w:p w14:paraId="620173BC" w14:textId="77777777" w:rsidR="00D82BB5" w:rsidRPr="00033509" w:rsidRDefault="006E4E48" w:rsidP="006E4E48">
            <w:pPr>
              <w:rPr>
                <w:rFonts w:ascii="Times New Roman" w:eastAsia="Calibri" w:hAnsi="Times New Roman" w:cs="Times New Roman"/>
                <w:sz w:val="16"/>
                <w:szCs w:val="16"/>
              </w:rPr>
            </w:pPr>
            <w:r w:rsidRPr="00033509">
              <w:rPr>
                <w:rFonts w:ascii="Times New Roman" w:eastAsia="Calibri" w:hAnsi="Times New Roman" w:cs="Times New Roman"/>
                <w:sz w:val="16"/>
                <w:szCs w:val="16"/>
              </w:rPr>
              <w:t>Other 14 (18.9)</w:t>
            </w:r>
          </w:p>
        </w:tc>
        <w:tc>
          <w:tcPr>
            <w:tcW w:w="2410" w:type="dxa"/>
            <w:shd w:val="clear" w:color="auto" w:fill="F2F2F2"/>
          </w:tcPr>
          <w:p w14:paraId="6CC1D9CC"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NR</w:t>
            </w:r>
          </w:p>
        </w:tc>
      </w:tr>
      <w:tr w:rsidR="00D82BB5" w:rsidRPr="002A2C22" w14:paraId="7798A35E" w14:textId="77777777" w:rsidTr="00672986">
        <w:trPr>
          <w:trHeight w:val="245"/>
        </w:trPr>
        <w:tc>
          <w:tcPr>
            <w:tcW w:w="1150" w:type="dxa"/>
            <w:shd w:val="clear" w:color="auto" w:fill="auto"/>
          </w:tcPr>
          <w:p w14:paraId="570A5BF3" w14:textId="77777777" w:rsidR="00D82BB5" w:rsidRPr="002A2C22" w:rsidRDefault="00D82BB5" w:rsidP="00EB4860">
            <w:pPr>
              <w:rPr>
                <w:rFonts w:ascii="Times New Roman" w:eastAsia="Calibri" w:hAnsi="Times New Roman" w:cs="Times New Roman"/>
                <w:b/>
                <w:bCs/>
                <w:sz w:val="16"/>
                <w:szCs w:val="16"/>
              </w:rPr>
            </w:pPr>
            <w:proofErr w:type="spellStart"/>
            <w:r w:rsidRPr="002A2C22">
              <w:rPr>
                <w:rFonts w:ascii="Times New Roman" w:eastAsia="Calibri" w:hAnsi="Times New Roman" w:cs="Times New Roman"/>
                <w:b/>
                <w:bCs/>
                <w:sz w:val="16"/>
                <w:szCs w:val="16"/>
              </w:rPr>
              <w:t>Drohan</w:t>
            </w:r>
            <w:proofErr w:type="spellEnd"/>
            <w:r w:rsidRPr="002A2C22">
              <w:rPr>
                <w:rFonts w:ascii="Times New Roman" w:eastAsia="Calibri" w:hAnsi="Times New Roman" w:cs="Times New Roman"/>
                <w:b/>
                <w:bCs/>
                <w:sz w:val="16"/>
                <w:szCs w:val="16"/>
              </w:rPr>
              <w:t xml:space="preserve"> 2020</w:t>
            </w:r>
          </w:p>
        </w:tc>
        <w:tc>
          <w:tcPr>
            <w:tcW w:w="4357" w:type="dxa"/>
            <w:shd w:val="clear" w:color="auto" w:fill="auto"/>
          </w:tcPr>
          <w:p w14:paraId="4376676C"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 xml:space="preserve">Patients undergoing single-stage hernia repair in contaminated fields with biologic porcine submucosa tissue matrix and the novel use of CSAB. We used </w:t>
            </w:r>
            <w:proofErr w:type="spellStart"/>
            <w:r w:rsidRPr="002A2C22">
              <w:rPr>
                <w:rFonts w:ascii="Times New Roman" w:eastAsia="Calibri" w:hAnsi="Times New Roman" w:cs="Times New Roman"/>
                <w:sz w:val="16"/>
                <w:szCs w:val="16"/>
              </w:rPr>
              <w:t>Stimulan</w:t>
            </w:r>
            <w:proofErr w:type="spellEnd"/>
            <w:r w:rsidRPr="002A2C22">
              <w:rPr>
                <w:rFonts w:ascii="Times New Roman" w:eastAsia="Calibri" w:hAnsi="Times New Roman" w:cs="Times New Roman"/>
                <w:sz w:val="16"/>
                <w:szCs w:val="16"/>
              </w:rPr>
              <w:t xml:space="preserve"> CSAB (</w:t>
            </w:r>
            <w:proofErr w:type="spellStart"/>
            <w:r w:rsidRPr="002A2C22">
              <w:rPr>
                <w:rFonts w:ascii="Times New Roman" w:eastAsia="Calibri" w:hAnsi="Times New Roman" w:cs="Times New Roman"/>
                <w:sz w:val="16"/>
                <w:szCs w:val="16"/>
              </w:rPr>
              <w:t>Biocompsites</w:t>
            </w:r>
            <w:proofErr w:type="spellEnd"/>
            <w:r w:rsidRPr="002A2C22">
              <w:rPr>
                <w:rFonts w:ascii="Times New Roman" w:eastAsia="Calibri" w:hAnsi="Times New Roman" w:cs="Times New Roman"/>
                <w:sz w:val="16"/>
                <w:szCs w:val="16"/>
              </w:rPr>
              <w:t xml:space="preserve"> </w:t>
            </w:r>
            <w:proofErr w:type="spellStart"/>
            <w:r w:rsidRPr="002A2C22">
              <w:rPr>
                <w:rFonts w:ascii="Times New Roman" w:eastAsia="Calibri" w:hAnsi="Times New Roman" w:cs="Times New Roman"/>
                <w:sz w:val="16"/>
                <w:szCs w:val="16"/>
              </w:rPr>
              <w:t>Ltf</w:t>
            </w:r>
            <w:proofErr w:type="spellEnd"/>
            <w:r w:rsidRPr="002A2C22">
              <w:rPr>
                <w:rFonts w:ascii="Times New Roman" w:eastAsia="Calibri" w:hAnsi="Times New Roman" w:cs="Times New Roman"/>
                <w:sz w:val="16"/>
                <w:szCs w:val="16"/>
              </w:rPr>
              <w:t>.), which deliver high concentrations of vancomycin and gentamycin over a period of approximately 6 weeks, with minimal systemic absorption. CSAB were placed on top of the hernia graft with the fascia closed over top. They were also placed on top of the fascia in the subcutaneous space.</w:t>
            </w:r>
          </w:p>
          <w:p w14:paraId="306A7486"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On postoperative day 1 the mean serum levels of the antibiotics were gentamycin 0.96 ± 0.8 mg/L and vancomycin 2.24 ± 0.8 mg/L.</w:t>
            </w:r>
          </w:p>
        </w:tc>
        <w:tc>
          <w:tcPr>
            <w:tcW w:w="2268" w:type="dxa"/>
          </w:tcPr>
          <w:p w14:paraId="7FEF3222" w14:textId="2103807E" w:rsidR="00D82BB5" w:rsidRPr="00033509" w:rsidRDefault="005B40C3" w:rsidP="005B4ADA">
            <w:pPr>
              <w:rPr>
                <w:rFonts w:ascii="Times New Roman" w:eastAsia="Calibri" w:hAnsi="Times New Roman" w:cs="Times New Roman"/>
                <w:sz w:val="16"/>
                <w:szCs w:val="16"/>
              </w:rPr>
            </w:pPr>
            <w:r w:rsidRPr="00033509">
              <w:rPr>
                <w:rFonts w:ascii="Times New Roman" w:eastAsia="Calibri" w:hAnsi="Times New Roman" w:cs="Times New Roman"/>
                <w:sz w:val="16"/>
                <w:szCs w:val="16"/>
              </w:rPr>
              <w:t>…placed in the intraperitoneal abdominal</w:t>
            </w:r>
            <w:r w:rsidR="005B4ADA" w:rsidRPr="00033509">
              <w:rPr>
                <w:rFonts w:ascii="Times New Roman" w:eastAsia="Calibri" w:hAnsi="Times New Roman" w:cs="Times New Roman"/>
                <w:sz w:val="16"/>
                <w:szCs w:val="16"/>
              </w:rPr>
              <w:t xml:space="preserve"> </w:t>
            </w:r>
            <w:r w:rsidRPr="00033509">
              <w:rPr>
                <w:rFonts w:ascii="Times New Roman" w:eastAsia="Calibri" w:hAnsi="Times New Roman" w:cs="Times New Roman"/>
                <w:sz w:val="16"/>
                <w:szCs w:val="16"/>
              </w:rPr>
              <w:t>position.</w:t>
            </w:r>
          </w:p>
        </w:tc>
        <w:tc>
          <w:tcPr>
            <w:tcW w:w="2410" w:type="dxa"/>
          </w:tcPr>
          <w:p w14:paraId="16633944"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Ancef 2 g IV was administered preoperatively, and no systemic antibiotics were administered postoperatively.</w:t>
            </w:r>
          </w:p>
        </w:tc>
      </w:tr>
      <w:tr w:rsidR="00D82BB5" w:rsidRPr="002A2C22" w14:paraId="3E05B439" w14:textId="77777777" w:rsidTr="00672986">
        <w:trPr>
          <w:trHeight w:val="245"/>
        </w:trPr>
        <w:tc>
          <w:tcPr>
            <w:tcW w:w="1150" w:type="dxa"/>
            <w:shd w:val="clear" w:color="auto" w:fill="F2F2F2"/>
          </w:tcPr>
          <w:p w14:paraId="35C039CC" w14:textId="77777777" w:rsidR="00D82BB5" w:rsidRPr="002A2C22" w:rsidRDefault="00D82BB5" w:rsidP="00EB4860">
            <w:pPr>
              <w:rPr>
                <w:rFonts w:ascii="Times New Roman" w:eastAsia="Calibri" w:hAnsi="Times New Roman" w:cs="Times New Roman"/>
                <w:b/>
                <w:bCs/>
                <w:sz w:val="16"/>
                <w:szCs w:val="16"/>
              </w:rPr>
            </w:pPr>
            <w:proofErr w:type="spellStart"/>
            <w:r w:rsidRPr="002A2C22">
              <w:rPr>
                <w:rFonts w:ascii="Times New Roman" w:eastAsia="Calibri" w:hAnsi="Times New Roman" w:cs="Times New Roman"/>
                <w:b/>
                <w:bCs/>
                <w:sz w:val="16"/>
                <w:szCs w:val="16"/>
              </w:rPr>
              <w:t>Fatula</w:t>
            </w:r>
            <w:proofErr w:type="spellEnd"/>
            <w:r w:rsidRPr="002A2C22">
              <w:rPr>
                <w:rFonts w:ascii="Times New Roman" w:eastAsia="Calibri" w:hAnsi="Times New Roman" w:cs="Times New Roman"/>
                <w:b/>
                <w:bCs/>
                <w:sz w:val="16"/>
                <w:szCs w:val="16"/>
              </w:rPr>
              <w:t xml:space="preserve"> 2018</w:t>
            </w:r>
          </w:p>
        </w:tc>
        <w:tc>
          <w:tcPr>
            <w:tcW w:w="4357" w:type="dxa"/>
            <w:shd w:val="clear" w:color="auto" w:fill="F2F2F2"/>
          </w:tcPr>
          <w:p w14:paraId="2A76091F"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Patients were divided into three groups. Patients in group 1 received no antibiotic irrigation. Group 2 patients received gentamicin 240 mg alone mixed in 500 mL of normal saline, with no standardized dwell time. Group 3 received a combination of gentamicin 240 mg and clindamycin 600 mg mixed in 500 mL normal saline. Antibiotic irrigation was used after mesh placement and fixation,</w:t>
            </w:r>
          </w:p>
          <w:p w14:paraId="0D48C514"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 xml:space="preserve">letting the </w:t>
            </w:r>
            <w:proofErr w:type="spellStart"/>
            <w:r w:rsidRPr="002A2C22">
              <w:rPr>
                <w:rFonts w:ascii="Times New Roman" w:eastAsia="Calibri" w:hAnsi="Times New Roman" w:cs="Times New Roman"/>
                <w:sz w:val="16"/>
                <w:szCs w:val="16"/>
              </w:rPr>
              <w:t>irrigant</w:t>
            </w:r>
            <w:proofErr w:type="spellEnd"/>
            <w:r w:rsidRPr="002A2C22">
              <w:rPr>
                <w:rFonts w:ascii="Times New Roman" w:eastAsia="Calibri" w:hAnsi="Times New Roman" w:cs="Times New Roman"/>
                <w:sz w:val="16"/>
                <w:szCs w:val="16"/>
              </w:rPr>
              <w:t xml:space="preserve"> dwell for three minutes before evacuating.</w:t>
            </w:r>
          </w:p>
        </w:tc>
        <w:tc>
          <w:tcPr>
            <w:tcW w:w="2268" w:type="dxa"/>
            <w:shd w:val="clear" w:color="auto" w:fill="F2F2F2"/>
          </w:tcPr>
          <w:p w14:paraId="3BBD4970" w14:textId="77777777" w:rsidR="009E3DE0" w:rsidRPr="00033509" w:rsidRDefault="009E3DE0" w:rsidP="009E3DE0">
            <w:pPr>
              <w:rPr>
                <w:rFonts w:ascii="Times New Roman" w:eastAsia="Calibri" w:hAnsi="Times New Roman" w:cs="Times New Roman"/>
                <w:sz w:val="16"/>
                <w:szCs w:val="16"/>
              </w:rPr>
            </w:pPr>
            <w:r w:rsidRPr="00033509">
              <w:rPr>
                <w:rFonts w:ascii="Times New Roman" w:eastAsia="Calibri" w:hAnsi="Times New Roman" w:cs="Times New Roman"/>
                <w:sz w:val="16"/>
                <w:szCs w:val="16"/>
              </w:rPr>
              <w:t xml:space="preserve">The majority of patients were repaired in a </w:t>
            </w:r>
            <w:proofErr w:type="spellStart"/>
            <w:r w:rsidRPr="00033509">
              <w:rPr>
                <w:rFonts w:ascii="Times New Roman" w:eastAsia="Calibri" w:hAnsi="Times New Roman" w:cs="Times New Roman"/>
                <w:sz w:val="16"/>
                <w:szCs w:val="16"/>
              </w:rPr>
              <w:t>retromuscular</w:t>
            </w:r>
            <w:proofErr w:type="spellEnd"/>
          </w:p>
          <w:p w14:paraId="67B717DD" w14:textId="77777777" w:rsidR="009E3DE0" w:rsidRPr="00033509" w:rsidRDefault="009E3DE0" w:rsidP="009E3DE0">
            <w:pPr>
              <w:rPr>
                <w:rFonts w:ascii="Times New Roman" w:eastAsia="Calibri" w:hAnsi="Times New Roman" w:cs="Times New Roman"/>
                <w:sz w:val="16"/>
                <w:szCs w:val="16"/>
              </w:rPr>
            </w:pPr>
            <w:r w:rsidRPr="00033509">
              <w:rPr>
                <w:rFonts w:ascii="Times New Roman" w:eastAsia="Calibri" w:hAnsi="Times New Roman" w:cs="Times New Roman"/>
                <w:sz w:val="16"/>
                <w:szCs w:val="16"/>
              </w:rPr>
              <w:t>(RM) fashion with or without transversus</w:t>
            </w:r>
          </w:p>
          <w:p w14:paraId="761B72BE" w14:textId="77777777" w:rsidR="009E3DE0" w:rsidRPr="00033509" w:rsidRDefault="009E3DE0" w:rsidP="009E3DE0">
            <w:pPr>
              <w:rPr>
                <w:rFonts w:ascii="Times New Roman" w:eastAsia="Calibri" w:hAnsi="Times New Roman" w:cs="Times New Roman"/>
                <w:sz w:val="16"/>
                <w:szCs w:val="16"/>
              </w:rPr>
            </w:pPr>
            <w:r w:rsidRPr="00033509">
              <w:rPr>
                <w:rFonts w:ascii="Times New Roman" w:eastAsia="Calibri" w:hAnsi="Times New Roman" w:cs="Times New Roman"/>
                <w:sz w:val="16"/>
                <w:szCs w:val="16"/>
              </w:rPr>
              <w:t>abdominis release (TAR) (n 4 624, 73.2%), whereas</w:t>
            </w:r>
          </w:p>
          <w:p w14:paraId="160DCDB9" w14:textId="77777777" w:rsidR="009E3DE0" w:rsidRPr="00033509" w:rsidRDefault="009E3DE0" w:rsidP="009E3DE0">
            <w:pPr>
              <w:rPr>
                <w:rFonts w:ascii="Times New Roman" w:eastAsia="Calibri" w:hAnsi="Times New Roman" w:cs="Times New Roman"/>
                <w:sz w:val="16"/>
                <w:szCs w:val="16"/>
              </w:rPr>
            </w:pPr>
            <w:r w:rsidRPr="00033509">
              <w:rPr>
                <w:rFonts w:ascii="Times New Roman" w:eastAsia="Calibri" w:hAnsi="Times New Roman" w:cs="Times New Roman"/>
                <w:sz w:val="16"/>
                <w:szCs w:val="16"/>
              </w:rPr>
              <w:t xml:space="preserve">the remainder were repaired as an </w:t>
            </w:r>
            <w:proofErr w:type="spellStart"/>
            <w:r w:rsidRPr="00033509">
              <w:rPr>
                <w:rFonts w:ascii="Times New Roman" w:eastAsia="Calibri" w:hAnsi="Times New Roman" w:cs="Times New Roman"/>
                <w:sz w:val="16"/>
                <w:szCs w:val="16"/>
              </w:rPr>
              <w:t>onlay</w:t>
            </w:r>
            <w:proofErr w:type="spellEnd"/>
            <w:r w:rsidRPr="00033509">
              <w:rPr>
                <w:rFonts w:ascii="Times New Roman" w:eastAsia="Calibri" w:hAnsi="Times New Roman" w:cs="Times New Roman"/>
                <w:sz w:val="16"/>
                <w:szCs w:val="16"/>
              </w:rPr>
              <w:t xml:space="preserve"> (n 4 43,</w:t>
            </w:r>
          </w:p>
          <w:p w14:paraId="2A99FEDC" w14:textId="77777777" w:rsidR="009E3DE0" w:rsidRPr="00033509" w:rsidRDefault="009E3DE0" w:rsidP="009E3DE0">
            <w:pPr>
              <w:rPr>
                <w:rFonts w:ascii="Times New Roman" w:eastAsia="Calibri" w:hAnsi="Times New Roman" w:cs="Times New Roman"/>
                <w:sz w:val="16"/>
                <w:szCs w:val="16"/>
                <w:lang w:val="pt-BR"/>
              </w:rPr>
            </w:pPr>
            <w:r w:rsidRPr="00033509">
              <w:rPr>
                <w:rFonts w:ascii="Times New Roman" w:eastAsia="Calibri" w:hAnsi="Times New Roman" w:cs="Times New Roman"/>
                <w:sz w:val="16"/>
                <w:szCs w:val="16"/>
                <w:lang w:val="pt-BR"/>
              </w:rPr>
              <w:t>5.1%), intraperitoneal (n 4 4, 0.5%), or preperitoneal</w:t>
            </w:r>
          </w:p>
          <w:p w14:paraId="70D310CA" w14:textId="77777777" w:rsidR="006E4E48" w:rsidRPr="00033509" w:rsidRDefault="009E3DE0" w:rsidP="009E3DE0">
            <w:pPr>
              <w:rPr>
                <w:rFonts w:ascii="Times New Roman" w:eastAsia="Calibri" w:hAnsi="Times New Roman" w:cs="Times New Roman"/>
                <w:sz w:val="16"/>
                <w:szCs w:val="16"/>
                <w:lang w:val="pt-BR"/>
              </w:rPr>
            </w:pPr>
            <w:r w:rsidRPr="00033509">
              <w:rPr>
                <w:rFonts w:ascii="Times New Roman" w:eastAsia="Calibri" w:hAnsi="Times New Roman" w:cs="Times New Roman"/>
                <w:sz w:val="16"/>
                <w:szCs w:val="16"/>
                <w:lang w:val="pt-BR"/>
              </w:rPr>
              <w:t xml:space="preserve">(n4181, 21.2%). </w:t>
            </w:r>
          </w:p>
        </w:tc>
        <w:tc>
          <w:tcPr>
            <w:tcW w:w="2410" w:type="dxa"/>
            <w:shd w:val="clear" w:color="auto" w:fill="F2F2F2"/>
          </w:tcPr>
          <w:p w14:paraId="6C381189"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Perioperative normothermia, appropriate hair removal, and antibiotic prophylaxis are standard.</w:t>
            </w:r>
          </w:p>
        </w:tc>
      </w:tr>
      <w:tr w:rsidR="00D82BB5" w:rsidRPr="002A2C22" w14:paraId="46753261" w14:textId="77777777" w:rsidTr="00672986">
        <w:trPr>
          <w:trHeight w:val="245"/>
        </w:trPr>
        <w:tc>
          <w:tcPr>
            <w:tcW w:w="1150" w:type="dxa"/>
            <w:shd w:val="clear" w:color="auto" w:fill="auto"/>
          </w:tcPr>
          <w:p w14:paraId="7BDFC77E" w14:textId="77777777" w:rsidR="00D82BB5" w:rsidRPr="002A2C22" w:rsidRDefault="00D82BB5" w:rsidP="00EB4860">
            <w:pPr>
              <w:rPr>
                <w:rFonts w:ascii="Times New Roman" w:eastAsia="Calibri" w:hAnsi="Times New Roman" w:cs="Times New Roman"/>
                <w:b/>
                <w:bCs/>
                <w:sz w:val="16"/>
                <w:szCs w:val="16"/>
              </w:rPr>
            </w:pPr>
            <w:proofErr w:type="spellStart"/>
            <w:r w:rsidRPr="002A2C22">
              <w:rPr>
                <w:rFonts w:ascii="Times New Roman" w:eastAsia="Calibri" w:hAnsi="Times New Roman" w:cs="Times New Roman"/>
                <w:b/>
                <w:bCs/>
                <w:sz w:val="16"/>
                <w:szCs w:val="16"/>
              </w:rPr>
              <w:t>Ilahi</w:t>
            </w:r>
            <w:proofErr w:type="spellEnd"/>
            <w:r w:rsidRPr="002A2C22">
              <w:rPr>
                <w:rFonts w:ascii="Times New Roman" w:eastAsia="Calibri" w:hAnsi="Times New Roman" w:cs="Times New Roman"/>
                <w:b/>
                <w:bCs/>
                <w:sz w:val="16"/>
                <w:szCs w:val="16"/>
              </w:rPr>
              <w:t xml:space="preserve"> 2023</w:t>
            </w:r>
          </w:p>
        </w:tc>
        <w:tc>
          <w:tcPr>
            <w:tcW w:w="4357" w:type="dxa"/>
            <w:shd w:val="clear" w:color="auto" w:fill="auto"/>
          </w:tcPr>
          <w:p w14:paraId="52F53657"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 xml:space="preserve">This study was a prospective, multicenter, single-arm clinical study designed to collect data on the performance of an </w:t>
            </w:r>
            <w:proofErr w:type="spellStart"/>
            <w:r w:rsidRPr="002A2C22">
              <w:rPr>
                <w:rFonts w:ascii="Times New Roman" w:eastAsia="Calibri" w:hAnsi="Times New Roman" w:cs="Times New Roman"/>
                <w:sz w:val="16"/>
                <w:szCs w:val="16"/>
              </w:rPr>
              <w:t>antimicrobialcoated,noncrosslinked</w:t>
            </w:r>
            <w:proofErr w:type="spellEnd"/>
            <w:r w:rsidRPr="002A2C22">
              <w:rPr>
                <w:rFonts w:ascii="Times New Roman" w:eastAsia="Calibri" w:hAnsi="Times New Roman" w:cs="Times New Roman"/>
                <w:sz w:val="16"/>
                <w:szCs w:val="16"/>
              </w:rPr>
              <w:t>, AC-PDM (</w:t>
            </w:r>
            <w:proofErr w:type="spellStart"/>
            <w:r w:rsidRPr="002A2C22">
              <w:rPr>
                <w:rFonts w:ascii="Times New Roman" w:eastAsia="Calibri" w:hAnsi="Times New Roman" w:cs="Times New Roman"/>
                <w:sz w:val="16"/>
                <w:szCs w:val="16"/>
              </w:rPr>
              <w:t>XenMatrix™AB</w:t>
            </w:r>
            <w:proofErr w:type="spellEnd"/>
            <w:r w:rsidRPr="002A2C22">
              <w:rPr>
                <w:rFonts w:ascii="Times New Roman" w:eastAsia="Calibri" w:hAnsi="Times New Roman" w:cs="Times New Roman"/>
                <w:sz w:val="16"/>
                <w:szCs w:val="16"/>
              </w:rPr>
              <w:t xml:space="preserve"> Surgical Graft, C. R. Bard /</w:t>
            </w:r>
            <w:proofErr w:type="spellStart"/>
            <w:r w:rsidRPr="002A2C22">
              <w:rPr>
                <w:rFonts w:ascii="Times New Roman" w:eastAsia="Calibri" w:hAnsi="Times New Roman" w:cs="Times New Roman"/>
                <w:sz w:val="16"/>
                <w:szCs w:val="16"/>
              </w:rPr>
              <w:t>Davol</w:t>
            </w:r>
            <w:proofErr w:type="spellEnd"/>
            <w:r w:rsidRPr="002A2C22">
              <w:rPr>
                <w:rFonts w:ascii="Times New Roman" w:eastAsia="Calibri" w:hAnsi="Times New Roman" w:cs="Times New Roman"/>
                <w:sz w:val="16"/>
                <w:szCs w:val="16"/>
              </w:rPr>
              <w:t xml:space="preserve">, Inc.) in a cohort of patients up to 24months </w:t>
            </w:r>
            <w:proofErr w:type="spellStart"/>
            <w:r w:rsidRPr="002A2C22">
              <w:rPr>
                <w:rFonts w:ascii="Times New Roman" w:eastAsia="Calibri" w:hAnsi="Times New Roman" w:cs="Times New Roman"/>
                <w:sz w:val="16"/>
                <w:szCs w:val="16"/>
              </w:rPr>
              <w:t>postimplantation</w:t>
            </w:r>
            <w:proofErr w:type="spellEnd"/>
            <w:r w:rsidRPr="002A2C22">
              <w:rPr>
                <w:rFonts w:ascii="Times New Roman" w:eastAsia="Calibri" w:hAnsi="Times New Roman" w:cs="Times New Roman"/>
                <w:sz w:val="16"/>
                <w:szCs w:val="16"/>
              </w:rPr>
              <w:t xml:space="preserve"> (ClinicalTrials.gov # NCT02691962 https://clinicaltrials.gov/ct2/show/NCT02691962). The PDM surface is coated with the antibacterial agents Rifampin and Minocycline in a bioresorbable L-Tyrosine succinate polymer carrier.</w:t>
            </w:r>
          </w:p>
        </w:tc>
        <w:tc>
          <w:tcPr>
            <w:tcW w:w="2268" w:type="dxa"/>
          </w:tcPr>
          <w:p w14:paraId="24329454" w14:textId="77777777" w:rsidR="00CD46F0" w:rsidRPr="00033509" w:rsidRDefault="00CD46F0" w:rsidP="00CD46F0">
            <w:pPr>
              <w:rPr>
                <w:rFonts w:ascii="Times New Roman" w:eastAsia="Calibri" w:hAnsi="Times New Roman" w:cs="Times New Roman"/>
                <w:sz w:val="16"/>
                <w:szCs w:val="16"/>
              </w:rPr>
            </w:pPr>
            <w:r w:rsidRPr="00033509">
              <w:rPr>
                <w:rFonts w:ascii="Times New Roman" w:eastAsia="Calibri" w:hAnsi="Times New Roman" w:cs="Times New Roman"/>
                <w:sz w:val="16"/>
                <w:szCs w:val="16"/>
              </w:rPr>
              <w:t>A total of n= 47 (62.7%) AC-PDM grafts were placed in</w:t>
            </w:r>
          </w:p>
          <w:p w14:paraId="4371237F" w14:textId="77777777" w:rsidR="00CD46F0" w:rsidRPr="00033509" w:rsidRDefault="00CD46F0" w:rsidP="00CD46F0">
            <w:pPr>
              <w:rPr>
                <w:rFonts w:ascii="Times New Roman" w:eastAsia="Calibri" w:hAnsi="Times New Roman" w:cs="Times New Roman"/>
                <w:sz w:val="16"/>
                <w:szCs w:val="16"/>
              </w:rPr>
            </w:pPr>
            <w:r w:rsidRPr="00033509">
              <w:rPr>
                <w:rFonts w:ascii="Times New Roman" w:eastAsia="Calibri" w:hAnsi="Times New Roman" w:cs="Times New Roman"/>
                <w:sz w:val="16"/>
                <w:szCs w:val="16"/>
              </w:rPr>
              <w:t xml:space="preserve">the </w:t>
            </w:r>
            <w:proofErr w:type="spellStart"/>
            <w:r w:rsidRPr="00033509">
              <w:rPr>
                <w:rFonts w:ascii="Times New Roman" w:eastAsia="Calibri" w:hAnsi="Times New Roman" w:cs="Times New Roman"/>
                <w:sz w:val="16"/>
                <w:szCs w:val="16"/>
              </w:rPr>
              <w:t>retromuscular</w:t>
            </w:r>
            <w:proofErr w:type="spellEnd"/>
            <w:r w:rsidRPr="00033509">
              <w:rPr>
                <w:rFonts w:ascii="Times New Roman" w:eastAsia="Calibri" w:hAnsi="Times New Roman" w:cs="Times New Roman"/>
                <w:sz w:val="16"/>
                <w:szCs w:val="16"/>
              </w:rPr>
              <w:t xml:space="preserve"> position (n= 28, 37.3% with component</w:t>
            </w:r>
          </w:p>
          <w:p w14:paraId="666B95D4" w14:textId="77777777" w:rsidR="00CD46F0" w:rsidRPr="00033509" w:rsidRDefault="00CD46F0" w:rsidP="00CD46F0">
            <w:pPr>
              <w:rPr>
                <w:rFonts w:ascii="Times New Roman" w:eastAsia="Calibri" w:hAnsi="Times New Roman" w:cs="Times New Roman"/>
                <w:sz w:val="16"/>
                <w:szCs w:val="16"/>
              </w:rPr>
            </w:pPr>
            <w:r w:rsidRPr="00033509">
              <w:rPr>
                <w:rFonts w:ascii="Times New Roman" w:eastAsia="Calibri" w:hAnsi="Times New Roman" w:cs="Times New Roman"/>
                <w:sz w:val="16"/>
                <w:szCs w:val="16"/>
              </w:rPr>
              <w:t>separation technique (CST) and n=19, 25.3% without CST).</w:t>
            </w:r>
          </w:p>
          <w:p w14:paraId="485FC5EC" w14:textId="77777777" w:rsidR="00CD46F0" w:rsidRPr="00033509" w:rsidRDefault="00CD46F0" w:rsidP="00CD46F0">
            <w:pPr>
              <w:rPr>
                <w:rFonts w:ascii="Times New Roman" w:eastAsia="Calibri" w:hAnsi="Times New Roman" w:cs="Times New Roman"/>
                <w:sz w:val="16"/>
                <w:szCs w:val="16"/>
              </w:rPr>
            </w:pPr>
            <w:r w:rsidRPr="00033509">
              <w:rPr>
                <w:rFonts w:ascii="Times New Roman" w:eastAsia="Calibri" w:hAnsi="Times New Roman" w:cs="Times New Roman"/>
                <w:sz w:val="16"/>
                <w:szCs w:val="16"/>
              </w:rPr>
              <w:t>A total of n=28 (37.3%) AC-PDM grafts were placed in the</w:t>
            </w:r>
          </w:p>
          <w:p w14:paraId="1D38DBC2" w14:textId="77777777" w:rsidR="00CD46F0" w:rsidRPr="00033509" w:rsidRDefault="00CD46F0" w:rsidP="00CD46F0">
            <w:pPr>
              <w:rPr>
                <w:rFonts w:ascii="Times New Roman" w:eastAsia="Calibri" w:hAnsi="Times New Roman" w:cs="Times New Roman"/>
                <w:sz w:val="16"/>
                <w:szCs w:val="16"/>
              </w:rPr>
            </w:pPr>
            <w:r w:rsidRPr="00033509">
              <w:rPr>
                <w:rFonts w:ascii="Times New Roman" w:eastAsia="Calibri" w:hAnsi="Times New Roman" w:cs="Times New Roman"/>
                <w:sz w:val="16"/>
                <w:szCs w:val="16"/>
              </w:rPr>
              <w:t>intraperitoneal position (n=12, 16.0% with CST and n= 16,</w:t>
            </w:r>
          </w:p>
          <w:p w14:paraId="29535FF8" w14:textId="77777777" w:rsidR="00D82BB5" w:rsidRPr="00033509" w:rsidRDefault="00CD46F0" w:rsidP="00CD46F0">
            <w:pPr>
              <w:rPr>
                <w:rFonts w:ascii="Times New Roman" w:eastAsia="Calibri" w:hAnsi="Times New Roman" w:cs="Times New Roman"/>
                <w:sz w:val="16"/>
                <w:szCs w:val="16"/>
              </w:rPr>
            </w:pPr>
            <w:r w:rsidRPr="00033509">
              <w:rPr>
                <w:rFonts w:ascii="Times New Roman" w:eastAsia="Calibri" w:hAnsi="Times New Roman" w:cs="Times New Roman"/>
                <w:sz w:val="16"/>
                <w:szCs w:val="16"/>
              </w:rPr>
              <w:t>21.3% without CST).</w:t>
            </w:r>
          </w:p>
        </w:tc>
        <w:tc>
          <w:tcPr>
            <w:tcW w:w="2410" w:type="dxa"/>
          </w:tcPr>
          <w:p w14:paraId="7E95734C"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Prophylactic antibiotics were administered according to participating hospital protocol, and patients underwent open ventral hernia repair.</w:t>
            </w:r>
          </w:p>
        </w:tc>
      </w:tr>
      <w:tr w:rsidR="00D82BB5" w:rsidRPr="002A2C22" w14:paraId="1CFDBD1F" w14:textId="77777777" w:rsidTr="00672986">
        <w:trPr>
          <w:trHeight w:val="245"/>
        </w:trPr>
        <w:tc>
          <w:tcPr>
            <w:tcW w:w="1150" w:type="dxa"/>
            <w:shd w:val="clear" w:color="auto" w:fill="F2F2F2"/>
          </w:tcPr>
          <w:p w14:paraId="191A922D" w14:textId="77777777" w:rsidR="00D82BB5" w:rsidRPr="002A2C22" w:rsidRDefault="00D82BB5" w:rsidP="00EB4860">
            <w:pPr>
              <w:rPr>
                <w:rFonts w:ascii="Times New Roman" w:eastAsia="Calibri" w:hAnsi="Times New Roman" w:cs="Times New Roman"/>
                <w:b/>
                <w:bCs/>
                <w:sz w:val="16"/>
                <w:szCs w:val="16"/>
              </w:rPr>
            </w:pPr>
            <w:proofErr w:type="spellStart"/>
            <w:r w:rsidRPr="002A2C22">
              <w:rPr>
                <w:rFonts w:ascii="Times New Roman" w:eastAsia="Calibri" w:hAnsi="Times New Roman" w:cs="Times New Roman"/>
                <w:b/>
                <w:bCs/>
                <w:sz w:val="16"/>
                <w:szCs w:val="16"/>
              </w:rPr>
              <w:t>Kahramanca</w:t>
            </w:r>
            <w:proofErr w:type="spellEnd"/>
            <w:r w:rsidRPr="002A2C22">
              <w:rPr>
                <w:rFonts w:ascii="Times New Roman" w:eastAsia="Calibri" w:hAnsi="Times New Roman" w:cs="Times New Roman"/>
                <w:b/>
                <w:bCs/>
                <w:sz w:val="16"/>
                <w:szCs w:val="16"/>
              </w:rPr>
              <w:t xml:space="preserve"> 2013</w:t>
            </w:r>
          </w:p>
        </w:tc>
        <w:tc>
          <w:tcPr>
            <w:tcW w:w="4357" w:type="dxa"/>
            <w:shd w:val="clear" w:color="auto" w:fill="F2F2F2"/>
          </w:tcPr>
          <w:p w14:paraId="2B668125"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The 278 study patients were divide into two groups according to their antibiotic use; 144 patients who did not receive any prophylactic systemic antibiotics constituted Group 1, 134 patients who received 250 mg topical Rifampicin over the mesh based on surgeon’s preference constituted Group 2.</w:t>
            </w:r>
          </w:p>
        </w:tc>
        <w:tc>
          <w:tcPr>
            <w:tcW w:w="2268" w:type="dxa"/>
            <w:shd w:val="clear" w:color="auto" w:fill="F2F2F2"/>
          </w:tcPr>
          <w:p w14:paraId="16753625" w14:textId="77777777" w:rsidR="00D82BB5" w:rsidRPr="00033509" w:rsidRDefault="00672986" w:rsidP="00EB4860">
            <w:pPr>
              <w:rPr>
                <w:rFonts w:ascii="Times New Roman" w:eastAsia="Calibri" w:hAnsi="Times New Roman" w:cs="Times New Roman"/>
                <w:sz w:val="16"/>
                <w:szCs w:val="16"/>
              </w:rPr>
            </w:pPr>
            <w:r w:rsidRPr="00033509">
              <w:rPr>
                <w:rFonts w:ascii="Times New Roman" w:eastAsia="Calibri" w:hAnsi="Times New Roman" w:cs="Times New Roman"/>
                <w:sz w:val="16"/>
                <w:szCs w:val="16"/>
              </w:rPr>
              <w:t>NR</w:t>
            </w:r>
          </w:p>
        </w:tc>
        <w:tc>
          <w:tcPr>
            <w:tcW w:w="2410" w:type="dxa"/>
            <w:shd w:val="clear" w:color="auto" w:fill="F2F2F2"/>
          </w:tcPr>
          <w:p w14:paraId="29AAEAC8"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See Statements on method of antimicrobial treatment of the mesh (left column).</w:t>
            </w:r>
          </w:p>
        </w:tc>
      </w:tr>
      <w:tr w:rsidR="00D82BB5" w:rsidRPr="002A2C22" w14:paraId="2ABB0CD1" w14:textId="77777777" w:rsidTr="00672986">
        <w:trPr>
          <w:trHeight w:val="245"/>
        </w:trPr>
        <w:tc>
          <w:tcPr>
            <w:tcW w:w="1150" w:type="dxa"/>
            <w:shd w:val="clear" w:color="auto" w:fill="auto"/>
          </w:tcPr>
          <w:p w14:paraId="4D4D0628" w14:textId="77777777" w:rsidR="00D82BB5" w:rsidRPr="002A2C22" w:rsidRDefault="00D82BB5" w:rsidP="00EB4860">
            <w:pPr>
              <w:rPr>
                <w:rFonts w:ascii="Times New Roman" w:eastAsia="Calibri" w:hAnsi="Times New Roman" w:cs="Times New Roman"/>
                <w:b/>
                <w:bCs/>
                <w:sz w:val="16"/>
                <w:szCs w:val="16"/>
              </w:rPr>
            </w:pPr>
            <w:proofErr w:type="spellStart"/>
            <w:r w:rsidRPr="002A2C22">
              <w:rPr>
                <w:rFonts w:ascii="Times New Roman" w:eastAsia="Calibri" w:hAnsi="Times New Roman" w:cs="Times New Roman"/>
                <w:b/>
                <w:bCs/>
                <w:sz w:val="16"/>
                <w:szCs w:val="16"/>
              </w:rPr>
              <w:t>Musella</w:t>
            </w:r>
            <w:proofErr w:type="spellEnd"/>
            <w:r w:rsidRPr="002A2C22">
              <w:rPr>
                <w:rFonts w:ascii="Times New Roman" w:eastAsia="Calibri" w:hAnsi="Times New Roman" w:cs="Times New Roman"/>
                <w:b/>
                <w:bCs/>
                <w:sz w:val="16"/>
                <w:szCs w:val="16"/>
              </w:rPr>
              <w:t xml:space="preserve"> 2001</w:t>
            </w:r>
          </w:p>
        </w:tc>
        <w:tc>
          <w:tcPr>
            <w:tcW w:w="4357" w:type="dxa"/>
            <w:shd w:val="clear" w:color="auto" w:fill="auto"/>
          </w:tcPr>
          <w:p w14:paraId="1EF219B4"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Patients in the control group n = 294 had a standard surgical treatment and they were compared with another of 301 patients in whom an absorbable</w:t>
            </w:r>
            <w:r>
              <w:rPr>
                <w:rFonts w:ascii="Times New Roman" w:eastAsia="Calibri" w:hAnsi="Times New Roman" w:cs="Times New Roman"/>
                <w:sz w:val="16"/>
                <w:szCs w:val="16"/>
              </w:rPr>
              <w:t xml:space="preserve"> </w:t>
            </w:r>
            <w:r w:rsidRPr="002A2C22">
              <w:rPr>
                <w:rFonts w:ascii="Times New Roman" w:eastAsia="Calibri" w:hAnsi="Times New Roman" w:cs="Times New Roman"/>
                <w:sz w:val="16"/>
                <w:szCs w:val="16"/>
              </w:rPr>
              <w:t>collagen tampon (</w:t>
            </w:r>
            <w:proofErr w:type="spellStart"/>
            <w:r w:rsidRPr="002A2C22">
              <w:rPr>
                <w:rFonts w:ascii="Times New Roman" w:eastAsia="Calibri" w:hAnsi="Times New Roman" w:cs="Times New Roman"/>
                <w:sz w:val="16"/>
                <w:szCs w:val="16"/>
              </w:rPr>
              <w:t>Collatamp</w:t>
            </w:r>
            <w:proofErr w:type="spellEnd"/>
            <w:r w:rsidRPr="002A2C22">
              <w:rPr>
                <w:rFonts w:ascii="Times New Roman" w:eastAsia="Calibri" w:hAnsi="Times New Roman" w:cs="Times New Roman"/>
                <w:sz w:val="16"/>
                <w:szCs w:val="16"/>
              </w:rPr>
              <w:t xml:space="preserve"> G1Innocol, </w:t>
            </w:r>
            <w:proofErr w:type="spellStart"/>
            <w:r w:rsidRPr="002A2C22">
              <w:rPr>
                <w:rFonts w:ascii="Times New Roman" w:eastAsia="Calibri" w:hAnsi="Times New Roman" w:cs="Times New Roman"/>
                <w:sz w:val="16"/>
                <w:szCs w:val="16"/>
              </w:rPr>
              <w:t>Saal</w:t>
            </w:r>
            <w:proofErr w:type="spellEnd"/>
            <w:r w:rsidRPr="002A2C22">
              <w:rPr>
                <w:rFonts w:ascii="Times New Roman" w:eastAsia="Calibri" w:hAnsi="Times New Roman" w:cs="Times New Roman"/>
                <w:sz w:val="16"/>
                <w:szCs w:val="16"/>
              </w:rPr>
              <w:t>/</w:t>
            </w:r>
            <w:proofErr w:type="spellStart"/>
            <w:r w:rsidRPr="002A2C22">
              <w:rPr>
                <w:rFonts w:ascii="Times New Roman" w:eastAsia="Calibri" w:hAnsi="Times New Roman" w:cs="Times New Roman"/>
                <w:sz w:val="16"/>
                <w:szCs w:val="16"/>
              </w:rPr>
              <w:t>Donau</w:t>
            </w:r>
            <w:proofErr w:type="spellEnd"/>
            <w:r w:rsidRPr="002A2C22">
              <w:rPr>
                <w:rFonts w:ascii="Times New Roman" w:eastAsia="Calibri" w:hAnsi="Times New Roman" w:cs="Times New Roman"/>
                <w:sz w:val="16"/>
                <w:szCs w:val="16"/>
              </w:rPr>
              <w:t>, Germany) treated with gentamicin (Fig. 1a), was placed in front of the prosthetic mesh (Fig. 1b), tailored to the patient and covered by the sutured aponeurosis of the external oblique muscle.</w:t>
            </w:r>
          </w:p>
        </w:tc>
        <w:tc>
          <w:tcPr>
            <w:tcW w:w="2268" w:type="dxa"/>
          </w:tcPr>
          <w:p w14:paraId="48D0DAD1" w14:textId="77777777" w:rsidR="00CB62EA" w:rsidRPr="00033509" w:rsidRDefault="00CB62EA" w:rsidP="00CB62EA">
            <w:pPr>
              <w:rPr>
                <w:rFonts w:ascii="Times New Roman" w:eastAsia="Calibri" w:hAnsi="Times New Roman" w:cs="Times New Roman"/>
                <w:sz w:val="16"/>
                <w:szCs w:val="16"/>
              </w:rPr>
            </w:pPr>
            <w:r w:rsidRPr="00033509">
              <w:rPr>
                <w:rFonts w:ascii="Times New Roman" w:eastAsia="Calibri" w:hAnsi="Times New Roman" w:cs="Times New Roman"/>
                <w:sz w:val="16"/>
                <w:szCs w:val="16"/>
              </w:rPr>
              <w:t>the prosthetic mesh, tailored</w:t>
            </w:r>
          </w:p>
          <w:p w14:paraId="0F676842" w14:textId="77777777" w:rsidR="00CB62EA" w:rsidRPr="00033509" w:rsidRDefault="00CB62EA" w:rsidP="00CB62EA">
            <w:pPr>
              <w:rPr>
                <w:rFonts w:ascii="Times New Roman" w:eastAsia="Calibri" w:hAnsi="Times New Roman" w:cs="Times New Roman"/>
                <w:sz w:val="16"/>
                <w:szCs w:val="16"/>
              </w:rPr>
            </w:pPr>
            <w:r w:rsidRPr="00033509">
              <w:rPr>
                <w:rFonts w:ascii="Times New Roman" w:eastAsia="Calibri" w:hAnsi="Times New Roman" w:cs="Times New Roman"/>
                <w:sz w:val="16"/>
                <w:szCs w:val="16"/>
              </w:rPr>
              <w:t>to the patient and covered by the sutured aponeurosis of</w:t>
            </w:r>
          </w:p>
          <w:p w14:paraId="0D1767C6" w14:textId="77777777" w:rsidR="00D82BB5" w:rsidRPr="00033509" w:rsidRDefault="00CB62EA" w:rsidP="00CB62EA">
            <w:pPr>
              <w:rPr>
                <w:rFonts w:ascii="Times New Roman" w:eastAsia="Calibri" w:hAnsi="Times New Roman" w:cs="Times New Roman"/>
                <w:sz w:val="16"/>
                <w:szCs w:val="16"/>
              </w:rPr>
            </w:pPr>
            <w:r w:rsidRPr="00033509">
              <w:rPr>
                <w:rFonts w:ascii="Times New Roman" w:eastAsia="Calibri" w:hAnsi="Times New Roman" w:cs="Times New Roman"/>
                <w:sz w:val="16"/>
                <w:szCs w:val="16"/>
              </w:rPr>
              <w:t>the external oblique muscle.</w:t>
            </w:r>
          </w:p>
        </w:tc>
        <w:tc>
          <w:tcPr>
            <w:tcW w:w="2410" w:type="dxa"/>
          </w:tcPr>
          <w:p w14:paraId="55F4C875"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Patients in both groups were given long-acting cephalosporins, ceftriaxone 2 g systemically, 1 hour before and 12 hours after the intervention, at home if discharged from hospital.</w:t>
            </w:r>
          </w:p>
        </w:tc>
      </w:tr>
      <w:tr w:rsidR="00D82BB5" w:rsidRPr="002A2C22" w14:paraId="7D1BC862" w14:textId="77777777" w:rsidTr="00672986">
        <w:trPr>
          <w:trHeight w:val="245"/>
        </w:trPr>
        <w:tc>
          <w:tcPr>
            <w:tcW w:w="1150" w:type="dxa"/>
            <w:shd w:val="clear" w:color="auto" w:fill="F2F2F2"/>
          </w:tcPr>
          <w:p w14:paraId="64E77F5F" w14:textId="77777777" w:rsidR="00D82BB5" w:rsidRPr="002A2C22" w:rsidRDefault="00D82BB5" w:rsidP="00EB4860">
            <w:pPr>
              <w:rPr>
                <w:rFonts w:ascii="Times New Roman" w:eastAsia="Calibri" w:hAnsi="Times New Roman" w:cs="Times New Roman"/>
                <w:b/>
                <w:bCs/>
                <w:sz w:val="16"/>
                <w:szCs w:val="16"/>
              </w:rPr>
            </w:pPr>
            <w:r w:rsidRPr="002A2C22">
              <w:rPr>
                <w:rFonts w:ascii="Times New Roman" w:eastAsia="Calibri" w:hAnsi="Times New Roman" w:cs="Times New Roman"/>
                <w:b/>
                <w:bCs/>
                <w:sz w:val="16"/>
                <w:szCs w:val="16"/>
              </w:rPr>
              <w:lastRenderedPageBreak/>
              <w:t>Praveen 2009</w:t>
            </w:r>
          </w:p>
        </w:tc>
        <w:tc>
          <w:tcPr>
            <w:tcW w:w="4357" w:type="dxa"/>
            <w:shd w:val="clear" w:color="auto" w:fill="F2F2F2"/>
          </w:tcPr>
          <w:p w14:paraId="200E4A5D"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 xml:space="preserve">Patients were </w:t>
            </w:r>
            <w:proofErr w:type="spellStart"/>
            <w:r w:rsidRPr="002A2C22">
              <w:rPr>
                <w:rFonts w:ascii="Times New Roman" w:eastAsia="Calibri" w:hAnsi="Times New Roman" w:cs="Times New Roman"/>
                <w:sz w:val="16"/>
                <w:szCs w:val="16"/>
              </w:rPr>
              <w:t>randomised</w:t>
            </w:r>
            <w:proofErr w:type="spellEnd"/>
            <w:r w:rsidRPr="002A2C22">
              <w:rPr>
                <w:rFonts w:ascii="Times New Roman" w:eastAsia="Calibri" w:hAnsi="Times New Roman" w:cs="Times New Roman"/>
                <w:sz w:val="16"/>
                <w:szCs w:val="16"/>
              </w:rPr>
              <w:t xml:space="preserve"> to receive either IV 240 mg gentamicin diluted into 10 mL saline, given during induction, or 160 mg gentamicin used as local antibiotic. The polypropylene mesh was soaked in 160 mg of gentamicin diluted in 250 mL of normal saline and the inguinal wound was irrigated with the gentamicin solution.</w:t>
            </w:r>
          </w:p>
        </w:tc>
        <w:tc>
          <w:tcPr>
            <w:tcW w:w="2268" w:type="dxa"/>
            <w:shd w:val="clear" w:color="auto" w:fill="F2F2F2"/>
          </w:tcPr>
          <w:p w14:paraId="5F478602" w14:textId="77777777" w:rsidR="00D82BB5" w:rsidRPr="00033509" w:rsidRDefault="00A270D0" w:rsidP="00EB4860">
            <w:pPr>
              <w:rPr>
                <w:rFonts w:ascii="Times New Roman" w:eastAsia="Calibri" w:hAnsi="Times New Roman" w:cs="Times New Roman"/>
                <w:sz w:val="16"/>
                <w:szCs w:val="16"/>
              </w:rPr>
            </w:pPr>
            <w:r w:rsidRPr="00033509">
              <w:rPr>
                <w:rFonts w:ascii="Times New Roman" w:eastAsia="Calibri" w:hAnsi="Times New Roman" w:cs="Times New Roman"/>
                <w:sz w:val="16"/>
                <w:szCs w:val="16"/>
              </w:rPr>
              <w:t>Lichtenstein (preperitoneal)</w:t>
            </w:r>
          </w:p>
        </w:tc>
        <w:tc>
          <w:tcPr>
            <w:tcW w:w="2410" w:type="dxa"/>
            <w:shd w:val="clear" w:color="auto" w:fill="F2F2F2"/>
          </w:tcPr>
          <w:p w14:paraId="55ECEBB8" w14:textId="77777777" w:rsidR="00D82BB5" w:rsidRPr="002A2C22" w:rsidRDefault="00D82BB5" w:rsidP="00EB4860">
            <w:pPr>
              <w:rPr>
                <w:rFonts w:ascii="Times New Roman" w:eastAsia="Calibri" w:hAnsi="Times New Roman" w:cs="Times New Roman"/>
                <w:sz w:val="16"/>
                <w:szCs w:val="16"/>
              </w:rPr>
            </w:pPr>
            <w:r w:rsidRPr="002A2C22">
              <w:rPr>
                <w:rFonts w:ascii="Times New Roman" w:eastAsia="Calibri" w:hAnsi="Times New Roman" w:cs="Times New Roman"/>
                <w:sz w:val="16"/>
                <w:szCs w:val="16"/>
              </w:rPr>
              <w:t>See Statements on method of antimicrobial treatment of the mesh (left column).</w:t>
            </w:r>
          </w:p>
        </w:tc>
      </w:tr>
      <w:tr w:rsidR="00D82BB5" w:rsidRPr="002A2C22" w14:paraId="29D25C15" w14:textId="77777777" w:rsidTr="00672986">
        <w:trPr>
          <w:trHeight w:val="245"/>
        </w:trPr>
        <w:tc>
          <w:tcPr>
            <w:tcW w:w="1150" w:type="dxa"/>
            <w:shd w:val="clear" w:color="auto" w:fill="auto"/>
          </w:tcPr>
          <w:p w14:paraId="2DE34FF0" w14:textId="77777777" w:rsidR="00D82BB5" w:rsidRPr="002A2C22" w:rsidRDefault="00D82BB5" w:rsidP="00EB4860">
            <w:pPr>
              <w:rPr>
                <w:rFonts w:ascii="Times New Roman" w:eastAsia="Calibri" w:hAnsi="Times New Roman" w:cs="Times New Roman"/>
                <w:b/>
                <w:bCs/>
                <w:sz w:val="16"/>
                <w:szCs w:val="16"/>
              </w:rPr>
            </w:pPr>
            <w:proofErr w:type="spellStart"/>
            <w:r w:rsidRPr="002A2C22">
              <w:rPr>
                <w:rFonts w:ascii="Times New Roman" w:eastAsia="Calibri" w:hAnsi="Times New Roman" w:cs="Times New Roman"/>
                <w:b/>
                <w:bCs/>
                <w:sz w:val="16"/>
                <w:szCs w:val="16"/>
              </w:rPr>
              <w:t>Schneeberger</w:t>
            </w:r>
            <w:proofErr w:type="spellEnd"/>
            <w:r w:rsidRPr="002A2C22">
              <w:rPr>
                <w:rFonts w:ascii="Times New Roman" w:eastAsia="Calibri" w:hAnsi="Times New Roman" w:cs="Times New Roman"/>
                <w:b/>
                <w:bCs/>
                <w:sz w:val="16"/>
                <w:szCs w:val="16"/>
              </w:rPr>
              <w:t xml:space="preserve"> 2020 </w:t>
            </w:r>
          </w:p>
        </w:tc>
        <w:tc>
          <w:tcPr>
            <w:tcW w:w="4357" w:type="dxa"/>
            <w:shd w:val="clear" w:color="auto" w:fill="auto"/>
          </w:tcPr>
          <w:p w14:paraId="047E7917" w14:textId="77777777" w:rsidR="00D82BB5" w:rsidRPr="002A2C22" w:rsidRDefault="00D82BB5" w:rsidP="00EB4860">
            <w:pPr>
              <w:autoSpaceDE w:val="0"/>
              <w:autoSpaceDN w:val="0"/>
              <w:adjustRightInd w:val="0"/>
              <w:rPr>
                <w:rFonts w:ascii="Times New Roman" w:eastAsia="Calibri" w:hAnsi="Times New Roman" w:cs="Times New Roman"/>
                <w:sz w:val="16"/>
                <w:szCs w:val="16"/>
                <w:lang w:val="en-GB"/>
              </w:rPr>
            </w:pPr>
            <w:r w:rsidRPr="002A2C22">
              <w:rPr>
                <w:rFonts w:ascii="Times New Roman" w:eastAsia="Calibri" w:hAnsi="Times New Roman" w:cs="Times New Roman"/>
                <w:sz w:val="16"/>
                <w:szCs w:val="16"/>
                <w:lang w:val="en-GB"/>
              </w:rPr>
              <w:t>The mesh was removed from its packaging only immediately before use (ensuring that the mesh had minimal exposure to the surrounding environment) and dipped in the antibiotic solution and povidone-iodine. The mesh never touched the Mayo stand, drapes, sponges, or other instruments at any time. 6. The surgeon placed the mesh in the appropriate abdominal wall position while avoiding skin contact. 7. The incision was again thoroughly irrigated with the antibiotic solution.</w:t>
            </w:r>
          </w:p>
        </w:tc>
        <w:tc>
          <w:tcPr>
            <w:tcW w:w="2268" w:type="dxa"/>
          </w:tcPr>
          <w:p w14:paraId="02F8251A" w14:textId="77777777" w:rsidR="00265AA3" w:rsidRPr="00033509" w:rsidRDefault="00265AA3" w:rsidP="00265AA3">
            <w:pPr>
              <w:autoSpaceDE w:val="0"/>
              <w:autoSpaceDN w:val="0"/>
              <w:adjustRightInd w:val="0"/>
              <w:rPr>
                <w:rFonts w:ascii="Times New Roman" w:eastAsia="Calibri" w:hAnsi="Times New Roman" w:cs="Times New Roman"/>
                <w:sz w:val="16"/>
                <w:szCs w:val="16"/>
                <w:lang w:val="en-GB"/>
              </w:rPr>
            </w:pPr>
            <w:proofErr w:type="spellStart"/>
            <w:r w:rsidRPr="00033509">
              <w:rPr>
                <w:rFonts w:ascii="Times New Roman" w:eastAsia="Calibri" w:hAnsi="Times New Roman" w:cs="Times New Roman"/>
                <w:sz w:val="16"/>
                <w:szCs w:val="16"/>
                <w:lang w:val="en-GB"/>
              </w:rPr>
              <w:t>Onlay</w:t>
            </w:r>
            <w:proofErr w:type="spellEnd"/>
            <w:r w:rsidRPr="00033509">
              <w:rPr>
                <w:rFonts w:ascii="Times New Roman" w:eastAsia="Calibri" w:hAnsi="Times New Roman" w:cs="Times New Roman"/>
                <w:sz w:val="16"/>
                <w:szCs w:val="16"/>
                <w:lang w:val="en-GB"/>
              </w:rPr>
              <w:t xml:space="preserve"> 1 (1.1)</w:t>
            </w:r>
          </w:p>
          <w:p w14:paraId="04B3FD56" w14:textId="77777777" w:rsidR="00265AA3" w:rsidRPr="00033509" w:rsidRDefault="00265AA3" w:rsidP="00265AA3">
            <w:pPr>
              <w:autoSpaceDE w:val="0"/>
              <w:autoSpaceDN w:val="0"/>
              <w:adjustRightInd w:val="0"/>
              <w:rPr>
                <w:rFonts w:ascii="Times New Roman" w:eastAsia="Calibri" w:hAnsi="Times New Roman" w:cs="Times New Roman"/>
                <w:sz w:val="16"/>
                <w:szCs w:val="16"/>
                <w:lang w:val="en-GB"/>
              </w:rPr>
            </w:pPr>
            <w:r w:rsidRPr="00033509">
              <w:rPr>
                <w:rFonts w:ascii="Times New Roman" w:eastAsia="Calibri" w:hAnsi="Times New Roman" w:cs="Times New Roman"/>
                <w:sz w:val="16"/>
                <w:szCs w:val="16"/>
                <w:lang w:val="en-GB"/>
              </w:rPr>
              <w:t xml:space="preserve">Open </w:t>
            </w:r>
            <w:proofErr w:type="spellStart"/>
            <w:r w:rsidRPr="00033509">
              <w:rPr>
                <w:rFonts w:ascii="Times New Roman" w:eastAsia="Calibri" w:hAnsi="Times New Roman" w:cs="Times New Roman"/>
                <w:sz w:val="16"/>
                <w:szCs w:val="16"/>
                <w:lang w:val="en-GB"/>
              </w:rPr>
              <w:t>preperitoneal</w:t>
            </w:r>
            <w:proofErr w:type="spellEnd"/>
            <w:r w:rsidRPr="00033509">
              <w:rPr>
                <w:rFonts w:ascii="Times New Roman" w:eastAsia="Calibri" w:hAnsi="Times New Roman" w:cs="Times New Roman"/>
                <w:sz w:val="16"/>
                <w:szCs w:val="16"/>
                <w:lang w:val="en-GB"/>
              </w:rPr>
              <w:t xml:space="preserve"> </w:t>
            </w:r>
            <w:proofErr w:type="spellStart"/>
            <w:r w:rsidRPr="00033509">
              <w:rPr>
                <w:rFonts w:ascii="Times New Roman" w:eastAsia="Calibri" w:hAnsi="Times New Roman" w:cs="Times New Roman"/>
                <w:sz w:val="16"/>
                <w:szCs w:val="16"/>
                <w:lang w:val="en-GB"/>
              </w:rPr>
              <w:t>sublay</w:t>
            </w:r>
            <w:proofErr w:type="spellEnd"/>
            <w:r w:rsidRPr="00033509">
              <w:rPr>
                <w:rFonts w:ascii="Times New Roman" w:eastAsia="Calibri" w:hAnsi="Times New Roman" w:cs="Times New Roman"/>
                <w:sz w:val="16"/>
                <w:szCs w:val="16"/>
                <w:lang w:val="en-GB"/>
              </w:rPr>
              <w:t xml:space="preserve"> 1 (1.1)</w:t>
            </w:r>
          </w:p>
          <w:p w14:paraId="080A8A24" w14:textId="77777777" w:rsidR="00265AA3" w:rsidRPr="00033509" w:rsidRDefault="00265AA3" w:rsidP="00265AA3">
            <w:pPr>
              <w:autoSpaceDE w:val="0"/>
              <w:autoSpaceDN w:val="0"/>
              <w:adjustRightInd w:val="0"/>
              <w:rPr>
                <w:rFonts w:ascii="Times New Roman" w:eastAsia="Calibri" w:hAnsi="Times New Roman" w:cs="Times New Roman"/>
                <w:sz w:val="16"/>
                <w:szCs w:val="16"/>
                <w:lang w:val="en-GB"/>
              </w:rPr>
            </w:pPr>
            <w:r w:rsidRPr="00033509">
              <w:rPr>
                <w:rFonts w:ascii="Times New Roman" w:eastAsia="Calibri" w:hAnsi="Times New Roman" w:cs="Times New Roman"/>
                <w:sz w:val="16"/>
                <w:szCs w:val="16"/>
                <w:lang w:val="en-GB"/>
              </w:rPr>
              <w:t xml:space="preserve">Open intraperitoneal </w:t>
            </w:r>
            <w:proofErr w:type="spellStart"/>
            <w:r w:rsidRPr="00033509">
              <w:rPr>
                <w:rFonts w:ascii="Times New Roman" w:eastAsia="Calibri" w:hAnsi="Times New Roman" w:cs="Times New Roman"/>
                <w:sz w:val="16"/>
                <w:szCs w:val="16"/>
                <w:lang w:val="en-GB"/>
              </w:rPr>
              <w:t>sublay</w:t>
            </w:r>
            <w:proofErr w:type="spellEnd"/>
            <w:r w:rsidRPr="00033509">
              <w:rPr>
                <w:rFonts w:ascii="Times New Roman" w:eastAsia="Calibri" w:hAnsi="Times New Roman" w:cs="Times New Roman"/>
                <w:sz w:val="16"/>
                <w:szCs w:val="16"/>
                <w:lang w:val="en-GB"/>
              </w:rPr>
              <w:t xml:space="preserve"> 20 (22.8)</w:t>
            </w:r>
          </w:p>
          <w:p w14:paraId="17622C8A" w14:textId="77777777" w:rsidR="00265AA3" w:rsidRPr="00033509" w:rsidRDefault="00265AA3" w:rsidP="00265AA3">
            <w:pPr>
              <w:autoSpaceDE w:val="0"/>
              <w:autoSpaceDN w:val="0"/>
              <w:adjustRightInd w:val="0"/>
              <w:rPr>
                <w:rFonts w:ascii="Times New Roman" w:eastAsia="Calibri" w:hAnsi="Times New Roman" w:cs="Times New Roman"/>
                <w:sz w:val="16"/>
                <w:szCs w:val="16"/>
                <w:lang w:val="en-GB"/>
              </w:rPr>
            </w:pPr>
            <w:r w:rsidRPr="00033509">
              <w:rPr>
                <w:rFonts w:ascii="Times New Roman" w:eastAsia="Calibri" w:hAnsi="Times New Roman" w:cs="Times New Roman"/>
                <w:sz w:val="16"/>
                <w:szCs w:val="16"/>
                <w:lang w:val="en-GB"/>
              </w:rPr>
              <w:t xml:space="preserve">Open </w:t>
            </w:r>
            <w:proofErr w:type="spellStart"/>
            <w:r w:rsidRPr="00033509">
              <w:rPr>
                <w:rFonts w:ascii="Times New Roman" w:eastAsia="Calibri" w:hAnsi="Times New Roman" w:cs="Times New Roman"/>
                <w:sz w:val="16"/>
                <w:szCs w:val="16"/>
                <w:lang w:val="en-GB"/>
              </w:rPr>
              <w:t>retromuscular</w:t>
            </w:r>
            <w:proofErr w:type="spellEnd"/>
            <w:r w:rsidRPr="00033509">
              <w:rPr>
                <w:rFonts w:ascii="Times New Roman" w:eastAsia="Calibri" w:hAnsi="Times New Roman" w:cs="Times New Roman"/>
                <w:sz w:val="16"/>
                <w:szCs w:val="16"/>
                <w:lang w:val="en-GB"/>
              </w:rPr>
              <w:t xml:space="preserve"> </w:t>
            </w:r>
            <w:proofErr w:type="spellStart"/>
            <w:r w:rsidRPr="00033509">
              <w:rPr>
                <w:rFonts w:ascii="Times New Roman" w:eastAsia="Calibri" w:hAnsi="Times New Roman" w:cs="Times New Roman"/>
                <w:sz w:val="16"/>
                <w:szCs w:val="16"/>
                <w:lang w:val="en-GB"/>
              </w:rPr>
              <w:t>sublay</w:t>
            </w:r>
            <w:proofErr w:type="spellEnd"/>
            <w:r w:rsidRPr="00033509">
              <w:rPr>
                <w:rFonts w:ascii="Times New Roman" w:eastAsia="Calibri" w:hAnsi="Times New Roman" w:cs="Times New Roman"/>
                <w:sz w:val="16"/>
                <w:szCs w:val="16"/>
                <w:lang w:val="en-GB"/>
              </w:rPr>
              <w:t xml:space="preserve"> (no TAR) 30 (34.1)</w:t>
            </w:r>
          </w:p>
          <w:p w14:paraId="2C537575" w14:textId="77777777" w:rsidR="00D82BB5" w:rsidRPr="00033509" w:rsidRDefault="00265AA3" w:rsidP="00265AA3">
            <w:pPr>
              <w:autoSpaceDE w:val="0"/>
              <w:autoSpaceDN w:val="0"/>
              <w:adjustRightInd w:val="0"/>
              <w:rPr>
                <w:rFonts w:ascii="AdvOT863180fb" w:eastAsia="Calibri" w:hAnsi="AdvOT863180fb" w:cs="AdvOT863180fb"/>
                <w:sz w:val="16"/>
                <w:szCs w:val="16"/>
                <w:lang w:val="en-GB"/>
              </w:rPr>
            </w:pPr>
            <w:r w:rsidRPr="00033509">
              <w:rPr>
                <w:rFonts w:ascii="Times New Roman" w:eastAsia="Calibri" w:hAnsi="Times New Roman" w:cs="Times New Roman"/>
                <w:sz w:val="16"/>
                <w:szCs w:val="16"/>
                <w:lang w:val="en-GB"/>
              </w:rPr>
              <w:t xml:space="preserve">Open </w:t>
            </w:r>
            <w:proofErr w:type="spellStart"/>
            <w:r w:rsidRPr="00033509">
              <w:rPr>
                <w:rFonts w:ascii="Times New Roman" w:eastAsia="Calibri" w:hAnsi="Times New Roman" w:cs="Times New Roman"/>
                <w:sz w:val="16"/>
                <w:szCs w:val="16"/>
                <w:lang w:val="en-GB"/>
              </w:rPr>
              <w:t>retromuscular</w:t>
            </w:r>
            <w:proofErr w:type="spellEnd"/>
            <w:r w:rsidRPr="00033509">
              <w:rPr>
                <w:rFonts w:ascii="Times New Roman" w:eastAsia="Calibri" w:hAnsi="Times New Roman" w:cs="Times New Roman"/>
                <w:sz w:val="16"/>
                <w:szCs w:val="16"/>
                <w:lang w:val="en-GB"/>
              </w:rPr>
              <w:t xml:space="preserve"> </w:t>
            </w:r>
            <w:proofErr w:type="spellStart"/>
            <w:r w:rsidRPr="00033509">
              <w:rPr>
                <w:rFonts w:ascii="Times New Roman" w:eastAsia="Calibri" w:hAnsi="Times New Roman" w:cs="Times New Roman"/>
                <w:sz w:val="16"/>
                <w:szCs w:val="16"/>
                <w:lang w:val="en-GB"/>
              </w:rPr>
              <w:t>sublay</w:t>
            </w:r>
            <w:proofErr w:type="spellEnd"/>
            <w:r w:rsidRPr="00033509">
              <w:rPr>
                <w:rFonts w:ascii="Times New Roman" w:eastAsia="Calibri" w:hAnsi="Times New Roman" w:cs="Times New Roman"/>
                <w:sz w:val="16"/>
                <w:szCs w:val="16"/>
                <w:lang w:val="en-GB"/>
              </w:rPr>
              <w:t xml:space="preserve"> (with TAR) 36 (40.9)</w:t>
            </w:r>
          </w:p>
        </w:tc>
        <w:tc>
          <w:tcPr>
            <w:tcW w:w="2410" w:type="dxa"/>
          </w:tcPr>
          <w:p w14:paraId="18CDCA30" w14:textId="77777777" w:rsidR="00D82BB5" w:rsidRPr="002A2C22" w:rsidRDefault="00D82BB5" w:rsidP="00EB4860">
            <w:pPr>
              <w:autoSpaceDE w:val="0"/>
              <w:autoSpaceDN w:val="0"/>
              <w:adjustRightInd w:val="0"/>
              <w:rPr>
                <w:rFonts w:ascii="AdvOT863180fb" w:eastAsia="Calibri" w:hAnsi="AdvOT863180fb" w:cs="AdvOT863180fb"/>
                <w:sz w:val="16"/>
                <w:szCs w:val="16"/>
                <w:lang w:val="en-GB"/>
              </w:rPr>
            </w:pPr>
            <w:r w:rsidRPr="002A2C22">
              <w:rPr>
                <w:rFonts w:ascii="AdvOT863180fb" w:eastAsia="Calibri" w:hAnsi="AdvOT863180fb" w:cs="AdvOT863180fb"/>
                <w:sz w:val="16"/>
                <w:szCs w:val="16"/>
                <w:lang w:val="en-GB"/>
              </w:rPr>
              <w:t>NR</w:t>
            </w:r>
          </w:p>
        </w:tc>
      </w:tr>
      <w:tr w:rsidR="00511E5C" w:rsidRPr="002A2C22" w14:paraId="030048C0" w14:textId="77777777" w:rsidTr="00672986">
        <w:trPr>
          <w:trHeight w:val="245"/>
        </w:trPr>
        <w:tc>
          <w:tcPr>
            <w:tcW w:w="1150" w:type="dxa"/>
            <w:shd w:val="clear" w:color="auto" w:fill="F2F2F2"/>
          </w:tcPr>
          <w:p w14:paraId="06235C26" w14:textId="77777777" w:rsidR="00511E5C" w:rsidRPr="002A2C22" w:rsidRDefault="00511E5C" w:rsidP="00511E5C">
            <w:pPr>
              <w:rPr>
                <w:rFonts w:ascii="Times New Roman" w:eastAsia="Calibri" w:hAnsi="Times New Roman" w:cs="Times New Roman"/>
                <w:b/>
                <w:bCs/>
                <w:sz w:val="16"/>
                <w:szCs w:val="16"/>
              </w:rPr>
            </w:pPr>
            <w:proofErr w:type="spellStart"/>
            <w:r w:rsidRPr="002A2C22">
              <w:rPr>
                <w:rFonts w:ascii="Times New Roman" w:eastAsia="Calibri" w:hAnsi="Times New Roman" w:cs="Times New Roman"/>
                <w:b/>
                <w:bCs/>
                <w:sz w:val="16"/>
                <w:szCs w:val="16"/>
              </w:rPr>
              <w:t>Şeker</w:t>
            </w:r>
            <w:proofErr w:type="spellEnd"/>
            <w:r w:rsidRPr="002A2C22">
              <w:rPr>
                <w:rFonts w:ascii="Times New Roman" w:eastAsia="Calibri" w:hAnsi="Times New Roman" w:cs="Times New Roman"/>
                <w:b/>
                <w:bCs/>
                <w:sz w:val="16"/>
                <w:szCs w:val="16"/>
              </w:rPr>
              <w:t xml:space="preserve"> 2021</w:t>
            </w:r>
          </w:p>
        </w:tc>
        <w:tc>
          <w:tcPr>
            <w:tcW w:w="4357" w:type="dxa"/>
            <w:shd w:val="clear" w:color="auto" w:fill="F2F2F2"/>
          </w:tcPr>
          <w:p w14:paraId="1592D6B7" w14:textId="77777777" w:rsidR="00511E5C" w:rsidRPr="002A2C22" w:rsidRDefault="00511E5C" w:rsidP="00511E5C">
            <w:pPr>
              <w:rPr>
                <w:rFonts w:ascii="Times New Roman" w:eastAsia="Calibri" w:hAnsi="Times New Roman" w:cs="Times New Roman"/>
                <w:sz w:val="16"/>
                <w:szCs w:val="16"/>
              </w:rPr>
            </w:pPr>
            <w:r w:rsidRPr="002A2C22">
              <w:rPr>
                <w:rFonts w:ascii="Times New Roman" w:eastAsia="Calibri" w:hAnsi="Times New Roman" w:cs="Times New Roman"/>
                <w:sz w:val="16"/>
                <w:szCs w:val="16"/>
              </w:rPr>
              <w:t xml:space="preserve">Patients in G1 group received 1 g cefazolin (cefazolin sodium; </w:t>
            </w:r>
            <w:proofErr w:type="spellStart"/>
            <w:r w:rsidRPr="002A2C22">
              <w:rPr>
                <w:rFonts w:ascii="Times New Roman" w:eastAsia="Calibri" w:hAnsi="Times New Roman" w:cs="Times New Roman"/>
                <w:sz w:val="16"/>
                <w:szCs w:val="16"/>
              </w:rPr>
              <w:t>Eczacibasi</w:t>
            </w:r>
            <w:proofErr w:type="spellEnd"/>
            <w:r w:rsidRPr="002A2C22">
              <w:rPr>
                <w:rFonts w:ascii="Times New Roman" w:eastAsia="Calibri" w:hAnsi="Times New Roman" w:cs="Times New Roman"/>
                <w:sz w:val="16"/>
                <w:szCs w:val="16"/>
              </w:rPr>
              <w:t xml:space="preserve">, Istanbul, Turkey) by IV bolus injection. In G2, gentamicin (gentamicin sulfate 80 mg 2%; I, E </w:t>
            </w:r>
            <w:proofErr w:type="spellStart"/>
            <w:r w:rsidRPr="002A2C22">
              <w:rPr>
                <w:rFonts w:ascii="Times New Roman" w:eastAsia="Calibri" w:hAnsi="Times New Roman" w:cs="Times New Roman"/>
                <w:sz w:val="16"/>
                <w:szCs w:val="16"/>
              </w:rPr>
              <w:t>Ulugay</w:t>
            </w:r>
            <w:proofErr w:type="spellEnd"/>
            <w:r w:rsidRPr="002A2C22">
              <w:rPr>
                <w:rFonts w:ascii="Times New Roman" w:eastAsia="Calibri" w:hAnsi="Times New Roman" w:cs="Times New Roman"/>
                <w:sz w:val="16"/>
                <w:szCs w:val="16"/>
              </w:rPr>
              <w:t>, Istanbul, Turkey) was applied topically to surgical field just after the mesh implantation. In G3, patients received 1 g cefazolin and topical gentamicin. The anesthesiologist administered IV medication when the patient entered the operating room or at least, before the induction of anesthesia. None of the patients in either group was prescribed for any additional antibiotics.</w:t>
            </w:r>
          </w:p>
        </w:tc>
        <w:tc>
          <w:tcPr>
            <w:tcW w:w="2268" w:type="dxa"/>
            <w:shd w:val="clear" w:color="auto" w:fill="F2F2F2"/>
          </w:tcPr>
          <w:p w14:paraId="3D43EF74" w14:textId="77777777" w:rsidR="00511E5C" w:rsidRPr="00033509" w:rsidRDefault="00511E5C" w:rsidP="00511E5C">
            <w:pPr>
              <w:rPr>
                <w:rFonts w:ascii="Times New Roman" w:eastAsia="Calibri" w:hAnsi="Times New Roman" w:cs="Times New Roman"/>
                <w:sz w:val="16"/>
                <w:szCs w:val="16"/>
              </w:rPr>
            </w:pPr>
            <w:r w:rsidRPr="00033509">
              <w:rPr>
                <w:rFonts w:ascii="Times New Roman" w:eastAsia="Calibri" w:hAnsi="Times New Roman" w:cs="Times New Roman"/>
                <w:sz w:val="16"/>
                <w:szCs w:val="16"/>
              </w:rPr>
              <w:t>Lichtenstein (preperitoneal)</w:t>
            </w:r>
          </w:p>
        </w:tc>
        <w:tc>
          <w:tcPr>
            <w:tcW w:w="2410" w:type="dxa"/>
            <w:shd w:val="clear" w:color="auto" w:fill="F2F2F2"/>
          </w:tcPr>
          <w:p w14:paraId="7246037A" w14:textId="77777777" w:rsidR="00511E5C" w:rsidRPr="002A2C22" w:rsidRDefault="00511E5C" w:rsidP="00511E5C">
            <w:pPr>
              <w:rPr>
                <w:rFonts w:ascii="Times New Roman" w:eastAsia="Calibri" w:hAnsi="Times New Roman" w:cs="Times New Roman"/>
                <w:sz w:val="16"/>
                <w:szCs w:val="16"/>
              </w:rPr>
            </w:pPr>
            <w:r w:rsidRPr="002A2C22">
              <w:rPr>
                <w:rFonts w:ascii="Times New Roman" w:eastAsia="Calibri" w:hAnsi="Times New Roman" w:cs="Times New Roman"/>
                <w:sz w:val="16"/>
                <w:szCs w:val="16"/>
              </w:rPr>
              <w:t>See Statements on method of antimicrobial treatment of the mesh (left column).</w:t>
            </w:r>
          </w:p>
        </w:tc>
      </w:tr>
      <w:tr w:rsidR="00B3734E" w:rsidRPr="002A2C22" w14:paraId="2CCC2E5C" w14:textId="77777777" w:rsidTr="00B3734E">
        <w:trPr>
          <w:trHeight w:val="245"/>
        </w:trPr>
        <w:tc>
          <w:tcPr>
            <w:tcW w:w="1150" w:type="dxa"/>
            <w:shd w:val="clear" w:color="auto" w:fill="auto"/>
          </w:tcPr>
          <w:p w14:paraId="5AF7099C" w14:textId="0AA61253" w:rsidR="00B3734E" w:rsidRPr="002A2C22" w:rsidRDefault="00B3734E" w:rsidP="00511E5C">
            <w:pPr>
              <w:rPr>
                <w:rFonts w:ascii="Times New Roman" w:eastAsia="Calibri" w:hAnsi="Times New Roman" w:cs="Times New Roman"/>
                <w:b/>
                <w:bCs/>
                <w:sz w:val="16"/>
                <w:szCs w:val="16"/>
              </w:rPr>
            </w:pPr>
            <w:r>
              <w:rPr>
                <w:rFonts w:ascii="Times New Roman" w:eastAsia="Calibri" w:hAnsi="Times New Roman" w:cs="Times New Roman"/>
                <w:b/>
                <w:bCs/>
                <w:sz w:val="16"/>
                <w:szCs w:val="16"/>
              </w:rPr>
              <w:t>Warren 2024</w:t>
            </w:r>
          </w:p>
        </w:tc>
        <w:tc>
          <w:tcPr>
            <w:tcW w:w="4357" w:type="dxa"/>
            <w:shd w:val="clear" w:color="auto" w:fill="auto"/>
          </w:tcPr>
          <w:p w14:paraId="52388A4D" w14:textId="686C5272" w:rsidR="00B3734E" w:rsidRPr="002A2C22" w:rsidRDefault="002174FF" w:rsidP="00511E5C">
            <w:pPr>
              <w:rPr>
                <w:rFonts w:ascii="Times New Roman" w:eastAsia="Calibri" w:hAnsi="Times New Roman" w:cs="Times New Roman"/>
                <w:sz w:val="16"/>
                <w:szCs w:val="16"/>
              </w:rPr>
            </w:pPr>
            <w:r>
              <w:rPr>
                <w:rFonts w:ascii="Times New Roman" w:eastAsia="Calibri" w:hAnsi="Times New Roman" w:cs="Times New Roman"/>
                <w:sz w:val="16"/>
                <w:szCs w:val="16"/>
              </w:rPr>
              <w:t>After comple</w:t>
            </w:r>
            <w:r w:rsidRPr="002174FF">
              <w:rPr>
                <w:rFonts w:ascii="Times New Roman" w:eastAsia="Calibri" w:hAnsi="Times New Roman" w:cs="Times New Roman"/>
                <w:sz w:val="16"/>
                <w:szCs w:val="16"/>
              </w:rPr>
              <w:t xml:space="preserve">tion of the </w:t>
            </w:r>
            <w:proofErr w:type="spellStart"/>
            <w:r w:rsidRPr="002174FF">
              <w:rPr>
                <w:rFonts w:ascii="Times New Roman" w:eastAsia="Calibri" w:hAnsi="Times New Roman" w:cs="Times New Roman"/>
                <w:sz w:val="16"/>
                <w:szCs w:val="16"/>
              </w:rPr>
              <w:t>retromuscular</w:t>
            </w:r>
            <w:proofErr w:type="spellEnd"/>
            <w:r w:rsidRPr="002174FF">
              <w:rPr>
                <w:rFonts w:ascii="Times New Roman" w:eastAsia="Calibri" w:hAnsi="Times New Roman" w:cs="Times New Roman"/>
                <w:sz w:val="16"/>
                <w:szCs w:val="16"/>
              </w:rPr>
              <w:t xml:space="preserve"> dissection and TAR (if required), closure of the posterior sheath, and mesh placement</w:t>
            </w:r>
            <w:r>
              <w:rPr>
                <w:rFonts w:ascii="Times New Roman" w:eastAsia="Calibri" w:hAnsi="Times New Roman" w:cs="Times New Roman"/>
                <w:sz w:val="16"/>
                <w:szCs w:val="16"/>
              </w:rPr>
              <w:t xml:space="preserve"> in the RM space, final determi</w:t>
            </w:r>
            <w:r w:rsidRPr="002174FF">
              <w:rPr>
                <w:rFonts w:ascii="Times New Roman" w:eastAsia="Calibri" w:hAnsi="Times New Roman" w:cs="Times New Roman"/>
                <w:sz w:val="16"/>
                <w:szCs w:val="16"/>
              </w:rPr>
              <w:t>nation for inclusion/exclusion was made by the operating surgeon. Included patients were randomized to dua</w:t>
            </w:r>
            <w:r>
              <w:rPr>
                <w:rFonts w:ascii="Times New Roman" w:eastAsia="Calibri" w:hAnsi="Times New Roman" w:cs="Times New Roman"/>
                <w:sz w:val="16"/>
                <w:szCs w:val="16"/>
              </w:rPr>
              <w:t>l-antibiotic irrigation consist</w:t>
            </w:r>
            <w:r w:rsidRPr="002174FF">
              <w:rPr>
                <w:rFonts w:ascii="Times New Roman" w:eastAsia="Calibri" w:hAnsi="Times New Roman" w:cs="Times New Roman"/>
                <w:sz w:val="16"/>
                <w:szCs w:val="16"/>
              </w:rPr>
              <w:t xml:space="preserve">ing of 240 mg gentamicin þ600 mg clindamycin in 500 ml saline (G þ C) or saline irrigation alone. The </w:t>
            </w:r>
            <w:proofErr w:type="spellStart"/>
            <w:r w:rsidRPr="002174FF">
              <w:rPr>
                <w:rFonts w:ascii="Times New Roman" w:eastAsia="Calibri" w:hAnsi="Times New Roman" w:cs="Times New Roman"/>
                <w:sz w:val="16"/>
                <w:szCs w:val="16"/>
              </w:rPr>
              <w:t>irrigant</w:t>
            </w:r>
            <w:proofErr w:type="spellEnd"/>
            <w:r w:rsidRPr="002174FF">
              <w:rPr>
                <w:rFonts w:ascii="Times New Roman" w:eastAsia="Calibri" w:hAnsi="Times New Roman" w:cs="Times New Roman"/>
                <w:sz w:val="16"/>
                <w:szCs w:val="16"/>
              </w:rPr>
              <w:t xml:space="preserve"> was instilled in the RM space, filling the compartment up to the level of the skin and completely covering the implanted mesh. This was allowed to dwell for 3 min and then evacuated.</w:t>
            </w:r>
          </w:p>
        </w:tc>
        <w:tc>
          <w:tcPr>
            <w:tcW w:w="2268" w:type="dxa"/>
            <w:shd w:val="clear" w:color="auto" w:fill="auto"/>
          </w:tcPr>
          <w:p w14:paraId="5E1E83A3" w14:textId="62DECEA9" w:rsidR="00B3734E" w:rsidRPr="00033509" w:rsidRDefault="002174FF" w:rsidP="00511E5C">
            <w:pPr>
              <w:rPr>
                <w:rFonts w:ascii="Times New Roman" w:eastAsia="Calibri" w:hAnsi="Times New Roman" w:cs="Times New Roman"/>
                <w:sz w:val="16"/>
                <w:szCs w:val="16"/>
              </w:rPr>
            </w:pPr>
            <w:r>
              <w:rPr>
                <w:rFonts w:ascii="Times New Roman" w:eastAsia="Calibri" w:hAnsi="Times New Roman" w:cs="Times New Roman"/>
                <w:sz w:val="16"/>
                <w:szCs w:val="16"/>
              </w:rPr>
              <w:t>Retromuscular</w:t>
            </w:r>
            <w:bookmarkStart w:id="1" w:name="_GoBack"/>
            <w:bookmarkEnd w:id="1"/>
          </w:p>
        </w:tc>
        <w:tc>
          <w:tcPr>
            <w:tcW w:w="2410" w:type="dxa"/>
            <w:shd w:val="clear" w:color="auto" w:fill="auto"/>
          </w:tcPr>
          <w:p w14:paraId="15AF9188" w14:textId="14B3EE1B" w:rsidR="00B3734E" w:rsidRPr="00B3734E" w:rsidRDefault="00B3734E" w:rsidP="00B3734E">
            <w:pPr>
              <w:rPr>
                <w:rFonts w:ascii="Times New Roman" w:eastAsia="Calibri" w:hAnsi="Times New Roman" w:cs="Times New Roman"/>
                <w:sz w:val="16"/>
                <w:szCs w:val="16"/>
              </w:rPr>
            </w:pPr>
            <w:r>
              <w:rPr>
                <w:rFonts w:ascii="Times New Roman" w:eastAsia="Calibri" w:hAnsi="Times New Roman" w:cs="Times New Roman"/>
                <w:sz w:val="16"/>
                <w:szCs w:val="16"/>
              </w:rPr>
              <w:t xml:space="preserve">Preoperative </w:t>
            </w:r>
            <w:r w:rsidRPr="00B3734E">
              <w:rPr>
                <w:rFonts w:ascii="Times New Roman" w:eastAsia="Calibri" w:hAnsi="Times New Roman" w:cs="Times New Roman"/>
                <w:sz w:val="16"/>
                <w:szCs w:val="16"/>
              </w:rPr>
              <w:t>intravenous antibiotics were used in all patients with antibiotic selection</w:t>
            </w:r>
          </w:p>
          <w:p w14:paraId="53ACF1FC" w14:textId="0B6EC6D5" w:rsidR="00B3734E" w:rsidRPr="002A2C22" w:rsidRDefault="00B3734E" w:rsidP="00B3734E">
            <w:pPr>
              <w:rPr>
                <w:rFonts w:ascii="Times New Roman" w:eastAsia="Calibri" w:hAnsi="Times New Roman" w:cs="Times New Roman"/>
                <w:sz w:val="16"/>
                <w:szCs w:val="16"/>
              </w:rPr>
            </w:pPr>
            <w:r w:rsidRPr="00B3734E">
              <w:rPr>
                <w:rFonts w:ascii="Times New Roman" w:eastAsia="Calibri" w:hAnsi="Times New Roman" w:cs="Times New Roman"/>
                <w:sz w:val="16"/>
                <w:szCs w:val="16"/>
              </w:rPr>
              <w:t xml:space="preserve">based on standard practice and </w:t>
            </w:r>
            <w:proofErr w:type="spellStart"/>
            <w:r w:rsidRPr="00B3734E">
              <w:rPr>
                <w:rFonts w:ascii="Times New Roman" w:eastAsia="Calibri" w:hAnsi="Times New Roman" w:cs="Times New Roman"/>
                <w:sz w:val="16"/>
                <w:szCs w:val="16"/>
              </w:rPr>
              <w:t>antibiogram</w:t>
            </w:r>
            <w:proofErr w:type="spellEnd"/>
            <w:r w:rsidRPr="00B3734E">
              <w:rPr>
                <w:rFonts w:ascii="Times New Roman" w:eastAsia="Calibri" w:hAnsi="Times New Roman" w:cs="Times New Roman"/>
                <w:sz w:val="16"/>
                <w:szCs w:val="16"/>
              </w:rPr>
              <w:t xml:space="preserve"> of each site.</w:t>
            </w:r>
          </w:p>
        </w:tc>
      </w:tr>
      <w:tr w:rsidR="00511E5C" w:rsidRPr="002A2C22" w14:paraId="3ACC0B36" w14:textId="77777777" w:rsidTr="00B3734E">
        <w:trPr>
          <w:trHeight w:val="245"/>
        </w:trPr>
        <w:tc>
          <w:tcPr>
            <w:tcW w:w="1150" w:type="dxa"/>
            <w:shd w:val="clear" w:color="auto" w:fill="F2F2F2" w:themeFill="background1" w:themeFillShade="F2"/>
          </w:tcPr>
          <w:p w14:paraId="3CF390BE" w14:textId="77777777" w:rsidR="00511E5C" w:rsidRPr="002A2C22" w:rsidRDefault="00511E5C" w:rsidP="00511E5C">
            <w:pPr>
              <w:rPr>
                <w:rFonts w:ascii="Times New Roman" w:eastAsia="Calibri" w:hAnsi="Times New Roman" w:cs="Times New Roman"/>
                <w:b/>
                <w:bCs/>
                <w:sz w:val="16"/>
                <w:szCs w:val="16"/>
              </w:rPr>
            </w:pPr>
            <w:r w:rsidRPr="002A2C22">
              <w:rPr>
                <w:rFonts w:ascii="Times New Roman" w:eastAsia="Calibri" w:hAnsi="Times New Roman" w:cs="Times New Roman"/>
                <w:b/>
                <w:bCs/>
                <w:sz w:val="16"/>
                <w:szCs w:val="16"/>
              </w:rPr>
              <w:t>Yabanoğlu 2015</w:t>
            </w:r>
          </w:p>
        </w:tc>
        <w:tc>
          <w:tcPr>
            <w:tcW w:w="4357" w:type="dxa"/>
            <w:shd w:val="clear" w:color="auto" w:fill="F2F2F2" w:themeFill="background1" w:themeFillShade="F2"/>
          </w:tcPr>
          <w:p w14:paraId="67049C32" w14:textId="77777777" w:rsidR="00511E5C" w:rsidRPr="002A2C22" w:rsidRDefault="00511E5C" w:rsidP="00511E5C">
            <w:pPr>
              <w:rPr>
                <w:rFonts w:ascii="Times New Roman" w:eastAsia="Calibri" w:hAnsi="Times New Roman" w:cs="Times New Roman"/>
                <w:sz w:val="16"/>
                <w:szCs w:val="16"/>
              </w:rPr>
            </w:pPr>
            <w:r w:rsidRPr="002A2C22">
              <w:rPr>
                <w:rFonts w:ascii="Times New Roman" w:eastAsia="Calibri" w:hAnsi="Times New Roman" w:cs="Times New Roman"/>
                <w:sz w:val="16"/>
                <w:szCs w:val="16"/>
              </w:rPr>
              <w:t>In group 1 (n = 26), the synthetic mesh was soaked in 0.9% saline solution</w:t>
            </w:r>
          </w:p>
          <w:p w14:paraId="36E90C79" w14:textId="77777777" w:rsidR="00511E5C" w:rsidRPr="002A2C22" w:rsidRDefault="00511E5C" w:rsidP="00511E5C">
            <w:pPr>
              <w:rPr>
                <w:rFonts w:ascii="Times New Roman" w:eastAsia="Calibri" w:hAnsi="Times New Roman" w:cs="Times New Roman"/>
                <w:sz w:val="16"/>
                <w:szCs w:val="16"/>
              </w:rPr>
            </w:pPr>
            <w:r w:rsidRPr="002A2C22">
              <w:rPr>
                <w:rFonts w:ascii="Times New Roman" w:eastAsia="Calibri" w:hAnsi="Times New Roman" w:cs="Times New Roman"/>
                <w:sz w:val="16"/>
                <w:szCs w:val="16"/>
              </w:rPr>
              <w:t>15 minutes before implantation. In group 2 (n = 26), the synthetic mesh was soaked in Vancomycin solution (10 mg/mL) 15 minutes before implantation.</w:t>
            </w:r>
          </w:p>
        </w:tc>
        <w:tc>
          <w:tcPr>
            <w:tcW w:w="2268" w:type="dxa"/>
            <w:shd w:val="clear" w:color="auto" w:fill="F2F2F2" w:themeFill="background1" w:themeFillShade="F2"/>
          </w:tcPr>
          <w:p w14:paraId="25903D6C" w14:textId="77777777" w:rsidR="00511E5C" w:rsidRPr="00033509" w:rsidRDefault="00511E5C" w:rsidP="00511E5C">
            <w:pPr>
              <w:rPr>
                <w:rFonts w:ascii="Times New Roman" w:eastAsia="Calibri" w:hAnsi="Times New Roman" w:cs="Times New Roman"/>
                <w:sz w:val="16"/>
                <w:szCs w:val="16"/>
              </w:rPr>
            </w:pPr>
            <w:proofErr w:type="spellStart"/>
            <w:r w:rsidRPr="00033509">
              <w:rPr>
                <w:rFonts w:ascii="Times New Roman" w:eastAsia="Calibri" w:hAnsi="Times New Roman" w:cs="Times New Roman"/>
                <w:sz w:val="16"/>
                <w:szCs w:val="16"/>
              </w:rPr>
              <w:t>Onlay</w:t>
            </w:r>
            <w:proofErr w:type="spellEnd"/>
            <w:r w:rsidRPr="00033509">
              <w:rPr>
                <w:rFonts w:ascii="Times New Roman" w:eastAsia="Calibri" w:hAnsi="Times New Roman" w:cs="Times New Roman"/>
                <w:sz w:val="16"/>
                <w:szCs w:val="16"/>
              </w:rPr>
              <w:t xml:space="preserve"> 5 (9.6)</w:t>
            </w:r>
          </w:p>
          <w:p w14:paraId="29912C4E" w14:textId="77777777" w:rsidR="00511E5C" w:rsidRPr="00033509" w:rsidRDefault="00511E5C" w:rsidP="00511E5C">
            <w:pPr>
              <w:rPr>
                <w:rFonts w:ascii="Times New Roman" w:eastAsia="Calibri" w:hAnsi="Times New Roman" w:cs="Times New Roman"/>
                <w:sz w:val="16"/>
                <w:szCs w:val="16"/>
              </w:rPr>
            </w:pPr>
            <w:proofErr w:type="spellStart"/>
            <w:r w:rsidRPr="00033509">
              <w:rPr>
                <w:rFonts w:ascii="Times New Roman" w:eastAsia="Calibri" w:hAnsi="Times New Roman" w:cs="Times New Roman"/>
                <w:sz w:val="16"/>
                <w:szCs w:val="16"/>
              </w:rPr>
              <w:t>Sublay</w:t>
            </w:r>
            <w:proofErr w:type="spellEnd"/>
            <w:r w:rsidRPr="00033509">
              <w:rPr>
                <w:rFonts w:ascii="Times New Roman" w:eastAsia="Calibri" w:hAnsi="Times New Roman" w:cs="Times New Roman"/>
                <w:sz w:val="16"/>
                <w:szCs w:val="16"/>
              </w:rPr>
              <w:t xml:space="preserve"> 47 (90)</w:t>
            </w:r>
          </w:p>
        </w:tc>
        <w:tc>
          <w:tcPr>
            <w:tcW w:w="2410" w:type="dxa"/>
            <w:shd w:val="clear" w:color="auto" w:fill="F2F2F2" w:themeFill="background1" w:themeFillShade="F2"/>
          </w:tcPr>
          <w:p w14:paraId="415D7E88" w14:textId="77777777" w:rsidR="00511E5C" w:rsidRPr="002A2C22" w:rsidRDefault="00511E5C" w:rsidP="00511E5C">
            <w:pPr>
              <w:rPr>
                <w:rFonts w:ascii="Times New Roman" w:eastAsia="Calibri" w:hAnsi="Times New Roman" w:cs="Times New Roman"/>
                <w:sz w:val="16"/>
                <w:szCs w:val="16"/>
              </w:rPr>
            </w:pPr>
            <w:r w:rsidRPr="002A2C22">
              <w:rPr>
                <w:rFonts w:ascii="Times New Roman" w:eastAsia="Calibri" w:hAnsi="Times New Roman" w:cs="Times New Roman"/>
                <w:sz w:val="16"/>
                <w:szCs w:val="16"/>
              </w:rPr>
              <w:t>All patients received antibiotic prophylaxis prior to the operation, before entering the operating room (2 g first-generation cephalosporin (</w:t>
            </w:r>
            <w:proofErr w:type="spellStart"/>
            <w:r w:rsidRPr="002A2C22">
              <w:rPr>
                <w:rFonts w:ascii="Times New Roman" w:eastAsia="Calibri" w:hAnsi="Times New Roman" w:cs="Times New Roman"/>
                <w:sz w:val="16"/>
                <w:szCs w:val="16"/>
              </w:rPr>
              <w:t>Sefazol</w:t>
            </w:r>
            <w:proofErr w:type="spellEnd"/>
            <w:r w:rsidRPr="002A2C22">
              <w:rPr>
                <w:rFonts w:ascii="Times New Roman" w:eastAsia="Calibri" w:hAnsi="Times New Roman" w:cs="Times New Roman"/>
                <w:sz w:val="16"/>
                <w:szCs w:val="16"/>
              </w:rPr>
              <w:t xml:space="preserve">, Mustafa </w:t>
            </w:r>
            <w:proofErr w:type="spellStart"/>
            <w:r w:rsidRPr="002A2C22">
              <w:rPr>
                <w:rFonts w:ascii="Times New Roman" w:eastAsia="Calibri" w:hAnsi="Times New Roman" w:cs="Times New Roman"/>
                <w:sz w:val="16"/>
                <w:szCs w:val="16"/>
              </w:rPr>
              <w:t>Nevzat</w:t>
            </w:r>
            <w:proofErr w:type="spellEnd"/>
            <w:r w:rsidRPr="002A2C22">
              <w:rPr>
                <w:rFonts w:ascii="Times New Roman" w:eastAsia="Calibri" w:hAnsi="Times New Roman" w:cs="Times New Roman"/>
                <w:sz w:val="16"/>
                <w:szCs w:val="16"/>
              </w:rPr>
              <w:t>, Istanbul, Turkey).</w:t>
            </w:r>
          </w:p>
        </w:tc>
      </w:tr>
      <w:tr w:rsidR="00511E5C" w:rsidRPr="002A2C22" w14:paraId="0EB524CD" w14:textId="77777777" w:rsidTr="00D82BB5">
        <w:trPr>
          <w:trHeight w:val="245"/>
        </w:trPr>
        <w:tc>
          <w:tcPr>
            <w:tcW w:w="10185" w:type="dxa"/>
            <w:gridSpan w:val="4"/>
          </w:tcPr>
          <w:p w14:paraId="40D6EE5C" w14:textId="77777777" w:rsidR="00511E5C" w:rsidRPr="002A2C22" w:rsidRDefault="00511E5C" w:rsidP="00511E5C">
            <w:pPr>
              <w:rPr>
                <w:rFonts w:ascii="Times New Roman" w:eastAsia="Calibri" w:hAnsi="Times New Roman" w:cs="Times New Roman"/>
                <w:sz w:val="16"/>
                <w:szCs w:val="16"/>
              </w:rPr>
            </w:pPr>
          </w:p>
          <w:p w14:paraId="10830DCD" w14:textId="77777777" w:rsidR="00511E5C" w:rsidRPr="002A2C22" w:rsidRDefault="00511E5C" w:rsidP="00511E5C">
            <w:pPr>
              <w:rPr>
                <w:rFonts w:ascii="Times New Roman" w:eastAsia="Calibri" w:hAnsi="Times New Roman" w:cs="Times New Roman"/>
                <w:sz w:val="16"/>
                <w:szCs w:val="16"/>
              </w:rPr>
            </w:pPr>
            <w:r>
              <w:rPr>
                <w:rFonts w:ascii="Times New Roman" w:eastAsia="Calibri" w:hAnsi="Times New Roman" w:cs="Times New Roman"/>
                <w:sz w:val="16"/>
                <w:szCs w:val="16"/>
              </w:rPr>
              <w:t>A</w:t>
            </w:r>
            <w:r w:rsidRPr="002A2C22">
              <w:rPr>
                <w:rFonts w:ascii="Times New Roman" w:eastAsia="Calibri" w:hAnsi="Times New Roman" w:cs="Times New Roman"/>
                <w:sz w:val="16"/>
                <w:szCs w:val="16"/>
              </w:rPr>
              <w:t>cellular porcine dermal matrix. (AC-PDM), Calcium Sulfate Antibiotic Beads (CSAB), Not Reported (NR), porcine dermal matrix (PDM)</w:t>
            </w:r>
          </w:p>
        </w:tc>
      </w:tr>
    </w:tbl>
    <w:p w14:paraId="56519035" w14:textId="77777777" w:rsidR="001E13F5" w:rsidRDefault="001E13F5" w:rsidP="001E13F5">
      <w:pPr>
        <w:rPr>
          <w:rFonts w:ascii="Times New Roman" w:hAnsi="Times New Roman" w:cs="Times New Roman"/>
          <w:sz w:val="26"/>
          <w:szCs w:val="26"/>
        </w:rPr>
      </w:pPr>
    </w:p>
    <w:p w14:paraId="121622E3" w14:textId="77777777" w:rsidR="00475C09" w:rsidRDefault="00475C09"/>
    <w:sectPr w:rsidR="00475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863180fb">
    <w:altName w:val="Cambria"/>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1"/>
    <w:rsid w:val="00033509"/>
    <w:rsid w:val="000F29B9"/>
    <w:rsid w:val="001E13F5"/>
    <w:rsid w:val="002174FF"/>
    <w:rsid w:val="00265AA3"/>
    <w:rsid w:val="003279FD"/>
    <w:rsid w:val="00475C09"/>
    <w:rsid w:val="00511E5C"/>
    <w:rsid w:val="005B40C3"/>
    <w:rsid w:val="005B4ADA"/>
    <w:rsid w:val="00672986"/>
    <w:rsid w:val="006E4E48"/>
    <w:rsid w:val="00723478"/>
    <w:rsid w:val="0088205C"/>
    <w:rsid w:val="009E3DE0"/>
    <w:rsid w:val="00A270D0"/>
    <w:rsid w:val="00B3734E"/>
    <w:rsid w:val="00BA5B21"/>
    <w:rsid w:val="00BD1FDA"/>
    <w:rsid w:val="00C955C8"/>
    <w:rsid w:val="00CB62EA"/>
    <w:rsid w:val="00CB6F90"/>
    <w:rsid w:val="00CD46F0"/>
    <w:rsid w:val="00D52E27"/>
    <w:rsid w:val="00D82BB5"/>
    <w:rsid w:val="00EB05D3"/>
    <w:rsid w:val="00F20BF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38F58"/>
  <w15:chartTrackingRefBased/>
  <w15:docId w15:val="{29C573B8-6A03-4D60-9AB7-38C1406D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rsid w:val="001E13F5"/>
    <w:pPr>
      <w:keepNext/>
      <w:keepLines/>
      <w:spacing w:before="240" w:after="0" w:line="48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3F5"/>
    <w:rPr>
      <w:rFonts w:asciiTheme="majorHAnsi" w:eastAsiaTheme="majorEastAsia" w:hAnsiTheme="majorHAnsi" w:cstheme="majorBidi"/>
      <w:color w:val="2E74B5" w:themeColor="accent1" w:themeShade="BF"/>
      <w:sz w:val="32"/>
      <w:szCs w:val="32"/>
      <w:lang w:val="en-US"/>
    </w:rPr>
  </w:style>
  <w:style w:type="table" w:customStyle="1" w:styleId="Tabelraster1">
    <w:name w:val="Tabelraster1"/>
    <w:basedOn w:val="TableNormal"/>
    <w:next w:val="TableGrid"/>
    <w:uiPriority w:val="39"/>
    <w:rsid w:val="001E13F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E1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4ADA"/>
    <w:pPr>
      <w:spacing w:after="0" w:line="240" w:lineRule="auto"/>
    </w:pPr>
    <w:rPr>
      <w:lang w:val="en-US"/>
    </w:rPr>
  </w:style>
  <w:style w:type="paragraph" w:styleId="BalloonText">
    <w:name w:val="Balloon Text"/>
    <w:basedOn w:val="Normal"/>
    <w:link w:val="BalloonTextChar"/>
    <w:uiPriority w:val="99"/>
    <w:semiHidden/>
    <w:unhideWhenUsed/>
    <w:rsid w:val="00033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50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1185</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AMC</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Bontekoning, N.</dc:creator>
  <cp:keywords/>
  <dc:description/>
  <cp:lastModifiedBy>Bontekoning, N.</cp:lastModifiedBy>
  <cp:revision>5</cp:revision>
  <dcterms:created xsi:type="dcterms:W3CDTF">2024-01-18T09:00:00Z</dcterms:created>
  <dcterms:modified xsi:type="dcterms:W3CDTF">2024-01-24T15:24:00Z</dcterms:modified>
</cp:coreProperties>
</file>