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7055" w:rsidRPr="00877055" w:rsidRDefault="00877055" w:rsidP="00877055">
      <w:pPr>
        <w:spacing w:line="480" w:lineRule="auto"/>
        <w:rPr>
          <w:rFonts w:ascii="Times New Roman" w:hAnsi="Times New Roman" w:cs="Times New Roman"/>
          <w:b/>
          <w:sz w:val="20"/>
          <w:szCs w:val="20"/>
        </w:rPr>
      </w:pPr>
      <w:r w:rsidRPr="00877055">
        <w:rPr>
          <w:rFonts w:ascii="Times New Roman" w:hAnsi="Times New Roman" w:cs="Times New Roman"/>
          <w:b/>
          <w:sz w:val="20"/>
          <w:szCs w:val="20"/>
        </w:rPr>
        <w:t>Topical Antimicrobial Treatment of Mesh for the Reduction of Surgical Site Infections after Hernia Repair</w:t>
      </w:r>
    </w:p>
    <w:p w:rsidR="00877055" w:rsidRPr="00877055" w:rsidRDefault="00877055" w:rsidP="00877055">
      <w:pPr>
        <w:spacing w:line="480" w:lineRule="auto"/>
        <w:rPr>
          <w:rFonts w:ascii="Times New Roman" w:hAnsi="Times New Roman" w:cs="Times New Roman"/>
          <w:sz w:val="20"/>
          <w:szCs w:val="20"/>
        </w:rPr>
      </w:pPr>
      <w:r w:rsidRPr="00877055">
        <w:rPr>
          <w:rFonts w:ascii="Times New Roman" w:hAnsi="Times New Roman" w:cs="Times New Roman"/>
          <w:sz w:val="20"/>
          <w:szCs w:val="20"/>
        </w:rPr>
        <w:t>A Systematic Review and Meta-Analysis</w:t>
      </w:r>
    </w:p>
    <w:p w:rsidR="00877055" w:rsidRPr="00B220B4" w:rsidRDefault="00877055" w:rsidP="00877055">
      <w:pPr>
        <w:spacing w:line="480" w:lineRule="auto"/>
        <w:rPr>
          <w:rFonts w:ascii="Times New Roman" w:hAnsi="Times New Roman" w:cs="Times New Roman"/>
          <w:b/>
          <w:sz w:val="20"/>
          <w:szCs w:val="20"/>
        </w:rPr>
      </w:pPr>
      <w:r w:rsidRPr="00B220B4">
        <w:rPr>
          <w:rFonts w:ascii="Times New Roman" w:hAnsi="Times New Roman" w:cs="Times New Roman"/>
          <w:b/>
          <w:sz w:val="20"/>
          <w:szCs w:val="20"/>
        </w:rPr>
        <w:t>Hernia</w:t>
      </w:r>
    </w:p>
    <w:p w:rsidR="00475C09" w:rsidRDefault="00475C09">
      <w:pPr>
        <w:rPr>
          <w:rFonts w:ascii="Times New Roman" w:hAnsi="Times New Roman" w:cs="Times New Roman"/>
          <w:sz w:val="20"/>
          <w:szCs w:val="20"/>
        </w:rPr>
      </w:pPr>
    </w:p>
    <w:p w:rsidR="00B220B4" w:rsidRDefault="00B220B4">
      <w:pPr>
        <w:rPr>
          <w:rFonts w:ascii="Times New Roman" w:hAnsi="Times New Roman" w:cs="Times New Roman"/>
          <w:sz w:val="20"/>
          <w:szCs w:val="20"/>
        </w:rPr>
      </w:pPr>
    </w:p>
    <w:p w:rsidR="00B220B4" w:rsidRDefault="00B220B4">
      <w:pPr>
        <w:rPr>
          <w:rFonts w:ascii="Times New Roman" w:hAnsi="Times New Roman" w:cs="Times New Roman"/>
          <w:sz w:val="20"/>
          <w:szCs w:val="20"/>
        </w:rPr>
      </w:pPr>
    </w:p>
    <w:p w:rsidR="00B220B4" w:rsidRDefault="00B220B4">
      <w:pPr>
        <w:rPr>
          <w:rFonts w:ascii="Times New Roman" w:hAnsi="Times New Roman" w:cs="Times New Roman"/>
          <w:sz w:val="20"/>
          <w:szCs w:val="20"/>
        </w:rPr>
      </w:pPr>
    </w:p>
    <w:p w:rsidR="00B220B4" w:rsidRDefault="00B220B4">
      <w:pPr>
        <w:rPr>
          <w:rFonts w:ascii="Times New Roman" w:hAnsi="Times New Roman" w:cs="Times New Roman"/>
          <w:sz w:val="20"/>
          <w:szCs w:val="20"/>
        </w:rPr>
      </w:pPr>
    </w:p>
    <w:p w:rsidR="00B220B4" w:rsidRDefault="00B220B4">
      <w:pPr>
        <w:rPr>
          <w:rFonts w:ascii="Times New Roman" w:hAnsi="Times New Roman" w:cs="Times New Roman"/>
          <w:sz w:val="20"/>
          <w:szCs w:val="20"/>
        </w:rPr>
      </w:pPr>
    </w:p>
    <w:p w:rsidR="00B220B4" w:rsidRDefault="00B220B4">
      <w:pPr>
        <w:rPr>
          <w:rFonts w:ascii="Times New Roman" w:hAnsi="Times New Roman" w:cs="Times New Roman"/>
          <w:sz w:val="20"/>
          <w:szCs w:val="20"/>
        </w:rPr>
      </w:pPr>
    </w:p>
    <w:p w:rsidR="00B220B4" w:rsidRPr="00B220B4" w:rsidRDefault="00B220B4"/>
    <w:p w:rsidR="00877055" w:rsidRDefault="00877055"/>
    <w:p w:rsidR="00877055" w:rsidRDefault="00877055"/>
    <w:p w:rsidR="00877055" w:rsidRDefault="00877055"/>
    <w:p w:rsidR="00877055" w:rsidRDefault="00877055"/>
    <w:p w:rsidR="00877055" w:rsidRDefault="00877055"/>
    <w:p w:rsidR="00877055" w:rsidRDefault="00877055"/>
    <w:p w:rsidR="00877055" w:rsidRDefault="00877055"/>
    <w:p w:rsidR="00877055" w:rsidRDefault="00877055"/>
    <w:p w:rsidR="006E0495" w:rsidRPr="006E0495" w:rsidRDefault="006E0495" w:rsidP="006E0495">
      <w:pPr>
        <w:rPr>
          <w:rFonts w:ascii="Times New Roman" w:hAnsi="Times New Roman" w:cs="Times New Roman"/>
          <w:b/>
          <w:sz w:val="28"/>
          <w:lang w:val="en-GB"/>
        </w:rPr>
      </w:pPr>
      <w:r w:rsidRPr="006E0495">
        <w:rPr>
          <w:rFonts w:ascii="Times New Roman" w:hAnsi="Times New Roman" w:cs="Times New Roman"/>
          <w:b/>
          <w:sz w:val="28"/>
          <w:lang w:val="en-GB"/>
        </w:rPr>
        <w:lastRenderedPageBreak/>
        <w:t>Online Resource 6. GRADE Assessment</w:t>
      </w:r>
    </w:p>
    <w:p w:rsidR="006E0495" w:rsidRPr="006E0495" w:rsidRDefault="006E0495" w:rsidP="006E0495">
      <w:pPr>
        <w:rPr>
          <w:rFonts w:ascii="Times New Roman" w:hAnsi="Times New Roman" w:cs="Times New Roman"/>
          <w:sz w:val="20"/>
          <w:lang w:val="en-GB"/>
        </w:rPr>
      </w:pPr>
      <w:r w:rsidRPr="006E0495">
        <w:rPr>
          <w:rFonts w:ascii="Times New Roman" w:hAnsi="Times New Roman" w:cs="Times New Roman"/>
          <w:sz w:val="20"/>
          <w:lang w:val="en-GB"/>
        </w:rPr>
        <w:t>The Grading of Recommendation, Assessment, Development and Evaluation (GRADE) approach was used to grade certainty of evidence using a minimally contextualized approach on the following five domains: risk of bias, inconsistency, indirectness, imprecision and publication bias</w:t>
      </w:r>
      <w:r>
        <w:rPr>
          <w:rFonts w:ascii="Times New Roman" w:hAnsi="Times New Roman" w:cs="Times New Roman"/>
          <w:sz w:val="20"/>
          <w:lang w:val="en-GB"/>
        </w:rPr>
        <w:t xml:space="preserve"> </w:t>
      </w:r>
      <w:r>
        <w:rPr>
          <w:rFonts w:ascii="Times New Roman" w:hAnsi="Times New Roman" w:cs="Times New Roman"/>
          <w:sz w:val="20"/>
          <w:lang w:val="en-GB"/>
        </w:rPr>
        <w:fldChar w:fldCharType="begin"/>
      </w:r>
      <w:r w:rsidR="005F1D8C">
        <w:rPr>
          <w:rFonts w:ascii="Times New Roman" w:hAnsi="Times New Roman" w:cs="Times New Roman"/>
          <w:sz w:val="20"/>
          <w:lang w:val="en-GB"/>
        </w:rPr>
        <w:instrText xml:space="preserve"> ADDIN EN.CITE &lt;EndNote&gt;&lt;Cite&gt;&lt;Author&gt;Schünemann HB&lt;/Author&gt;&lt;Year&gt;2013&lt;/Year&gt;&lt;RecNum&gt;63&lt;/RecNum&gt;&lt;DisplayText&gt;[1]&lt;/DisplayText&gt;&lt;record&gt;&lt;rec-number&gt;63&lt;/rec-number&gt;&lt;foreign-keys&gt;&lt;key app="EN" db-id="swts590ewvvwwmezazpxxdvwzfw5fz0ttxpt" timestamp="1701428287"&gt;63&lt;/key&gt;&lt;/foreign-keys&gt;&lt;ref-type name="Web Page"&gt;12&lt;/ref-type&gt;&lt;contributors&gt;&lt;authors&gt;&lt;author&gt;Schünemann HB, J.; Guyatt, G.; Oxman, A. &lt;/author&gt;&lt;/authors&gt;&lt;/contributors&gt;&lt;titles&gt;&lt;title&gt;GRADE Handbook for grading quality of evidence and strength of recommendations. Updated October 2013&lt;/title&gt;&lt;/titles&gt;&lt;volume&gt;2023&lt;/volume&gt;&lt;number&gt;29 November&lt;/number&gt;&lt;dates&gt;&lt;year&gt;2013&lt;/year&gt;&lt;/dates&gt;&lt;urls&gt;&lt;related-urls&gt;&lt;url&gt;https://gdt.gradepro.org/app/handbook/handbook.html&lt;/url&gt;&lt;/related-urls&gt;&lt;/urls&gt;&lt;/record&gt;&lt;/Cite&gt;&lt;/EndNote&gt;</w:instrText>
      </w:r>
      <w:r>
        <w:rPr>
          <w:rFonts w:ascii="Times New Roman" w:hAnsi="Times New Roman" w:cs="Times New Roman"/>
          <w:sz w:val="20"/>
          <w:lang w:val="en-GB"/>
        </w:rPr>
        <w:fldChar w:fldCharType="separate"/>
      </w:r>
      <w:r>
        <w:rPr>
          <w:rFonts w:ascii="Times New Roman" w:hAnsi="Times New Roman" w:cs="Times New Roman"/>
          <w:noProof/>
          <w:sz w:val="20"/>
          <w:lang w:val="en-GB"/>
        </w:rPr>
        <w:t>[1]</w:t>
      </w:r>
      <w:r>
        <w:rPr>
          <w:rFonts w:ascii="Times New Roman" w:hAnsi="Times New Roman" w:cs="Times New Roman"/>
          <w:sz w:val="20"/>
          <w:lang w:val="en-GB"/>
        </w:rPr>
        <w:fldChar w:fldCharType="end"/>
      </w:r>
      <w:r w:rsidRPr="006E0495">
        <w:rPr>
          <w:rFonts w:ascii="Times New Roman" w:hAnsi="Times New Roman" w:cs="Times New Roman"/>
          <w:sz w:val="20"/>
          <w:lang w:val="en-GB"/>
        </w:rPr>
        <w:t>. The minimally important difference was defined as 1.15% based on the default for appreciable benefit and harm of 25% and the SSI incidence of 4.6% in data of present meta-analysis of included RCTs for patients with</w:t>
      </w:r>
      <w:r>
        <w:rPr>
          <w:rFonts w:ascii="Times New Roman" w:hAnsi="Times New Roman" w:cs="Times New Roman"/>
          <w:sz w:val="20"/>
          <w:lang w:val="en-GB"/>
        </w:rPr>
        <w:t xml:space="preserve">out antibiotic mesh treatment </w:t>
      </w:r>
      <w:r>
        <w:rPr>
          <w:rFonts w:ascii="Times New Roman" w:hAnsi="Times New Roman" w:cs="Times New Roman"/>
          <w:sz w:val="20"/>
          <w:lang w:val="en-GB"/>
        </w:rPr>
        <w:fldChar w:fldCharType="begin">
          <w:fldData xml:space="preserve">PEVuZE5vdGU+PENpdGU+PEF1dGhvcj5aZW5nPC9BdXRob3I+PFllYXI+MjAyMTwvWWVhcj48UmVj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</w:fldData>
        </w:fldChar>
      </w:r>
      <w:r w:rsidR="005F1D8C">
        <w:rPr>
          <w:rFonts w:ascii="Times New Roman" w:hAnsi="Times New Roman" w:cs="Times New Roman"/>
          <w:sz w:val="20"/>
          <w:lang w:val="en-GB"/>
        </w:rPr>
        <w:instrText xml:space="preserve"> ADDIN EN.CITE </w:instrText>
      </w:r>
      <w:r w:rsidR="005F1D8C">
        <w:rPr>
          <w:rFonts w:ascii="Times New Roman" w:hAnsi="Times New Roman" w:cs="Times New Roman"/>
          <w:sz w:val="20"/>
          <w:lang w:val="en-GB"/>
        </w:rPr>
        <w:fldChar w:fldCharType="begin">
          <w:fldData xml:space="preserve">PEVuZE5vdGU+PENpdGU+PEF1dGhvcj5aZW5nPC9BdXRob3I+PFllYXI+MjAyMTwvWWVhcj48UmVj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</w:fldData>
        </w:fldChar>
      </w:r>
      <w:r w:rsidR="005F1D8C">
        <w:rPr>
          <w:rFonts w:ascii="Times New Roman" w:hAnsi="Times New Roman" w:cs="Times New Roman"/>
          <w:sz w:val="20"/>
          <w:lang w:val="en-GB"/>
        </w:rPr>
        <w:instrText xml:space="preserve"> ADDIN EN.CITE.DATA </w:instrText>
      </w:r>
      <w:r w:rsidR="005F1D8C">
        <w:rPr>
          <w:rFonts w:ascii="Times New Roman" w:hAnsi="Times New Roman" w:cs="Times New Roman"/>
          <w:sz w:val="20"/>
          <w:lang w:val="en-GB"/>
        </w:rPr>
      </w:r>
      <w:r w:rsidR="005F1D8C">
        <w:rPr>
          <w:rFonts w:ascii="Times New Roman" w:hAnsi="Times New Roman" w:cs="Times New Roman"/>
          <w:sz w:val="20"/>
          <w:lang w:val="en-GB"/>
        </w:rPr>
        <w:fldChar w:fldCharType="end"/>
      </w:r>
      <w:r>
        <w:rPr>
          <w:rFonts w:ascii="Times New Roman" w:hAnsi="Times New Roman" w:cs="Times New Roman"/>
          <w:sz w:val="20"/>
          <w:lang w:val="en-GB"/>
        </w:rPr>
        <w:fldChar w:fldCharType="separate"/>
      </w:r>
      <w:r>
        <w:rPr>
          <w:rFonts w:ascii="Times New Roman" w:hAnsi="Times New Roman" w:cs="Times New Roman"/>
          <w:noProof/>
          <w:sz w:val="20"/>
          <w:lang w:val="en-GB"/>
        </w:rPr>
        <w:t>[2]</w:t>
      </w:r>
      <w:r>
        <w:rPr>
          <w:rFonts w:ascii="Times New Roman" w:hAnsi="Times New Roman" w:cs="Times New Roman"/>
          <w:sz w:val="20"/>
          <w:lang w:val="en-GB"/>
        </w:rPr>
        <w:fldChar w:fldCharType="end"/>
      </w:r>
      <w:r>
        <w:rPr>
          <w:rFonts w:ascii="Times New Roman" w:hAnsi="Times New Roman" w:cs="Times New Roman"/>
          <w:sz w:val="20"/>
          <w:lang w:val="en-GB"/>
        </w:rPr>
        <w:t xml:space="preserve">. </w:t>
      </w:r>
      <w:r w:rsidRPr="006E0495">
        <w:rPr>
          <w:rFonts w:ascii="Times New Roman" w:hAnsi="Times New Roman" w:cs="Times New Roman"/>
          <w:sz w:val="20"/>
          <w:lang w:val="en-GB"/>
        </w:rPr>
        <w:t>We evaluated imprecision taking the minimally important differences into account. In case of large effects, the optimal information size approach was used by calculating the ratio of the upper to the lower boundary of the confidence interval with a threshold for</w:t>
      </w:r>
      <w:r>
        <w:rPr>
          <w:rFonts w:ascii="Times New Roman" w:hAnsi="Times New Roman" w:cs="Times New Roman"/>
          <w:sz w:val="20"/>
          <w:lang w:val="en-GB"/>
        </w:rPr>
        <w:t xml:space="preserve"> downgrading of 2.5 </w:t>
      </w:r>
      <w:r>
        <w:rPr>
          <w:rFonts w:ascii="Times New Roman" w:hAnsi="Times New Roman" w:cs="Times New Roman"/>
          <w:sz w:val="20"/>
          <w:lang w:val="en-GB"/>
        </w:rPr>
        <w:fldChar w:fldCharType="begin">
          <w:fldData xml:space="preserve">PEVuZE5vdGU+PENpdGU+PEF1dGhvcj5aZW5nPC9BdXRob3I+PFllYXI+MjAyMjwvWWVhcj48UmVj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</w:fldData>
        </w:fldChar>
      </w:r>
      <w:r w:rsidR="005F1D8C">
        <w:rPr>
          <w:rFonts w:ascii="Times New Roman" w:hAnsi="Times New Roman" w:cs="Times New Roman"/>
          <w:sz w:val="20"/>
          <w:lang w:val="en-GB"/>
        </w:rPr>
        <w:instrText xml:space="preserve"> ADDIN EN.CITE </w:instrText>
      </w:r>
      <w:r w:rsidR="005F1D8C">
        <w:rPr>
          <w:rFonts w:ascii="Times New Roman" w:hAnsi="Times New Roman" w:cs="Times New Roman"/>
          <w:sz w:val="20"/>
          <w:lang w:val="en-GB"/>
        </w:rPr>
        <w:fldChar w:fldCharType="begin">
          <w:fldData xml:space="preserve">PEVuZE5vdGU+PENpdGU+PEF1dGhvcj5aZW5nPC9BdXRob3I+PFllYXI+MjAyMjwvWWVhcj48UmVj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</w:fldData>
        </w:fldChar>
      </w:r>
      <w:r w:rsidR="005F1D8C">
        <w:rPr>
          <w:rFonts w:ascii="Times New Roman" w:hAnsi="Times New Roman" w:cs="Times New Roman"/>
          <w:sz w:val="20"/>
          <w:lang w:val="en-GB"/>
        </w:rPr>
        <w:instrText xml:space="preserve"> ADDIN EN.CITE.DATA </w:instrText>
      </w:r>
      <w:r w:rsidR="005F1D8C">
        <w:rPr>
          <w:rFonts w:ascii="Times New Roman" w:hAnsi="Times New Roman" w:cs="Times New Roman"/>
          <w:sz w:val="20"/>
          <w:lang w:val="en-GB"/>
        </w:rPr>
      </w:r>
      <w:r w:rsidR="005F1D8C">
        <w:rPr>
          <w:rFonts w:ascii="Times New Roman" w:hAnsi="Times New Roman" w:cs="Times New Roman"/>
          <w:sz w:val="20"/>
          <w:lang w:val="en-GB"/>
        </w:rPr>
        <w:fldChar w:fldCharType="end"/>
      </w:r>
      <w:r>
        <w:rPr>
          <w:rFonts w:ascii="Times New Roman" w:hAnsi="Times New Roman" w:cs="Times New Roman"/>
          <w:sz w:val="20"/>
          <w:lang w:val="en-GB"/>
        </w:rPr>
        <w:fldChar w:fldCharType="separate"/>
      </w:r>
      <w:r>
        <w:rPr>
          <w:rFonts w:ascii="Times New Roman" w:hAnsi="Times New Roman" w:cs="Times New Roman"/>
          <w:noProof/>
          <w:sz w:val="20"/>
          <w:lang w:val="en-GB"/>
        </w:rPr>
        <w:t>[3]</w:t>
      </w:r>
      <w:r>
        <w:rPr>
          <w:rFonts w:ascii="Times New Roman" w:hAnsi="Times New Roman" w:cs="Times New Roman"/>
          <w:sz w:val="20"/>
          <w:lang w:val="en-GB"/>
        </w:rPr>
        <w:fldChar w:fldCharType="end"/>
      </w:r>
      <w:r>
        <w:rPr>
          <w:rFonts w:ascii="Times New Roman" w:hAnsi="Times New Roman" w:cs="Times New Roman"/>
          <w:sz w:val="20"/>
          <w:lang w:val="en-GB"/>
        </w:rPr>
        <w:t>.</w:t>
      </w:r>
    </w:p>
    <w:p w:rsidR="006E0495" w:rsidRPr="006E0495" w:rsidRDefault="006E0495" w:rsidP="006E0495">
      <w:pPr>
        <w:rPr>
          <w:rFonts w:ascii="Times New Roman" w:hAnsi="Times New Roman" w:cs="Times New Roman"/>
          <w:sz w:val="20"/>
          <w:lang w:val="en-GB"/>
        </w:rPr>
      </w:pPr>
      <w:r w:rsidRPr="006E0495">
        <w:rPr>
          <w:rFonts w:ascii="Times New Roman" w:hAnsi="Times New Roman" w:cs="Times New Roman"/>
          <w:sz w:val="20"/>
          <w:lang w:val="en-GB"/>
        </w:rPr>
        <w:t>Since all included studies are randomized controlled trials, the starting certainty of evidence was high.  Downgrading can be necessary due to the following reasons:</w:t>
      </w:r>
    </w:p>
    <w:p w:rsidR="006E0495" w:rsidRPr="006E0495" w:rsidRDefault="006E0495" w:rsidP="006E0495">
      <w:pPr>
        <w:pStyle w:val="ListParagraph"/>
        <w:numPr>
          <w:ilvl w:val="0"/>
          <w:numId w:val="1"/>
        </w:numPr>
        <w:rPr>
          <w:rFonts w:ascii="Times New Roman" w:hAnsi="Times New Roman" w:cs="Times New Roman"/>
          <w:sz w:val="20"/>
          <w:lang w:val="en-GB"/>
        </w:rPr>
      </w:pPr>
      <w:r w:rsidRPr="006E0495">
        <w:rPr>
          <w:rFonts w:ascii="Times New Roman" w:hAnsi="Times New Roman" w:cs="Times New Roman"/>
          <w:sz w:val="20"/>
          <w:lang w:val="en-GB"/>
        </w:rPr>
        <w:t>Risk of bias</w:t>
      </w:r>
    </w:p>
    <w:p w:rsidR="006E0495" w:rsidRPr="006E0495" w:rsidRDefault="006E0495" w:rsidP="006E0495">
      <w:pPr>
        <w:pStyle w:val="ListParagraph"/>
        <w:rPr>
          <w:rFonts w:ascii="Times New Roman" w:hAnsi="Times New Roman" w:cs="Times New Roman"/>
          <w:sz w:val="20"/>
          <w:lang w:val="en-GB"/>
        </w:rPr>
      </w:pPr>
      <w:r w:rsidRPr="006E0495">
        <w:rPr>
          <w:rFonts w:ascii="Times New Roman" w:hAnsi="Times New Roman" w:cs="Times New Roman"/>
          <w:sz w:val="20"/>
          <w:lang w:val="en-GB"/>
        </w:rPr>
        <w:t>Of the 4 included studies in the meta-analysis, there was one study with high risk of bias. We performed a sensitivity analysis excluding the study with high risk of bias. The results were comparable to the overall analysis (RR 0.91; 95% CI 0.32-2.58), and downgrading for risk of bias was not necessary.</w:t>
      </w:r>
    </w:p>
    <w:p w:rsidR="006E0495" w:rsidRPr="006E0495" w:rsidRDefault="006E0495" w:rsidP="006E0495">
      <w:pPr>
        <w:pStyle w:val="ListParagraph"/>
        <w:numPr>
          <w:ilvl w:val="0"/>
          <w:numId w:val="1"/>
        </w:numPr>
        <w:rPr>
          <w:rFonts w:ascii="Times New Roman" w:hAnsi="Times New Roman" w:cs="Times New Roman"/>
          <w:sz w:val="20"/>
          <w:lang w:val="en-GB"/>
        </w:rPr>
      </w:pPr>
      <w:r w:rsidRPr="006E0495">
        <w:rPr>
          <w:rFonts w:ascii="Times New Roman" w:hAnsi="Times New Roman" w:cs="Times New Roman"/>
          <w:sz w:val="20"/>
          <w:lang w:val="en-GB"/>
        </w:rPr>
        <w:t>Inconsistency</w:t>
      </w:r>
      <w:r w:rsidRPr="006E0495">
        <w:rPr>
          <w:rFonts w:ascii="Times New Roman" w:hAnsi="Times New Roman" w:cs="Times New Roman"/>
          <w:sz w:val="20"/>
          <w:lang w:val="en-GB"/>
        </w:rPr>
        <w:br/>
        <w:t>For inconsistency -1 downgrade was necessary (</w:t>
      </w:r>
      <w:r w:rsidRPr="006E0495">
        <w:rPr>
          <w:rFonts w:ascii="Times New Roman" w:hAnsi="Times New Roman" w:cs="Times New Roman"/>
          <w:i/>
          <w:sz w:val="20"/>
          <w:lang w:val="en-GB"/>
        </w:rPr>
        <w:t>I</w:t>
      </w:r>
      <w:r w:rsidRPr="006E0495">
        <w:rPr>
          <w:rFonts w:ascii="Times New Roman" w:hAnsi="Times New Roman" w:cs="Times New Roman"/>
          <w:sz w:val="20"/>
          <w:vertAlign w:val="superscript"/>
          <w:lang w:val="en-GB"/>
        </w:rPr>
        <w:t>2</w:t>
      </w:r>
      <w:r w:rsidRPr="006E0495">
        <w:rPr>
          <w:rFonts w:ascii="Times New Roman" w:hAnsi="Times New Roman" w:cs="Times New Roman"/>
          <w:sz w:val="20"/>
          <w:lang w:val="en-GB"/>
        </w:rPr>
        <w:t xml:space="preserve"> = 50%, </w:t>
      </w:r>
      <w:r>
        <w:rPr>
          <w:rFonts w:ascii="Times New Roman" w:hAnsi="Times New Roman" w:cs="Times New Roman"/>
          <w:sz w:val="20"/>
          <w:lang w:val="en-GB"/>
        </w:rPr>
        <w:t>τ</w:t>
      </w:r>
      <w:r w:rsidRPr="006E0495">
        <w:rPr>
          <w:rFonts w:ascii="Times New Roman" w:hAnsi="Times New Roman" w:cs="Times New Roman"/>
          <w:sz w:val="20"/>
          <w:vertAlign w:val="superscript"/>
          <w:lang w:val="en-GB"/>
        </w:rPr>
        <w:t>2</w:t>
      </w:r>
      <w:r w:rsidRPr="006E0495">
        <w:rPr>
          <w:rFonts w:ascii="Times New Roman" w:hAnsi="Times New Roman" w:cs="Times New Roman"/>
          <w:sz w:val="20"/>
          <w:lang w:val="en-GB"/>
        </w:rPr>
        <w:t xml:space="preserve"> = 0.5001).</w:t>
      </w:r>
    </w:p>
    <w:p w:rsidR="006E0495" w:rsidRPr="006E0495" w:rsidRDefault="006E0495" w:rsidP="006E0495">
      <w:pPr>
        <w:pStyle w:val="ListParagraph"/>
        <w:numPr>
          <w:ilvl w:val="0"/>
          <w:numId w:val="1"/>
        </w:numPr>
        <w:rPr>
          <w:rFonts w:ascii="Times New Roman" w:hAnsi="Times New Roman" w:cs="Times New Roman"/>
          <w:sz w:val="20"/>
          <w:lang w:val="en-GB"/>
        </w:rPr>
      </w:pPr>
      <w:r w:rsidRPr="006E0495">
        <w:rPr>
          <w:rFonts w:ascii="Times New Roman" w:hAnsi="Times New Roman" w:cs="Times New Roman"/>
          <w:sz w:val="20"/>
          <w:lang w:val="en-GB"/>
        </w:rPr>
        <w:t>Indirectness</w:t>
      </w:r>
      <w:r w:rsidRPr="006E0495">
        <w:rPr>
          <w:rFonts w:ascii="Times New Roman" w:hAnsi="Times New Roman" w:cs="Times New Roman"/>
          <w:sz w:val="20"/>
          <w:lang w:val="en-GB"/>
        </w:rPr>
        <w:br/>
        <w:t xml:space="preserve">No downgrade was needed, since the body of evidence of the studies does represent the PICO elements </w:t>
      </w:r>
      <w:r>
        <w:rPr>
          <w:rFonts w:ascii="Times New Roman" w:hAnsi="Times New Roman" w:cs="Times New Roman"/>
          <w:sz w:val="20"/>
          <w:lang w:val="en-GB"/>
        </w:rPr>
        <w:t xml:space="preserve">of interest </w:t>
      </w:r>
      <w:r>
        <w:rPr>
          <w:rFonts w:ascii="Times New Roman" w:hAnsi="Times New Roman" w:cs="Times New Roman"/>
          <w:sz w:val="20"/>
          <w:lang w:val="en-GB"/>
        </w:rPr>
        <w:fldChar w:fldCharType="begin">
          <w:fldData xml:space="preserve">PEVuZE5vdGU+PENpdGU+PEF1dGhvcj5aaGFuZzwvQXV0aG9yPjxZZWFyPjIwMTk8L1llYXI+PFJl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</w:fldData>
        </w:fldChar>
      </w:r>
      <w:r w:rsidR="005F1D8C">
        <w:rPr>
          <w:rFonts w:ascii="Times New Roman" w:hAnsi="Times New Roman" w:cs="Times New Roman"/>
          <w:sz w:val="20"/>
          <w:lang w:val="en-GB"/>
        </w:rPr>
        <w:instrText xml:space="preserve"> ADDIN EN.CITE </w:instrText>
      </w:r>
      <w:r w:rsidR="005F1D8C">
        <w:rPr>
          <w:rFonts w:ascii="Times New Roman" w:hAnsi="Times New Roman" w:cs="Times New Roman"/>
          <w:sz w:val="20"/>
          <w:lang w:val="en-GB"/>
        </w:rPr>
        <w:fldChar w:fldCharType="begin">
          <w:fldData xml:space="preserve">PEVuZE5vdGU+PENpdGU+PEF1dGhvcj5aaGFuZzwvQXV0aG9yPjxZZWFyPjIwMTk8L1llYXI+PFJl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</w:fldData>
        </w:fldChar>
      </w:r>
      <w:r w:rsidR="005F1D8C">
        <w:rPr>
          <w:rFonts w:ascii="Times New Roman" w:hAnsi="Times New Roman" w:cs="Times New Roman"/>
          <w:sz w:val="20"/>
          <w:lang w:val="en-GB"/>
        </w:rPr>
        <w:instrText xml:space="preserve"> ADDIN EN.CITE.DATA </w:instrText>
      </w:r>
      <w:r w:rsidR="005F1D8C">
        <w:rPr>
          <w:rFonts w:ascii="Times New Roman" w:hAnsi="Times New Roman" w:cs="Times New Roman"/>
          <w:sz w:val="20"/>
          <w:lang w:val="en-GB"/>
        </w:rPr>
      </w:r>
      <w:r w:rsidR="005F1D8C">
        <w:rPr>
          <w:rFonts w:ascii="Times New Roman" w:hAnsi="Times New Roman" w:cs="Times New Roman"/>
          <w:sz w:val="20"/>
          <w:lang w:val="en-GB"/>
        </w:rPr>
        <w:fldChar w:fldCharType="end"/>
      </w:r>
      <w:r>
        <w:rPr>
          <w:rFonts w:ascii="Times New Roman" w:hAnsi="Times New Roman" w:cs="Times New Roman"/>
          <w:sz w:val="20"/>
          <w:lang w:val="en-GB"/>
        </w:rPr>
        <w:fldChar w:fldCharType="separate"/>
      </w:r>
      <w:r>
        <w:rPr>
          <w:rFonts w:ascii="Times New Roman" w:hAnsi="Times New Roman" w:cs="Times New Roman"/>
          <w:noProof/>
          <w:sz w:val="20"/>
          <w:lang w:val="en-GB"/>
        </w:rPr>
        <w:t>[4]</w:t>
      </w:r>
      <w:r>
        <w:rPr>
          <w:rFonts w:ascii="Times New Roman" w:hAnsi="Times New Roman" w:cs="Times New Roman"/>
          <w:sz w:val="20"/>
          <w:lang w:val="en-GB"/>
        </w:rPr>
        <w:fldChar w:fldCharType="end"/>
      </w:r>
      <w:r>
        <w:rPr>
          <w:rFonts w:ascii="Times New Roman" w:hAnsi="Times New Roman" w:cs="Times New Roman"/>
          <w:sz w:val="20"/>
          <w:lang w:val="en-GB"/>
        </w:rPr>
        <w:t xml:space="preserve">. </w:t>
      </w:r>
    </w:p>
    <w:p w:rsidR="006E0495" w:rsidRPr="006E0495" w:rsidRDefault="006E0495" w:rsidP="006E0495">
      <w:pPr>
        <w:pStyle w:val="ListParagraph"/>
        <w:numPr>
          <w:ilvl w:val="0"/>
          <w:numId w:val="1"/>
        </w:numPr>
        <w:rPr>
          <w:rFonts w:ascii="Times New Roman" w:hAnsi="Times New Roman" w:cs="Times New Roman"/>
          <w:sz w:val="20"/>
          <w:lang w:val="en-GB"/>
        </w:rPr>
      </w:pPr>
      <w:r w:rsidRPr="006E0495">
        <w:rPr>
          <w:rFonts w:ascii="Times New Roman" w:hAnsi="Times New Roman" w:cs="Times New Roman"/>
          <w:sz w:val="20"/>
          <w:lang w:val="en-GB"/>
        </w:rPr>
        <w:t>Imprecision</w:t>
      </w:r>
      <w:r w:rsidRPr="006E0495">
        <w:rPr>
          <w:rFonts w:ascii="Times New Roman" w:hAnsi="Times New Roman" w:cs="Times New Roman"/>
          <w:sz w:val="20"/>
          <w:lang w:val="en-GB"/>
        </w:rPr>
        <w:br/>
        <w:t>The CI overlapped the thresholds of interest. Therefore, we downgraded two levels for imprecision.</w:t>
      </w:r>
    </w:p>
    <w:p w:rsidR="006E0495" w:rsidRPr="006E0495" w:rsidRDefault="006E0495" w:rsidP="006E0495">
      <w:pPr>
        <w:pStyle w:val="ListParagraph"/>
        <w:numPr>
          <w:ilvl w:val="0"/>
          <w:numId w:val="1"/>
        </w:numPr>
        <w:rPr>
          <w:rFonts w:ascii="Times New Roman" w:hAnsi="Times New Roman" w:cs="Times New Roman"/>
          <w:sz w:val="20"/>
          <w:lang w:val="en-GB"/>
        </w:rPr>
      </w:pPr>
      <w:r w:rsidRPr="006E0495">
        <w:rPr>
          <w:rFonts w:ascii="Times New Roman" w:hAnsi="Times New Roman" w:cs="Times New Roman"/>
          <w:sz w:val="20"/>
          <w:lang w:val="en-GB"/>
        </w:rPr>
        <w:t>Publication bias</w:t>
      </w:r>
      <w:r w:rsidRPr="006E0495">
        <w:rPr>
          <w:rFonts w:ascii="Times New Roman" w:hAnsi="Times New Roman" w:cs="Times New Roman"/>
          <w:sz w:val="20"/>
          <w:lang w:val="en-GB"/>
        </w:rPr>
        <w:br/>
        <w:t>Rating down one level for publication bias was necessary because the evidence consists of a number of small studies.</w:t>
      </w:r>
    </w:p>
    <w:tbl>
      <w:tblPr>
        <w:tblStyle w:val="TableGrid"/>
        <w:tblpPr w:leftFromText="141" w:rightFromText="141" w:vertAnchor="page" w:horzAnchor="margin" w:tblpX="-431" w:tblpY="8016"/>
        <w:tblW w:w="14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4"/>
        <w:gridCol w:w="784"/>
        <w:gridCol w:w="784"/>
        <w:gridCol w:w="1304"/>
        <w:gridCol w:w="1304"/>
        <w:gridCol w:w="1304"/>
        <w:gridCol w:w="1304"/>
        <w:gridCol w:w="1304"/>
        <w:gridCol w:w="921"/>
        <w:gridCol w:w="922"/>
        <w:gridCol w:w="1703"/>
        <w:gridCol w:w="1704"/>
        <w:gridCol w:w="964"/>
      </w:tblGrid>
      <w:tr w:rsidR="006E0495" w:rsidRPr="006E0495" w:rsidTr="00EB4860">
        <w:tc>
          <w:tcPr>
            <w:tcW w:w="554" w:type="dxa"/>
            <w:tcBorders>
              <w:bottom w:val="single" w:sz="4" w:space="0" w:color="auto"/>
            </w:tcBorders>
          </w:tcPr>
          <w:p w:rsidR="006E0495" w:rsidRPr="006E0495" w:rsidRDefault="006E0495" w:rsidP="00EB4860">
            <w:pPr>
              <w:rPr>
                <w:rFonts w:ascii="Times New Roman" w:hAnsi="Times New Roman" w:cs="Times New Roman"/>
                <w:sz w:val="16"/>
                <w:lang w:val="en-GB"/>
              </w:rPr>
            </w:pPr>
          </w:p>
        </w:tc>
        <w:tc>
          <w:tcPr>
            <w:tcW w:w="8088" w:type="dxa"/>
            <w:gridSpan w:val="7"/>
            <w:tcBorders>
              <w:bottom w:val="single" w:sz="4" w:space="0" w:color="auto"/>
            </w:tcBorders>
          </w:tcPr>
          <w:p w:rsidR="006E0495" w:rsidRPr="006E0495" w:rsidRDefault="006E0495" w:rsidP="00EB4860">
            <w:pPr>
              <w:rPr>
                <w:rFonts w:ascii="Times New Roman" w:hAnsi="Times New Roman" w:cs="Times New Roman"/>
                <w:b/>
                <w:sz w:val="16"/>
                <w:lang w:val="en-GB"/>
              </w:rPr>
            </w:pPr>
            <w:r w:rsidRPr="006E0495">
              <w:rPr>
                <w:rFonts w:ascii="Times New Roman" w:hAnsi="Times New Roman" w:cs="Times New Roman"/>
                <w:b/>
                <w:sz w:val="16"/>
                <w:lang w:val="en-GB"/>
              </w:rPr>
              <w:t>Certainty assessment</w:t>
            </w:r>
          </w:p>
          <w:p w:rsidR="006E0495" w:rsidRPr="006E0495" w:rsidRDefault="006E0495" w:rsidP="00EB4860">
            <w:pPr>
              <w:rPr>
                <w:rFonts w:ascii="Times New Roman" w:hAnsi="Times New Roman" w:cs="Times New Roman"/>
                <w:b/>
                <w:sz w:val="16"/>
                <w:lang w:val="en-GB"/>
              </w:rPr>
            </w:pPr>
          </w:p>
        </w:tc>
        <w:tc>
          <w:tcPr>
            <w:tcW w:w="1843" w:type="dxa"/>
            <w:gridSpan w:val="2"/>
            <w:tcBorders>
              <w:bottom w:val="single" w:sz="4" w:space="0" w:color="auto"/>
            </w:tcBorders>
          </w:tcPr>
          <w:p w:rsidR="006E0495" w:rsidRPr="006E0495" w:rsidRDefault="006E0495" w:rsidP="00EB4860">
            <w:pPr>
              <w:rPr>
                <w:rFonts w:ascii="Times New Roman" w:hAnsi="Times New Roman" w:cs="Times New Roman"/>
                <w:b/>
                <w:sz w:val="16"/>
              </w:rPr>
            </w:pPr>
            <w:r w:rsidRPr="006E0495">
              <w:rPr>
                <w:rFonts w:ascii="Times New Roman" w:hAnsi="Times New Roman" w:cs="Times New Roman"/>
                <w:b/>
                <w:sz w:val="16"/>
                <w:lang w:val="en-GB"/>
              </w:rPr>
              <w:t>No of pat</w:t>
            </w:r>
            <w:proofErr w:type="spellStart"/>
            <w:r w:rsidRPr="006E0495">
              <w:rPr>
                <w:rFonts w:ascii="Times New Roman" w:hAnsi="Times New Roman" w:cs="Times New Roman"/>
                <w:b/>
                <w:sz w:val="16"/>
              </w:rPr>
              <w:t>ients</w:t>
            </w:r>
            <w:proofErr w:type="spellEnd"/>
          </w:p>
        </w:tc>
        <w:tc>
          <w:tcPr>
            <w:tcW w:w="3407" w:type="dxa"/>
            <w:gridSpan w:val="2"/>
            <w:tcBorders>
              <w:bottom w:val="single" w:sz="4" w:space="0" w:color="auto"/>
            </w:tcBorders>
          </w:tcPr>
          <w:p w:rsidR="006E0495" w:rsidRPr="006E0495" w:rsidRDefault="006E0495" w:rsidP="00EB4860">
            <w:pPr>
              <w:rPr>
                <w:rFonts w:ascii="Times New Roman" w:hAnsi="Times New Roman" w:cs="Times New Roman"/>
                <w:b/>
                <w:sz w:val="16"/>
              </w:rPr>
            </w:pPr>
            <w:r w:rsidRPr="006E0495">
              <w:rPr>
                <w:rFonts w:ascii="Times New Roman" w:hAnsi="Times New Roman" w:cs="Times New Roman"/>
                <w:b/>
                <w:sz w:val="16"/>
              </w:rPr>
              <w:t>Effect</w:t>
            </w:r>
          </w:p>
        </w:tc>
        <w:tc>
          <w:tcPr>
            <w:tcW w:w="964" w:type="dxa"/>
            <w:tcBorders>
              <w:bottom w:val="single" w:sz="4" w:space="0" w:color="auto"/>
            </w:tcBorders>
          </w:tcPr>
          <w:p w:rsidR="006E0495" w:rsidRPr="006E0495" w:rsidRDefault="006E0495" w:rsidP="00EB4860">
            <w:pPr>
              <w:rPr>
                <w:rFonts w:ascii="Times New Roman" w:hAnsi="Times New Roman" w:cs="Times New Roman"/>
                <w:b/>
                <w:sz w:val="16"/>
              </w:rPr>
            </w:pPr>
            <w:r w:rsidRPr="006E0495">
              <w:rPr>
                <w:rFonts w:ascii="Times New Roman" w:hAnsi="Times New Roman" w:cs="Times New Roman"/>
                <w:b/>
                <w:sz w:val="16"/>
              </w:rPr>
              <w:t>Certainty</w:t>
            </w:r>
          </w:p>
        </w:tc>
      </w:tr>
      <w:tr w:rsidR="006E0495" w:rsidRPr="006E0495" w:rsidTr="00EB4860">
        <w:trPr>
          <w:trHeight w:val="443"/>
        </w:trPr>
        <w:tc>
          <w:tcPr>
            <w:tcW w:w="554" w:type="dxa"/>
            <w:tcBorders>
              <w:top w:val="single" w:sz="4" w:space="0" w:color="auto"/>
              <w:bottom w:val="single" w:sz="4" w:space="0" w:color="auto"/>
            </w:tcBorders>
          </w:tcPr>
          <w:p w:rsidR="006E0495" w:rsidRPr="006E0495" w:rsidRDefault="006E0495" w:rsidP="00EB4860">
            <w:pPr>
              <w:rPr>
                <w:rFonts w:ascii="Times New Roman" w:hAnsi="Times New Roman" w:cs="Times New Roman"/>
                <w:sz w:val="16"/>
              </w:rPr>
            </w:pPr>
          </w:p>
        </w:tc>
        <w:tc>
          <w:tcPr>
            <w:tcW w:w="784" w:type="dxa"/>
            <w:tcBorders>
              <w:top w:val="single" w:sz="4" w:space="0" w:color="auto"/>
              <w:bottom w:val="single" w:sz="4" w:space="0" w:color="auto"/>
            </w:tcBorders>
          </w:tcPr>
          <w:p w:rsidR="006E0495" w:rsidRPr="006E0495" w:rsidRDefault="006E0495" w:rsidP="00EB4860">
            <w:pPr>
              <w:rPr>
                <w:rFonts w:ascii="Times New Roman" w:hAnsi="Times New Roman" w:cs="Times New Roman"/>
                <w:sz w:val="16"/>
              </w:rPr>
            </w:pPr>
            <w:r w:rsidRPr="006E0495">
              <w:rPr>
                <w:rFonts w:ascii="Times New Roman" w:hAnsi="Times New Roman" w:cs="Times New Roman"/>
                <w:sz w:val="16"/>
              </w:rPr>
              <w:t>No of studies</w:t>
            </w:r>
          </w:p>
        </w:tc>
        <w:tc>
          <w:tcPr>
            <w:tcW w:w="784" w:type="dxa"/>
            <w:tcBorders>
              <w:top w:val="single" w:sz="4" w:space="0" w:color="auto"/>
              <w:bottom w:val="single" w:sz="4" w:space="0" w:color="auto"/>
            </w:tcBorders>
          </w:tcPr>
          <w:p w:rsidR="006E0495" w:rsidRPr="006E0495" w:rsidRDefault="006E0495" w:rsidP="00EB4860">
            <w:pPr>
              <w:rPr>
                <w:rFonts w:ascii="Times New Roman" w:hAnsi="Times New Roman" w:cs="Times New Roman"/>
                <w:sz w:val="16"/>
              </w:rPr>
            </w:pPr>
            <w:r w:rsidRPr="006E0495">
              <w:rPr>
                <w:rFonts w:ascii="Times New Roman" w:hAnsi="Times New Roman" w:cs="Times New Roman"/>
                <w:sz w:val="16"/>
              </w:rPr>
              <w:t>Study design</w:t>
            </w:r>
          </w:p>
        </w:tc>
        <w:tc>
          <w:tcPr>
            <w:tcW w:w="1304" w:type="dxa"/>
            <w:tcBorders>
              <w:top w:val="single" w:sz="4" w:space="0" w:color="auto"/>
              <w:bottom w:val="single" w:sz="4" w:space="0" w:color="auto"/>
            </w:tcBorders>
          </w:tcPr>
          <w:p w:rsidR="006E0495" w:rsidRPr="006E0495" w:rsidRDefault="006E0495" w:rsidP="00EB4860">
            <w:pPr>
              <w:rPr>
                <w:rFonts w:ascii="Times New Roman" w:hAnsi="Times New Roman" w:cs="Times New Roman"/>
                <w:sz w:val="16"/>
              </w:rPr>
            </w:pPr>
            <w:r w:rsidRPr="006E0495">
              <w:rPr>
                <w:rFonts w:ascii="Times New Roman" w:hAnsi="Times New Roman" w:cs="Times New Roman"/>
                <w:sz w:val="16"/>
              </w:rPr>
              <w:t>Risk of bias</w:t>
            </w:r>
          </w:p>
        </w:tc>
        <w:tc>
          <w:tcPr>
            <w:tcW w:w="1304" w:type="dxa"/>
            <w:tcBorders>
              <w:top w:val="single" w:sz="4" w:space="0" w:color="auto"/>
              <w:bottom w:val="single" w:sz="4" w:space="0" w:color="auto"/>
            </w:tcBorders>
          </w:tcPr>
          <w:p w:rsidR="006E0495" w:rsidRPr="006E0495" w:rsidRDefault="006E0495" w:rsidP="00EB4860">
            <w:pPr>
              <w:rPr>
                <w:rFonts w:ascii="Times New Roman" w:hAnsi="Times New Roman" w:cs="Times New Roman"/>
                <w:sz w:val="16"/>
              </w:rPr>
            </w:pPr>
            <w:r w:rsidRPr="006E0495">
              <w:rPr>
                <w:rFonts w:ascii="Times New Roman" w:hAnsi="Times New Roman" w:cs="Times New Roman"/>
                <w:sz w:val="16"/>
              </w:rPr>
              <w:t>Inconsistency</w:t>
            </w:r>
          </w:p>
        </w:tc>
        <w:tc>
          <w:tcPr>
            <w:tcW w:w="1304" w:type="dxa"/>
            <w:tcBorders>
              <w:top w:val="single" w:sz="4" w:space="0" w:color="auto"/>
              <w:bottom w:val="single" w:sz="4" w:space="0" w:color="auto"/>
            </w:tcBorders>
          </w:tcPr>
          <w:p w:rsidR="006E0495" w:rsidRPr="006E0495" w:rsidRDefault="006E0495" w:rsidP="00EB4860">
            <w:pPr>
              <w:rPr>
                <w:rFonts w:ascii="Times New Roman" w:hAnsi="Times New Roman" w:cs="Times New Roman"/>
                <w:sz w:val="16"/>
              </w:rPr>
            </w:pPr>
            <w:r w:rsidRPr="006E0495">
              <w:rPr>
                <w:rFonts w:ascii="Times New Roman" w:hAnsi="Times New Roman" w:cs="Times New Roman"/>
                <w:sz w:val="16"/>
              </w:rPr>
              <w:t>Indirectness</w:t>
            </w:r>
          </w:p>
        </w:tc>
        <w:tc>
          <w:tcPr>
            <w:tcW w:w="1304" w:type="dxa"/>
            <w:tcBorders>
              <w:top w:val="single" w:sz="4" w:space="0" w:color="auto"/>
              <w:bottom w:val="single" w:sz="4" w:space="0" w:color="auto"/>
            </w:tcBorders>
          </w:tcPr>
          <w:p w:rsidR="006E0495" w:rsidRPr="006E0495" w:rsidRDefault="006E0495" w:rsidP="00EB4860">
            <w:pPr>
              <w:rPr>
                <w:rFonts w:ascii="Times New Roman" w:hAnsi="Times New Roman" w:cs="Times New Roman"/>
                <w:sz w:val="16"/>
              </w:rPr>
            </w:pPr>
            <w:r w:rsidRPr="006E0495">
              <w:rPr>
                <w:rFonts w:ascii="Times New Roman" w:hAnsi="Times New Roman" w:cs="Times New Roman"/>
                <w:sz w:val="16"/>
              </w:rPr>
              <w:t>Imprecision</w:t>
            </w:r>
          </w:p>
        </w:tc>
        <w:tc>
          <w:tcPr>
            <w:tcW w:w="1304" w:type="dxa"/>
            <w:tcBorders>
              <w:top w:val="single" w:sz="4" w:space="0" w:color="auto"/>
              <w:bottom w:val="single" w:sz="4" w:space="0" w:color="auto"/>
            </w:tcBorders>
          </w:tcPr>
          <w:p w:rsidR="006E0495" w:rsidRPr="006E0495" w:rsidRDefault="006E0495" w:rsidP="00EB4860">
            <w:pPr>
              <w:rPr>
                <w:rFonts w:ascii="Times New Roman" w:hAnsi="Times New Roman" w:cs="Times New Roman"/>
                <w:sz w:val="16"/>
              </w:rPr>
            </w:pPr>
            <w:r w:rsidRPr="006E0495">
              <w:rPr>
                <w:rFonts w:ascii="Times New Roman" w:hAnsi="Times New Roman" w:cs="Times New Roman"/>
                <w:sz w:val="16"/>
              </w:rPr>
              <w:t>Publication bias</w:t>
            </w:r>
          </w:p>
        </w:tc>
        <w:tc>
          <w:tcPr>
            <w:tcW w:w="921" w:type="dxa"/>
            <w:tcBorders>
              <w:top w:val="single" w:sz="4" w:space="0" w:color="auto"/>
              <w:bottom w:val="single" w:sz="4" w:space="0" w:color="auto"/>
            </w:tcBorders>
          </w:tcPr>
          <w:p w:rsidR="006E0495" w:rsidRPr="006E0495" w:rsidRDefault="006E0495" w:rsidP="00EB4860">
            <w:pPr>
              <w:rPr>
                <w:rFonts w:ascii="Times New Roman" w:hAnsi="Times New Roman" w:cs="Times New Roman"/>
                <w:sz w:val="16"/>
              </w:rPr>
            </w:pPr>
            <w:r w:rsidRPr="006E0495">
              <w:rPr>
                <w:rFonts w:ascii="Times New Roman" w:hAnsi="Times New Roman" w:cs="Times New Roman"/>
                <w:sz w:val="16"/>
              </w:rPr>
              <w:t>Topical AB</w:t>
            </w:r>
          </w:p>
        </w:tc>
        <w:tc>
          <w:tcPr>
            <w:tcW w:w="922" w:type="dxa"/>
            <w:tcBorders>
              <w:top w:val="single" w:sz="4" w:space="0" w:color="auto"/>
              <w:bottom w:val="single" w:sz="4" w:space="0" w:color="auto"/>
            </w:tcBorders>
          </w:tcPr>
          <w:p w:rsidR="006E0495" w:rsidRPr="006E0495" w:rsidRDefault="006E0495" w:rsidP="00EB4860">
            <w:pPr>
              <w:rPr>
                <w:rFonts w:ascii="Times New Roman" w:hAnsi="Times New Roman" w:cs="Times New Roman"/>
                <w:sz w:val="16"/>
              </w:rPr>
            </w:pPr>
            <w:r w:rsidRPr="006E0495">
              <w:rPr>
                <w:rFonts w:ascii="Times New Roman" w:hAnsi="Times New Roman" w:cs="Times New Roman"/>
                <w:sz w:val="16"/>
              </w:rPr>
              <w:t>Control</w:t>
            </w:r>
          </w:p>
        </w:tc>
        <w:tc>
          <w:tcPr>
            <w:tcW w:w="1703" w:type="dxa"/>
            <w:tcBorders>
              <w:top w:val="single" w:sz="4" w:space="0" w:color="auto"/>
              <w:bottom w:val="single" w:sz="4" w:space="0" w:color="auto"/>
            </w:tcBorders>
          </w:tcPr>
          <w:p w:rsidR="006E0495" w:rsidRPr="006E0495" w:rsidRDefault="006E0495" w:rsidP="00EB4860">
            <w:pPr>
              <w:rPr>
                <w:rFonts w:ascii="Times New Roman" w:hAnsi="Times New Roman" w:cs="Times New Roman"/>
                <w:sz w:val="16"/>
              </w:rPr>
            </w:pPr>
            <w:r w:rsidRPr="006E0495">
              <w:rPr>
                <w:rFonts w:ascii="Times New Roman" w:hAnsi="Times New Roman" w:cs="Times New Roman"/>
                <w:sz w:val="16"/>
              </w:rPr>
              <w:t>Relative (95% CI)</w:t>
            </w:r>
          </w:p>
        </w:tc>
        <w:tc>
          <w:tcPr>
            <w:tcW w:w="1704" w:type="dxa"/>
            <w:tcBorders>
              <w:top w:val="single" w:sz="4" w:space="0" w:color="auto"/>
              <w:bottom w:val="single" w:sz="4" w:space="0" w:color="auto"/>
            </w:tcBorders>
          </w:tcPr>
          <w:p w:rsidR="006E0495" w:rsidRPr="006E0495" w:rsidRDefault="006E0495" w:rsidP="00EB4860">
            <w:pPr>
              <w:rPr>
                <w:rFonts w:ascii="Times New Roman" w:hAnsi="Times New Roman" w:cs="Times New Roman"/>
                <w:sz w:val="16"/>
              </w:rPr>
            </w:pPr>
            <w:r w:rsidRPr="006E0495">
              <w:rPr>
                <w:rFonts w:ascii="Times New Roman" w:hAnsi="Times New Roman" w:cs="Times New Roman"/>
                <w:sz w:val="16"/>
              </w:rPr>
              <w:t>Absolute (95% CI)</w:t>
            </w:r>
          </w:p>
        </w:tc>
        <w:tc>
          <w:tcPr>
            <w:tcW w:w="964" w:type="dxa"/>
            <w:tcBorders>
              <w:top w:val="single" w:sz="4" w:space="0" w:color="auto"/>
              <w:bottom w:val="single" w:sz="4" w:space="0" w:color="auto"/>
            </w:tcBorders>
          </w:tcPr>
          <w:p w:rsidR="006E0495" w:rsidRPr="006E0495" w:rsidRDefault="006E0495" w:rsidP="00EB4860">
            <w:pPr>
              <w:rPr>
                <w:rFonts w:ascii="Times New Roman" w:hAnsi="Times New Roman" w:cs="Times New Roman"/>
                <w:sz w:val="16"/>
              </w:rPr>
            </w:pPr>
          </w:p>
        </w:tc>
      </w:tr>
      <w:tr w:rsidR="006E0495" w:rsidRPr="006E0495" w:rsidTr="00EB4860">
        <w:tc>
          <w:tcPr>
            <w:tcW w:w="554" w:type="dxa"/>
            <w:tcBorders>
              <w:top w:val="single" w:sz="4" w:space="0" w:color="auto"/>
              <w:bottom w:val="single" w:sz="4" w:space="0" w:color="auto"/>
            </w:tcBorders>
          </w:tcPr>
          <w:p w:rsidR="006E0495" w:rsidRPr="006E0495" w:rsidRDefault="006E0495" w:rsidP="00EB4860">
            <w:pPr>
              <w:rPr>
                <w:rFonts w:ascii="Times New Roman" w:hAnsi="Times New Roman" w:cs="Times New Roman"/>
                <w:sz w:val="16"/>
              </w:rPr>
            </w:pPr>
          </w:p>
          <w:p w:rsidR="006E0495" w:rsidRPr="006E0495" w:rsidRDefault="006E0495" w:rsidP="00EB4860">
            <w:pPr>
              <w:rPr>
                <w:rFonts w:ascii="Times New Roman" w:hAnsi="Times New Roman" w:cs="Times New Roman"/>
                <w:sz w:val="16"/>
              </w:rPr>
            </w:pPr>
            <w:r w:rsidRPr="006E0495">
              <w:rPr>
                <w:rFonts w:ascii="Times New Roman" w:hAnsi="Times New Roman" w:cs="Times New Roman"/>
                <w:sz w:val="16"/>
              </w:rPr>
              <w:t>SSI</w:t>
            </w:r>
          </w:p>
        </w:tc>
        <w:tc>
          <w:tcPr>
            <w:tcW w:w="784" w:type="dxa"/>
            <w:tcBorders>
              <w:top w:val="single" w:sz="4" w:space="0" w:color="auto"/>
              <w:bottom w:val="single" w:sz="4" w:space="0" w:color="auto"/>
            </w:tcBorders>
          </w:tcPr>
          <w:p w:rsidR="006E0495" w:rsidRPr="006E0495" w:rsidRDefault="006E0495" w:rsidP="00EB4860">
            <w:pPr>
              <w:rPr>
                <w:rFonts w:ascii="Times New Roman" w:hAnsi="Times New Roman" w:cs="Times New Roman"/>
                <w:sz w:val="16"/>
              </w:rPr>
            </w:pPr>
          </w:p>
          <w:p w:rsidR="006E0495" w:rsidRPr="006E0495" w:rsidRDefault="006E0495" w:rsidP="00EB4860">
            <w:pPr>
              <w:rPr>
                <w:rFonts w:ascii="Times New Roman" w:hAnsi="Times New Roman" w:cs="Times New Roman"/>
                <w:sz w:val="16"/>
              </w:rPr>
            </w:pPr>
            <w:r w:rsidRPr="006E0495">
              <w:rPr>
                <w:rFonts w:ascii="Times New Roman" w:hAnsi="Times New Roman" w:cs="Times New Roman"/>
                <w:sz w:val="16"/>
              </w:rPr>
              <w:t>4</w:t>
            </w:r>
          </w:p>
        </w:tc>
        <w:tc>
          <w:tcPr>
            <w:tcW w:w="784" w:type="dxa"/>
            <w:tcBorders>
              <w:top w:val="single" w:sz="4" w:space="0" w:color="auto"/>
              <w:bottom w:val="single" w:sz="4" w:space="0" w:color="auto"/>
            </w:tcBorders>
          </w:tcPr>
          <w:p w:rsidR="006E0495" w:rsidRPr="006E0495" w:rsidRDefault="006E0495" w:rsidP="00EB4860">
            <w:pPr>
              <w:rPr>
                <w:rFonts w:ascii="Times New Roman" w:hAnsi="Times New Roman" w:cs="Times New Roman"/>
                <w:sz w:val="16"/>
              </w:rPr>
            </w:pPr>
          </w:p>
          <w:p w:rsidR="006E0495" w:rsidRPr="006E0495" w:rsidRDefault="006E0495" w:rsidP="00EB4860">
            <w:pPr>
              <w:rPr>
                <w:rFonts w:ascii="Times New Roman" w:hAnsi="Times New Roman" w:cs="Times New Roman"/>
                <w:sz w:val="16"/>
              </w:rPr>
            </w:pPr>
            <w:r w:rsidRPr="006E0495">
              <w:rPr>
                <w:rFonts w:ascii="Times New Roman" w:hAnsi="Times New Roman" w:cs="Times New Roman"/>
                <w:sz w:val="16"/>
              </w:rPr>
              <w:t>RCT</w:t>
            </w:r>
          </w:p>
        </w:tc>
        <w:tc>
          <w:tcPr>
            <w:tcW w:w="1304" w:type="dxa"/>
            <w:tcBorders>
              <w:top w:val="single" w:sz="4" w:space="0" w:color="auto"/>
              <w:bottom w:val="single" w:sz="4" w:space="0" w:color="auto"/>
            </w:tcBorders>
          </w:tcPr>
          <w:p w:rsidR="006E0495" w:rsidRPr="006E0495" w:rsidRDefault="006E0495" w:rsidP="00EB4860">
            <w:pPr>
              <w:rPr>
                <w:rFonts w:ascii="Times New Roman" w:hAnsi="Times New Roman" w:cs="Times New Roman"/>
                <w:sz w:val="16"/>
              </w:rPr>
            </w:pPr>
          </w:p>
          <w:p w:rsidR="006E0495" w:rsidRPr="006E0495" w:rsidRDefault="006E0495" w:rsidP="00EB4860">
            <w:pPr>
              <w:rPr>
                <w:rFonts w:ascii="Times New Roman" w:hAnsi="Times New Roman" w:cs="Times New Roman"/>
                <w:sz w:val="16"/>
              </w:rPr>
            </w:pPr>
            <w:r w:rsidRPr="006E0495">
              <w:rPr>
                <w:rFonts w:ascii="Times New Roman" w:hAnsi="Times New Roman" w:cs="Times New Roman"/>
                <w:sz w:val="16"/>
              </w:rPr>
              <w:t>Not serious</w:t>
            </w:r>
          </w:p>
        </w:tc>
        <w:tc>
          <w:tcPr>
            <w:tcW w:w="1304" w:type="dxa"/>
            <w:tcBorders>
              <w:top w:val="single" w:sz="4" w:space="0" w:color="auto"/>
              <w:bottom w:val="single" w:sz="4" w:space="0" w:color="auto"/>
            </w:tcBorders>
          </w:tcPr>
          <w:p w:rsidR="006E0495" w:rsidRPr="006E0495" w:rsidRDefault="006E0495" w:rsidP="00EB4860">
            <w:pPr>
              <w:rPr>
                <w:rFonts w:ascii="Times New Roman" w:hAnsi="Times New Roman" w:cs="Times New Roman"/>
                <w:sz w:val="16"/>
                <w:szCs w:val="20"/>
              </w:rPr>
            </w:pPr>
          </w:p>
          <w:p w:rsidR="006E0495" w:rsidRPr="006E0495" w:rsidRDefault="006E0495" w:rsidP="00EB4860">
            <w:pPr>
              <w:rPr>
                <w:rFonts w:ascii="Times New Roman" w:hAnsi="Times New Roman" w:cs="Times New Roman"/>
                <w:sz w:val="16"/>
                <w:szCs w:val="20"/>
              </w:rPr>
            </w:pPr>
            <w:r w:rsidRPr="006E0495">
              <w:rPr>
                <w:rFonts w:ascii="Times New Roman" w:hAnsi="Times New Roman" w:cs="Times New Roman"/>
                <w:sz w:val="16"/>
                <w:szCs w:val="20"/>
              </w:rPr>
              <w:t xml:space="preserve">Serious </w:t>
            </w:r>
          </w:p>
          <w:p w:rsidR="006E0495" w:rsidRPr="006E0495" w:rsidRDefault="006E0495" w:rsidP="00EB4860">
            <w:pPr>
              <w:rPr>
                <w:rFonts w:ascii="Times New Roman" w:hAnsi="Times New Roman" w:cs="Times New Roman"/>
                <w:sz w:val="16"/>
                <w:szCs w:val="20"/>
              </w:rPr>
            </w:pPr>
            <w:r w:rsidRPr="006E0495">
              <w:rPr>
                <w:rFonts w:ascii="Times New Roman" w:hAnsi="Times New Roman" w:cs="Times New Roman"/>
                <w:sz w:val="16"/>
                <w:szCs w:val="20"/>
              </w:rPr>
              <w:t>(-1 downgrade)</w:t>
            </w:r>
          </w:p>
          <w:p w:rsidR="006E0495" w:rsidRPr="006E0495" w:rsidRDefault="006E0495" w:rsidP="00EB4860">
            <w:pPr>
              <w:rPr>
                <w:rFonts w:ascii="Times New Roman" w:hAnsi="Times New Roman" w:cs="Times New Roman"/>
                <w:sz w:val="16"/>
                <w:szCs w:val="20"/>
              </w:rPr>
            </w:pPr>
          </w:p>
        </w:tc>
        <w:tc>
          <w:tcPr>
            <w:tcW w:w="1304" w:type="dxa"/>
            <w:tcBorders>
              <w:top w:val="single" w:sz="4" w:space="0" w:color="auto"/>
              <w:bottom w:val="single" w:sz="4" w:space="0" w:color="auto"/>
            </w:tcBorders>
          </w:tcPr>
          <w:p w:rsidR="006E0495" w:rsidRPr="006E0495" w:rsidRDefault="006E0495" w:rsidP="00EB4860">
            <w:pPr>
              <w:rPr>
                <w:rFonts w:ascii="Times New Roman" w:hAnsi="Times New Roman" w:cs="Times New Roman"/>
                <w:sz w:val="16"/>
              </w:rPr>
            </w:pPr>
          </w:p>
          <w:p w:rsidR="006E0495" w:rsidRPr="006E0495" w:rsidRDefault="006E0495" w:rsidP="00EB4860">
            <w:pPr>
              <w:rPr>
                <w:rFonts w:ascii="Times New Roman" w:hAnsi="Times New Roman" w:cs="Times New Roman"/>
                <w:sz w:val="16"/>
              </w:rPr>
            </w:pPr>
            <w:r w:rsidRPr="006E0495">
              <w:rPr>
                <w:rFonts w:ascii="Times New Roman" w:hAnsi="Times New Roman" w:cs="Times New Roman"/>
                <w:sz w:val="16"/>
              </w:rPr>
              <w:t>Not serious</w:t>
            </w:r>
          </w:p>
        </w:tc>
        <w:tc>
          <w:tcPr>
            <w:tcW w:w="1304" w:type="dxa"/>
            <w:tcBorders>
              <w:top w:val="single" w:sz="4" w:space="0" w:color="auto"/>
              <w:bottom w:val="single" w:sz="4" w:space="0" w:color="auto"/>
            </w:tcBorders>
          </w:tcPr>
          <w:p w:rsidR="006E0495" w:rsidRPr="006E0495" w:rsidRDefault="006E0495" w:rsidP="00EB4860">
            <w:pPr>
              <w:rPr>
                <w:rFonts w:ascii="Times New Roman" w:hAnsi="Times New Roman" w:cs="Times New Roman"/>
                <w:sz w:val="16"/>
              </w:rPr>
            </w:pPr>
          </w:p>
          <w:p w:rsidR="006E0495" w:rsidRPr="006E0495" w:rsidRDefault="006E0495" w:rsidP="00EB4860">
            <w:pPr>
              <w:rPr>
                <w:rFonts w:ascii="Times New Roman" w:hAnsi="Times New Roman" w:cs="Times New Roman"/>
                <w:sz w:val="16"/>
              </w:rPr>
            </w:pPr>
            <w:r w:rsidRPr="006E0495">
              <w:rPr>
                <w:rFonts w:ascii="Times New Roman" w:hAnsi="Times New Roman" w:cs="Times New Roman"/>
                <w:sz w:val="16"/>
              </w:rPr>
              <w:t xml:space="preserve">Serious </w:t>
            </w:r>
          </w:p>
          <w:p w:rsidR="006E0495" w:rsidRPr="006E0495" w:rsidRDefault="006E0495" w:rsidP="00EB4860">
            <w:pPr>
              <w:rPr>
                <w:rFonts w:ascii="Times New Roman" w:hAnsi="Times New Roman" w:cs="Times New Roman"/>
                <w:sz w:val="16"/>
              </w:rPr>
            </w:pPr>
            <w:r w:rsidRPr="006E0495">
              <w:rPr>
                <w:rFonts w:ascii="Times New Roman" w:hAnsi="Times New Roman" w:cs="Times New Roman"/>
                <w:sz w:val="16"/>
              </w:rPr>
              <w:t>(-2 downgrade)</w:t>
            </w:r>
          </w:p>
        </w:tc>
        <w:tc>
          <w:tcPr>
            <w:tcW w:w="1304" w:type="dxa"/>
            <w:tcBorders>
              <w:top w:val="single" w:sz="4" w:space="0" w:color="auto"/>
              <w:bottom w:val="single" w:sz="4" w:space="0" w:color="auto"/>
            </w:tcBorders>
          </w:tcPr>
          <w:p w:rsidR="006E0495" w:rsidRPr="006E0495" w:rsidRDefault="006E0495" w:rsidP="00EB4860">
            <w:pPr>
              <w:rPr>
                <w:rFonts w:ascii="Times New Roman" w:hAnsi="Times New Roman" w:cs="Times New Roman"/>
                <w:sz w:val="16"/>
              </w:rPr>
            </w:pPr>
          </w:p>
          <w:p w:rsidR="006E0495" w:rsidRPr="006E0495" w:rsidRDefault="006E0495" w:rsidP="00EB4860">
            <w:pPr>
              <w:rPr>
                <w:rFonts w:ascii="Times New Roman" w:hAnsi="Times New Roman" w:cs="Times New Roman"/>
                <w:sz w:val="16"/>
              </w:rPr>
            </w:pPr>
            <w:r w:rsidRPr="006E0495">
              <w:rPr>
                <w:rFonts w:ascii="Times New Roman" w:hAnsi="Times New Roman" w:cs="Times New Roman"/>
                <w:sz w:val="16"/>
              </w:rPr>
              <w:t xml:space="preserve">Serious </w:t>
            </w:r>
          </w:p>
          <w:p w:rsidR="006E0495" w:rsidRPr="006E0495" w:rsidRDefault="006E0495" w:rsidP="00EB4860">
            <w:pPr>
              <w:rPr>
                <w:rFonts w:ascii="Times New Roman" w:hAnsi="Times New Roman" w:cs="Times New Roman"/>
                <w:sz w:val="16"/>
              </w:rPr>
            </w:pPr>
            <w:r w:rsidRPr="006E0495">
              <w:rPr>
                <w:rFonts w:ascii="Times New Roman" w:hAnsi="Times New Roman" w:cs="Times New Roman"/>
                <w:sz w:val="16"/>
              </w:rPr>
              <w:t>(-1 downgrade)</w:t>
            </w:r>
          </w:p>
        </w:tc>
        <w:tc>
          <w:tcPr>
            <w:tcW w:w="921" w:type="dxa"/>
            <w:tcBorders>
              <w:top w:val="single" w:sz="4" w:space="0" w:color="auto"/>
              <w:bottom w:val="single" w:sz="4" w:space="0" w:color="auto"/>
            </w:tcBorders>
          </w:tcPr>
          <w:p w:rsidR="006E0495" w:rsidRPr="006E0495" w:rsidRDefault="006E0495" w:rsidP="00EB4860">
            <w:pPr>
              <w:rPr>
                <w:rFonts w:ascii="Times New Roman" w:hAnsi="Times New Roman" w:cs="Times New Roman"/>
                <w:sz w:val="16"/>
              </w:rPr>
            </w:pPr>
          </w:p>
          <w:p w:rsidR="006E0495" w:rsidRPr="006E0495" w:rsidRDefault="006E0495" w:rsidP="00EB4860">
            <w:pPr>
              <w:rPr>
                <w:rFonts w:ascii="Times New Roman" w:hAnsi="Times New Roman" w:cs="Times New Roman"/>
                <w:sz w:val="16"/>
              </w:rPr>
            </w:pPr>
            <w:r w:rsidRPr="006E0495">
              <w:rPr>
                <w:rFonts w:ascii="Times New Roman" w:hAnsi="Times New Roman" w:cs="Times New Roman"/>
                <w:sz w:val="16"/>
              </w:rPr>
              <w:t>19/520 (3.7%)</w:t>
            </w:r>
          </w:p>
        </w:tc>
        <w:tc>
          <w:tcPr>
            <w:tcW w:w="922" w:type="dxa"/>
            <w:tcBorders>
              <w:top w:val="single" w:sz="4" w:space="0" w:color="auto"/>
              <w:bottom w:val="single" w:sz="4" w:space="0" w:color="auto"/>
            </w:tcBorders>
          </w:tcPr>
          <w:p w:rsidR="006E0495" w:rsidRPr="006E0495" w:rsidRDefault="006E0495" w:rsidP="00EB4860">
            <w:pPr>
              <w:rPr>
                <w:rFonts w:ascii="Times New Roman" w:hAnsi="Times New Roman" w:cs="Times New Roman"/>
                <w:sz w:val="16"/>
              </w:rPr>
            </w:pPr>
          </w:p>
          <w:p w:rsidR="006E0495" w:rsidRPr="006E0495" w:rsidRDefault="006E0495" w:rsidP="00EB4860">
            <w:pPr>
              <w:rPr>
                <w:rFonts w:ascii="Times New Roman" w:hAnsi="Times New Roman" w:cs="Times New Roman"/>
                <w:sz w:val="16"/>
              </w:rPr>
            </w:pPr>
            <w:r w:rsidRPr="006E0495">
              <w:rPr>
                <w:rFonts w:ascii="Times New Roman" w:hAnsi="Times New Roman" w:cs="Times New Roman"/>
                <w:sz w:val="16"/>
              </w:rPr>
              <w:t>24/519 (4.6%)</w:t>
            </w:r>
          </w:p>
        </w:tc>
        <w:tc>
          <w:tcPr>
            <w:tcW w:w="1703" w:type="dxa"/>
            <w:tcBorders>
              <w:top w:val="single" w:sz="4" w:space="0" w:color="auto"/>
              <w:bottom w:val="single" w:sz="4" w:space="0" w:color="auto"/>
            </w:tcBorders>
          </w:tcPr>
          <w:p w:rsidR="006E0495" w:rsidRPr="006E0495" w:rsidRDefault="006E0495" w:rsidP="00EB4860">
            <w:pPr>
              <w:rPr>
                <w:rFonts w:ascii="Times New Roman" w:hAnsi="Times New Roman" w:cs="Times New Roman"/>
                <w:sz w:val="16"/>
              </w:rPr>
            </w:pPr>
          </w:p>
          <w:p w:rsidR="006E0495" w:rsidRPr="006E0495" w:rsidRDefault="006E0495" w:rsidP="00EB4860">
            <w:pPr>
              <w:rPr>
                <w:rFonts w:ascii="Times New Roman" w:hAnsi="Times New Roman" w:cs="Times New Roman"/>
                <w:sz w:val="16"/>
              </w:rPr>
            </w:pPr>
            <w:r w:rsidRPr="006E0495">
              <w:rPr>
                <w:rFonts w:ascii="Times New Roman" w:hAnsi="Times New Roman" w:cs="Times New Roman"/>
                <w:sz w:val="16"/>
              </w:rPr>
              <w:t>0.76 (0.27-2.09)</w:t>
            </w:r>
          </w:p>
        </w:tc>
        <w:tc>
          <w:tcPr>
            <w:tcW w:w="1704" w:type="dxa"/>
            <w:tcBorders>
              <w:top w:val="single" w:sz="4" w:space="0" w:color="auto"/>
              <w:bottom w:val="single" w:sz="4" w:space="0" w:color="auto"/>
            </w:tcBorders>
          </w:tcPr>
          <w:p w:rsidR="006E0495" w:rsidRPr="006E0495" w:rsidRDefault="006E0495" w:rsidP="00EB4860">
            <w:pPr>
              <w:rPr>
                <w:rFonts w:ascii="Times New Roman" w:hAnsi="Times New Roman" w:cs="Times New Roman"/>
                <w:sz w:val="16"/>
                <w:lang w:val="en-GB"/>
              </w:rPr>
            </w:pPr>
          </w:p>
          <w:p w:rsidR="006E0495" w:rsidRPr="006E0495" w:rsidRDefault="006E0495" w:rsidP="00EB4860">
            <w:pPr>
              <w:rPr>
                <w:rFonts w:ascii="Times New Roman" w:hAnsi="Times New Roman" w:cs="Times New Roman"/>
                <w:sz w:val="16"/>
                <w:lang w:val="en-GB"/>
              </w:rPr>
            </w:pPr>
            <w:r w:rsidRPr="006E0495">
              <w:rPr>
                <w:rFonts w:ascii="Times New Roman" w:hAnsi="Times New Roman" w:cs="Times New Roman"/>
                <w:sz w:val="16"/>
                <w:lang w:val="en-GB"/>
              </w:rPr>
              <w:t>10 fewer per 1000</w:t>
            </w:r>
          </w:p>
          <w:p w:rsidR="006E0495" w:rsidRPr="006E0495" w:rsidRDefault="006E0495" w:rsidP="00EB4860">
            <w:pPr>
              <w:rPr>
                <w:rFonts w:ascii="Times New Roman" w:hAnsi="Times New Roman" w:cs="Times New Roman"/>
                <w:sz w:val="16"/>
                <w:lang w:val="en-GB"/>
              </w:rPr>
            </w:pPr>
            <w:r w:rsidRPr="006E0495">
              <w:rPr>
                <w:rFonts w:ascii="Times New Roman" w:hAnsi="Times New Roman" w:cs="Times New Roman"/>
                <w:sz w:val="16"/>
                <w:lang w:val="en-GB"/>
              </w:rPr>
              <w:t>(from 15 fewer to 34 more)</w:t>
            </w:r>
          </w:p>
        </w:tc>
        <w:tc>
          <w:tcPr>
            <w:tcW w:w="964" w:type="dxa"/>
            <w:tcBorders>
              <w:top w:val="single" w:sz="4" w:space="0" w:color="auto"/>
              <w:bottom w:val="single" w:sz="4" w:space="0" w:color="auto"/>
            </w:tcBorders>
          </w:tcPr>
          <w:p w:rsidR="006E0495" w:rsidRPr="006E0495" w:rsidRDefault="006E0495" w:rsidP="00EB4860">
            <w:pPr>
              <w:rPr>
                <w:rFonts w:ascii="Times New Roman" w:eastAsia="Times New Roman" w:hAnsi="Times New Roman" w:cs="Times New Roman"/>
                <w:sz w:val="16"/>
                <w:szCs w:val="16"/>
                <w:lang w:val="en-GB"/>
              </w:rPr>
            </w:pPr>
          </w:p>
          <w:p w:rsidR="006E0495" w:rsidRPr="006E0495" w:rsidRDefault="006E0495" w:rsidP="00EB4860">
            <w:pPr>
              <w:rPr>
                <w:rFonts w:ascii="Times New Roman" w:hAnsi="Times New Roman" w:cs="Times New Roman"/>
                <w:sz w:val="16"/>
                <w:szCs w:val="16"/>
                <w:lang w:val="en-GB"/>
              </w:rPr>
            </w:pPr>
            <w:r w:rsidRPr="006E0495">
              <w:rPr>
                <w:rFonts w:ascii="Cambria Math" w:eastAsia="Times New Roman" w:hAnsi="Cambria Math" w:cs="Cambria Math"/>
                <w:sz w:val="16"/>
                <w:szCs w:val="16"/>
                <w:lang w:val="en-GB"/>
              </w:rPr>
              <w:t>⨁</w:t>
            </w:r>
            <w:r w:rsidRPr="006E0495">
              <w:rPr>
                <w:rFonts w:ascii="Cambria Math" w:eastAsia="Times New Roman" w:hAnsi="Cambria Math" w:cs="Cambria Math"/>
                <w:sz w:val="14"/>
                <w:szCs w:val="16"/>
                <w:lang w:val="en-GB"/>
              </w:rPr>
              <w:t>◯◯◯</w:t>
            </w:r>
            <w:r w:rsidRPr="006E0495">
              <w:rPr>
                <w:rFonts w:ascii="Times New Roman" w:eastAsia="Times New Roman" w:hAnsi="Times New Roman" w:cs="Times New Roman"/>
                <w:sz w:val="16"/>
                <w:szCs w:val="16"/>
                <w:lang w:val="en-GB"/>
              </w:rPr>
              <w:br/>
              <w:t>very low</w:t>
            </w:r>
          </w:p>
        </w:tc>
      </w:tr>
      <w:tr w:rsidR="006E0495" w:rsidRPr="006E0495" w:rsidTr="00EB4860">
        <w:tc>
          <w:tcPr>
            <w:tcW w:w="14856" w:type="dxa"/>
            <w:gridSpan w:val="13"/>
            <w:tcBorders>
              <w:top w:val="single" w:sz="4" w:space="0" w:color="auto"/>
            </w:tcBorders>
          </w:tcPr>
          <w:p w:rsidR="006E0495" w:rsidRPr="006E0495" w:rsidRDefault="006E0495" w:rsidP="00EB4860">
            <w:pPr>
              <w:rPr>
                <w:rFonts w:ascii="Times New Roman" w:eastAsia="Times New Roman" w:hAnsi="Times New Roman" w:cs="Times New Roman"/>
                <w:sz w:val="16"/>
                <w:szCs w:val="16"/>
                <w:lang w:val="en-GB"/>
              </w:rPr>
            </w:pPr>
            <w:r w:rsidRPr="006E0495">
              <w:rPr>
                <w:rFonts w:ascii="Times New Roman" w:eastAsia="Times New Roman" w:hAnsi="Times New Roman" w:cs="Times New Roman"/>
                <w:sz w:val="16"/>
                <w:szCs w:val="16"/>
                <w:lang w:val="en-GB"/>
              </w:rPr>
              <w:t>AB = antibiotics; CI = confidence interval; GRADE = Grading of Recommendations, Assessment, Development and Evaluation;</w:t>
            </w:r>
            <w:r w:rsidRPr="006E0495">
              <w:rPr>
                <w:rFonts w:ascii="Times New Roman" w:hAnsi="Times New Roman" w:cs="Times New Roman"/>
                <w:lang w:val="en-GB"/>
              </w:rPr>
              <w:t xml:space="preserve"> </w:t>
            </w:r>
            <w:r w:rsidRPr="006E0495">
              <w:rPr>
                <w:rFonts w:ascii="Times New Roman" w:eastAsia="Times New Roman" w:hAnsi="Times New Roman" w:cs="Times New Roman"/>
                <w:sz w:val="16"/>
                <w:szCs w:val="16"/>
                <w:lang w:val="en-GB"/>
              </w:rPr>
              <w:t>PICO = population, intervention, comparison and outcomes; RCT = randomized controlled trial; RR = relative risk; SSI = surgical site infection</w:t>
            </w:r>
          </w:p>
        </w:tc>
      </w:tr>
    </w:tbl>
    <w:p w:rsidR="006E0495" w:rsidRPr="006E0495" w:rsidRDefault="006E0495" w:rsidP="006E0495">
      <w:pPr>
        <w:rPr>
          <w:rFonts w:ascii="Times New Roman" w:hAnsi="Times New Roman" w:cs="Times New Roman"/>
          <w:lang w:val="en-GB"/>
        </w:rPr>
      </w:pPr>
    </w:p>
    <w:p w:rsidR="006E0495" w:rsidRPr="006E0495" w:rsidRDefault="006E0495" w:rsidP="006E0495">
      <w:pPr>
        <w:rPr>
          <w:rFonts w:ascii="Times New Roman" w:hAnsi="Times New Roman" w:cs="Times New Roman"/>
          <w:lang w:val="en-GB"/>
        </w:rPr>
      </w:pPr>
    </w:p>
    <w:p w:rsidR="006E0495" w:rsidRDefault="006E0495">
      <w:pPr>
        <w:rPr>
          <w:rFonts w:ascii="Times New Roman" w:hAnsi="Times New Roman" w:cs="Times New Roman"/>
          <w:lang w:val="en-GB"/>
        </w:rPr>
      </w:pPr>
    </w:p>
    <w:p w:rsidR="006E0495" w:rsidRDefault="006E0495">
      <w:pPr>
        <w:rPr>
          <w:rFonts w:ascii="Times New Roman" w:hAnsi="Times New Roman" w:cs="Times New Roman"/>
          <w:lang w:val="en-GB"/>
        </w:rPr>
      </w:pPr>
    </w:p>
    <w:p w:rsidR="006E0495" w:rsidRPr="006E0495" w:rsidRDefault="006E0495" w:rsidP="006E0495">
      <w:pPr>
        <w:pStyle w:val="EndNoteBibliography"/>
        <w:spacing w:after="0"/>
        <w:ind w:left="720" w:hanging="720"/>
        <w:rPr>
          <w:rFonts w:ascii="Times New Roman" w:hAnsi="Times New Roman" w:cs="Times New Roman"/>
          <w:b/>
          <w:lang w:val="en-GB"/>
        </w:rPr>
      </w:pPr>
      <w:r>
        <w:rPr>
          <w:rFonts w:ascii="Times New Roman" w:hAnsi="Times New Roman" w:cs="Times New Roman"/>
          <w:b/>
          <w:lang w:val="en-GB"/>
        </w:rPr>
        <w:lastRenderedPageBreak/>
        <w:t>References</w:t>
      </w:r>
      <w:bookmarkStart w:id="0" w:name="_GoBack"/>
      <w:bookmarkEnd w:id="0"/>
    </w:p>
    <w:p w:rsidR="006E0495" w:rsidRDefault="006E0495" w:rsidP="006E0495">
      <w:pPr>
        <w:pStyle w:val="EndNoteBibliography"/>
        <w:spacing w:after="0"/>
        <w:ind w:left="720" w:hanging="720"/>
        <w:rPr>
          <w:rFonts w:ascii="Times New Roman" w:hAnsi="Times New Roman" w:cs="Times New Roman"/>
          <w:lang w:val="en-GB"/>
        </w:rPr>
      </w:pPr>
    </w:p>
    <w:p w:rsidR="005F1D8C" w:rsidRPr="005F1D8C" w:rsidRDefault="006E0495" w:rsidP="005F1D8C">
      <w:pPr>
        <w:pStyle w:val="EndNoteBibliography"/>
        <w:spacing w:after="0"/>
      </w:pPr>
      <w:r>
        <w:rPr>
          <w:rFonts w:ascii="Times New Roman" w:hAnsi="Times New Roman" w:cs="Times New Roman"/>
          <w:lang w:val="en-GB"/>
        </w:rPr>
        <w:fldChar w:fldCharType="begin"/>
      </w:r>
      <w:r>
        <w:rPr>
          <w:rFonts w:ascii="Times New Roman" w:hAnsi="Times New Roman" w:cs="Times New Roman"/>
          <w:lang w:val="en-GB"/>
        </w:rPr>
        <w:instrText xml:space="preserve"> ADDIN EN.REFLIST </w:instrText>
      </w:r>
      <w:r>
        <w:rPr>
          <w:rFonts w:ascii="Times New Roman" w:hAnsi="Times New Roman" w:cs="Times New Roman"/>
          <w:lang w:val="en-GB"/>
        </w:rPr>
        <w:fldChar w:fldCharType="separate"/>
      </w:r>
      <w:r w:rsidR="005F1D8C" w:rsidRPr="005F1D8C">
        <w:t xml:space="preserve">1. Schünemann HB JG, G.; Oxman, A. (2013) GRADE Handbook for grading quality of evidence and strength of recommendations. Updated October 2013. </w:t>
      </w:r>
      <w:hyperlink r:id="rId5" w:history="1">
        <w:r w:rsidR="005F1D8C" w:rsidRPr="005F1D8C">
          <w:rPr>
            <w:rStyle w:val="Hyperlink"/>
          </w:rPr>
          <w:t>https://gdt.gradepro.org/app/handbook/handbook.html</w:t>
        </w:r>
      </w:hyperlink>
      <w:r w:rsidR="005F1D8C" w:rsidRPr="005F1D8C">
        <w:t>. Accessed 29 November 2023.</w:t>
      </w:r>
    </w:p>
    <w:p w:rsidR="005F1D8C" w:rsidRPr="005F1D8C" w:rsidRDefault="005F1D8C" w:rsidP="005F1D8C">
      <w:pPr>
        <w:pStyle w:val="EndNoteBibliography"/>
        <w:spacing w:after="0"/>
      </w:pPr>
      <w:r w:rsidRPr="005F1D8C">
        <w:t xml:space="preserve">2. Zeng L, Brignardello-Petersen R, Hultcrantz M, Siemieniuk RAC, Santesso N, Traversy G, et al. (2021) GRADE guidelines 32: GRADE offers guidance on choosing targets of GRADE certainty of evidence ratings. J Clin Epidemiol 137:163-75. </w:t>
      </w:r>
      <w:hyperlink r:id="rId6" w:history="1">
        <w:r w:rsidRPr="005F1D8C">
          <w:rPr>
            <w:rStyle w:val="Hyperlink"/>
          </w:rPr>
          <w:t>https://doi.org/10.1016/j.jclinepi.2021.03.026</w:t>
        </w:r>
      </w:hyperlink>
    </w:p>
    <w:p w:rsidR="005F1D8C" w:rsidRPr="005F1D8C" w:rsidRDefault="005F1D8C" w:rsidP="005F1D8C">
      <w:pPr>
        <w:pStyle w:val="EndNoteBibliography"/>
        <w:spacing w:after="0"/>
      </w:pPr>
      <w:r w:rsidRPr="005F1D8C">
        <w:t xml:space="preserve">3. Zeng L, Brignardello-Petersen R, Hultcrantz M, Mustafa RA, Murad MH, Iorio A, et al. (2022) GRADE Guidance 34: update on rating imprecision using a minimally contextualized approach. J Clin Epidemiol 150:216-24. </w:t>
      </w:r>
      <w:hyperlink r:id="rId7" w:history="1">
        <w:r w:rsidRPr="005F1D8C">
          <w:rPr>
            <w:rStyle w:val="Hyperlink"/>
          </w:rPr>
          <w:t>https://doi.org/10.1016/j.jclinepi.2022.07.014</w:t>
        </w:r>
      </w:hyperlink>
    </w:p>
    <w:p w:rsidR="005F1D8C" w:rsidRPr="005F1D8C" w:rsidRDefault="005F1D8C" w:rsidP="005F1D8C">
      <w:pPr>
        <w:pStyle w:val="EndNoteBibliography"/>
      </w:pPr>
      <w:r w:rsidRPr="005F1D8C">
        <w:t xml:space="preserve">4. Zhang Y, Alonso-Coello P, Guyatt GH, Yepes-Nuñez JJ, Akl EA, Hazlewood G, et al. (2019) GRADE Guidelines: 19. Assessing the certainty of evidence in the importance of outcomes or values and preferences-Risk of bias and indirectness. J Clin Epidemiol 111:94-104. </w:t>
      </w:r>
      <w:hyperlink r:id="rId8" w:history="1">
        <w:r w:rsidRPr="005F1D8C">
          <w:rPr>
            <w:rStyle w:val="Hyperlink"/>
          </w:rPr>
          <w:t>https://doi.org/10.1016/j.jclinepi.2018.01.013</w:t>
        </w:r>
      </w:hyperlink>
    </w:p>
    <w:p w:rsidR="00877055" w:rsidRDefault="006E0495">
      <w:pPr>
        <w:rPr>
          <w:rFonts w:ascii="Times New Roman" w:hAnsi="Times New Roman" w:cs="Times New Roman"/>
          <w:lang w:val="en-GB"/>
        </w:rPr>
      </w:pPr>
      <w:r>
        <w:rPr>
          <w:rFonts w:ascii="Times New Roman" w:hAnsi="Times New Roman" w:cs="Times New Roman"/>
          <w:lang w:val="en-GB"/>
        </w:rPr>
        <w:fldChar w:fldCharType="end"/>
      </w:r>
    </w:p>
    <w:sectPr w:rsidR="00877055" w:rsidSect="00877055">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04413C"/>
    <w:multiLevelType w:val="hybridMultilevel"/>
    <w:tmpl w:val="D9EE2BC0"/>
    <w:lvl w:ilvl="0" w:tplc="67243D02">
      <w:start w:val="1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pringer Vancouver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wts590ewvvwwmezazpxxdvwzfw5fz0ttxpt&quot;&gt;Systematic review Mesh&lt;record-ids&gt;&lt;item&gt;63&lt;/item&gt;&lt;item&gt;64&lt;/item&gt;&lt;item&gt;66&lt;/item&gt;&lt;item&gt;67&lt;/item&gt;&lt;/record-ids&gt;&lt;/item&gt;&lt;/Libraries&gt;"/>
  </w:docVars>
  <w:rsids>
    <w:rsidRoot w:val="00607DF2"/>
    <w:rsid w:val="00475C09"/>
    <w:rsid w:val="005F1D8C"/>
    <w:rsid w:val="00607DF2"/>
    <w:rsid w:val="006E0495"/>
    <w:rsid w:val="00877055"/>
    <w:rsid w:val="00B220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5080B2-F21D-44C6-8808-51873F71D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paragraph" w:styleId="Heading1">
    <w:name w:val="heading 1"/>
    <w:basedOn w:val="Normal"/>
    <w:next w:val="Normal"/>
    <w:link w:val="Heading1Char"/>
    <w:uiPriority w:val="9"/>
    <w:qFormat/>
    <w:rsid w:val="00877055"/>
    <w:pPr>
      <w:keepNext/>
      <w:keepLines/>
      <w:spacing w:before="240" w:after="0" w:line="480"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7055"/>
    <w:rPr>
      <w:rFonts w:asciiTheme="majorHAnsi" w:eastAsiaTheme="majorEastAsia" w:hAnsiTheme="majorHAnsi" w:cstheme="majorBidi"/>
      <w:color w:val="2E74B5" w:themeColor="accent1" w:themeShade="BF"/>
      <w:sz w:val="32"/>
      <w:szCs w:val="32"/>
      <w:lang w:val="en-US"/>
    </w:rPr>
  </w:style>
  <w:style w:type="table" w:customStyle="1" w:styleId="Tabelraster2">
    <w:name w:val="Tabelraster2"/>
    <w:basedOn w:val="TableNormal"/>
    <w:next w:val="TableGrid"/>
    <w:uiPriority w:val="59"/>
    <w:rsid w:val="00877055"/>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877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0495"/>
    <w:pPr>
      <w:spacing w:after="200" w:line="276" w:lineRule="auto"/>
      <w:ind w:left="720"/>
      <w:contextualSpacing/>
    </w:pPr>
    <w:rPr>
      <w:lang w:val="nl-NL"/>
    </w:rPr>
  </w:style>
  <w:style w:type="paragraph" w:styleId="BalloonText">
    <w:name w:val="Balloon Text"/>
    <w:basedOn w:val="Normal"/>
    <w:link w:val="BalloonTextChar"/>
    <w:uiPriority w:val="99"/>
    <w:semiHidden/>
    <w:unhideWhenUsed/>
    <w:rsid w:val="006E04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0495"/>
    <w:rPr>
      <w:rFonts w:ascii="Segoe UI" w:hAnsi="Segoe UI" w:cs="Segoe UI"/>
      <w:sz w:val="18"/>
      <w:szCs w:val="18"/>
      <w:lang w:val="en-US"/>
    </w:rPr>
  </w:style>
  <w:style w:type="paragraph" w:customStyle="1" w:styleId="EndNoteBibliographyTitle">
    <w:name w:val="EndNote Bibliography Title"/>
    <w:basedOn w:val="Normal"/>
    <w:link w:val="EndNoteBibliographyTitleChar"/>
    <w:rsid w:val="006E0495"/>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6E0495"/>
    <w:rPr>
      <w:rFonts w:ascii="Calibri" w:hAnsi="Calibri" w:cs="Calibri"/>
      <w:noProof/>
      <w:lang w:val="en-US"/>
    </w:rPr>
  </w:style>
  <w:style w:type="paragraph" w:customStyle="1" w:styleId="EndNoteBibliography">
    <w:name w:val="EndNote Bibliography"/>
    <w:basedOn w:val="Normal"/>
    <w:link w:val="EndNoteBibliographyChar"/>
    <w:rsid w:val="006E0495"/>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6E0495"/>
    <w:rPr>
      <w:rFonts w:ascii="Calibri" w:hAnsi="Calibri" w:cs="Calibri"/>
      <w:noProof/>
      <w:lang w:val="en-US"/>
    </w:rPr>
  </w:style>
  <w:style w:type="character" w:styleId="Hyperlink">
    <w:name w:val="Hyperlink"/>
    <w:basedOn w:val="DefaultParagraphFont"/>
    <w:uiPriority w:val="99"/>
    <w:unhideWhenUsed/>
    <w:rsid w:val="006E04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jclinepi.2018.01.013" TargetMode="External"/><Relationship Id="rId3" Type="http://schemas.openxmlformats.org/officeDocument/2006/relationships/settings" Target="settings.xml"/><Relationship Id="rId7" Type="http://schemas.openxmlformats.org/officeDocument/2006/relationships/hyperlink" Target="https://doi.org/10.1016/j.jclinepi.2022.07.01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16/j.jclinepi.2021.03.026" TargetMode="External"/><Relationship Id="rId5" Type="http://schemas.openxmlformats.org/officeDocument/2006/relationships/hyperlink" Target="https://gdt.gradepro.org/app/handbook/handbook.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759</Words>
  <Characters>4178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AMC</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Bontekoning, N.</dc:creator>
  <cp:keywords/>
  <dc:description/>
  <cp:lastModifiedBy>Bontekoning, N.</cp:lastModifiedBy>
  <cp:revision>4</cp:revision>
  <dcterms:created xsi:type="dcterms:W3CDTF">2023-12-01T11:49:00Z</dcterms:created>
  <dcterms:modified xsi:type="dcterms:W3CDTF">2024-01-24T15:14:00Z</dcterms:modified>
</cp:coreProperties>
</file>