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2AC3F" w14:textId="3E72D155" w:rsidR="00D94EE2" w:rsidRDefault="006A7EDD" w:rsidP="00D94EE2">
      <w:pPr>
        <w:pStyle w:val="NormalWeb"/>
        <w:rPr>
          <w:rFonts w:asciiTheme="minorHAnsi" w:hAnsiTheme="minorHAnsi"/>
          <w:color w:val="000000"/>
          <w:shd w:val="clear" w:color="auto" w:fill="FFFFFF"/>
        </w:rPr>
      </w:pPr>
      <w:r>
        <w:rPr>
          <w:rFonts w:asciiTheme="minorHAnsi" w:hAnsiTheme="minorHAnsi"/>
          <w:b/>
          <w:bCs/>
          <w:color w:val="000000"/>
          <w:shd w:val="clear" w:color="auto" w:fill="FFFFFF"/>
        </w:rPr>
        <w:t xml:space="preserve">Supplementary File </w:t>
      </w:r>
      <w:r w:rsidR="00046FAC">
        <w:rPr>
          <w:rFonts w:asciiTheme="minorHAnsi" w:hAnsiTheme="minorHAnsi"/>
          <w:b/>
          <w:bCs/>
          <w:color w:val="000000"/>
          <w:shd w:val="clear" w:color="auto" w:fill="FFFFFF"/>
        </w:rPr>
        <w:t>2</w:t>
      </w:r>
      <w:r w:rsidR="00D94EE2">
        <w:rPr>
          <w:rFonts w:asciiTheme="minorHAnsi" w:hAnsiTheme="minorHAnsi"/>
          <w:b/>
          <w:bCs/>
          <w:color w:val="000000"/>
          <w:shd w:val="clear" w:color="auto" w:fill="FFFFFF"/>
        </w:rPr>
        <w:t xml:space="preserve"> </w:t>
      </w:r>
      <w:r w:rsidR="00D94EE2">
        <w:rPr>
          <w:rFonts w:asciiTheme="minorHAnsi" w:hAnsiTheme="minorHAnsi"/>
          <w:color w:val="000000"/>
          <w:shd w:val="clear" w:color="auto" w:fill="FFFFFF"/>
        </w:rPr>
        <w:t xml:space="preserve">– Psychometric properties within COSMIN taxonomy. Adapted from </w:t>
      </w:r>
      <w:sdt>
        <w:sdtPr>
          <w:rPr>
            <w:rFonts w:asciiTheme="minorHAnsi" w:hAnsiTheme="minorHAnsi"/>
            <w:color w:val="000000"/>
            <w:shd w:val="clear" w:color="auto" w:fill="FFFFFF"/>
          </w:rPr>
          <w:tag w:val="MENDELEY_CITATION_v3_eyJjaXRhdGlvbklEIjoiTUVOREVMRVlfQ0lUQVRJT05fMDVjYjdlNTQtYjZmMy00OGNkLWE1YjktZjQyZWMzZTU2NWVk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503795427"/>
          <w:placeholder>
            <w:docPart w:val="B29E9288623E480383ED1424EA07FE72"/>
          </w:placeholder>
        </w:sdtPr>
        <w:sdtContent>
          <w:r w:rsidR="00D94EE2" w:rsidRPr="00BE48FF">
            <w:rPr>
              <w:rFonts w:asciiTheme="minorHAnsi" w:hAnsiTheme="minorHAnsi"/>
              <w:color w:val="000000"/>
              <w:shd w:val="clear" w:color="auto" w:fill="FFFFFF"/>
            </w:rPr>
            <w:t>(313)</w:t>
          </w:r>
        </w:sdtContent>
      </w:sdt>
      <w:r w:rsidR="00D94EE2">
        <w:rPr>
          <w:rFonts w:asciiTheme="minorHAnsi" w:hAnsiTheme="minorHAnsi"/>
          <w:color w:val="000000"/>
          <w:shd w:val="clear" w:color="auto" w:fill="FFFFFF"/>
        </w:rPr>
        <w:fldChar w:fldCharType="begin"/>
      </w:r>
      <w:r w:rsidR="00D94EE2">
        <w:rPr>
          <w:rFonts w:asciiTheme="minorHAnsi" w:hAnsiTheme="minorHAnsi"/>
          <w:color w:val="000000"/>
          <w:shd w:val="clear" w:color="auto" w:fill="FFFFFF"/>
        </w:rPr>
        <w:instrText xml:space="preserve"> ADDIN EN.CITE &lt;EndNote&gt;&lt;Cite&gt;&lt;Author&gt;Mokkink&lt;/Author&gt;&lt;Year&gt;2016&lt;/Year&gt;&lt;RecNum&gt;308&lt;/RecNum&gt;&lt;DisplayText&gt;[21]&lt;/DisplayText&gt;&lt;record&gt;&lt;rec-number&gt;308&lt;/rec-number&gt;&lt;foreign-keys&gt;&lt;key app="EN" db-id="020as2vvzwawvcexx205zxwsadfsdss9d0t5" timestamp="1622626925"&gt;308&lt;/key&gt;&lt;/foreign-keys&gt;&lt;ref-type name="Journal Article"&gt;17&lt;/ref-type&gt;&lt;contributors&gt;&lt;authors&gt;&lt;author&gt;Mokkink, Lidwine B&lt;/author&gt;&lt;author&gt;Prinsen, Cecilia AC&lt;/author&gt;&lt;author&gt;Bouter, Lex M&lt;/author&gt;&lt;author&gt;de Vet, Henrica CW&lt;/author&gt;&lt;author&gt;Terwee, Caroline B&lt;/author&gt;&lt;/authors&gt;&lt;/contributors&gt;&lt;titles&gt;&lt;title&gt;The COnsensus-based Standards for the selection of health Measurement INstruments (COSMIN) and how to select an outcome measurement instrument&lt;/title&gt;&lt;secondary-title&gt;Brazilian journal of physical therapy&lt;/secondary-title&gt;&lt;/titles&gt;&lt;periodical&gt;&lt;full-title&gt;Brazilian journal of physical therapy&lt;/full-title&gt;&lt;/periodical&gt;&lt;pages&gt;105-113&lt;/pages&gt;&lt;volume&gt;20&lt;/volume&gt;&lt;number&gt;2&lt;/number&gt;&lt;dates&gt;&lt;year&gt;2016&lt;/year&gt;&lt;/dates&gt;&lt;isbn&gt;1413-3555&lt;/isbn&gt;&lt;urls&gt;&lt;/urls&gt;&lt;/record&gt;&lt;/Cite&gt;&lt;/EndNote&gt;</w:instrText>
      </w:r>
      <w:r w:rsidR="00000000">
        <w:rPr>
          <w:rFonts w:asciiTheme="minorHAnsi" w:hAnsiTheme="minorHAnsi"/>
          <w:color w:val="000000"/>
          <w:shd w:val="clear" w:color="auto" w:fill="FFFFFF"/>
        </w:rPr>
        <w:fldChar w:fldCharType="separate"/>
      </w:r>
      <w:r w:rsidR="00D94EE2">
        <w:rPr>
          <w:rFonts w:asciiTheme="minorHAnsi" w:hAnsiTheme="minorHAnsi"/>
          <w:color w:val="000000"/>
          <w:shd w:val="clear" w:color="auto" w:fill="FFFFFF"/>
        </w:rPr>
        <w:fldChar w:fldCharType="end"/>
      </w:r>
    </w:p>
    <w:tbl>
      <w:tblPr>
        <w:tblStyle w:val="GridTable3-Accent31"/>
        <w:tblW w:w="15452" w:type="dxa"/>
        <w:tblInd w:w="-318" w:type="dxa"/>
        <w:tblLook w:val="04A0" w:firstRow="1" w:lastRow="0" w:firstColumn="1" w:lastColumn="0" w:noHBand="0" w:noVBand="1"/>
      </w:tblPr>
      <w:tblGrid>
        <w:gridCol w:w="2006"/>
        <w:gridCol w:w="2116"/>
        <w:gridCol w:w="1841"/>
        <w:gridCol w:w="7576"/>
        <w:gridCol w:w="1913"/>
      </w:tblGrid>
      <w:tr w:rsidR="00D94EE2" w:rsidRPr="005F2231" w14:paraId="74048804" w14:textId="77777777" w:rsidTr="00A552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813" w:type="dxa"/>
            <w:gridSpan w:val="3"/>
            <w:tcBorders>
              <w:top w:val="single" w:sz="4" w:space="0" w:color="000000"/>
              <w:bottom w:val="single" w:sz="4" w:space="0" w:color="000000" w:themeColor="text1"/>
              <w:right w:val="single" w:sz="4" w:space="0" w:color="000000"/>
            </w:tcBorders>
          </w:tcPr>
          <w:p w14:paraId="1E46D68A" w14:textId="77777777" w:rsidR="00D94EE2" w:rsidRPr="005F2231" w:rsidRDefault="00D94EE2" w:rsidP="00A55215">
            <w:pPr>
              <w:pStyle w:val="NormalWeb"/>
              <w:jc w:val="left"/>
              <w:rPr>
                <w:rFonts w:asciiTheme="minorHAnsi" w:hAnsiTheme="minorHAnsi"/>
                <w:color w:val="000000"/>
                <w:shd w:val="clear" w:color="auto" w:fill="FFFFFF"/>
              </w:rPr>
            </w:pPr>
            <w:r w:rsidRPr="005F2231">
              <w:rPr>
                <w:rFonts w:asciiTheme="minorHAnsi" w:hAnsiTheme="minorHAnsi"/>
                <w:color w:val="000000"/>
                <w:shd w:val="clear" w:color="auto" w:fill="FFFFFF"/>
              </w:rPr>
              <w:t>Term</w:t>
            </w:r>
          </w:p>
        </w:tc>
        <w:tc>
          <w:tcPr>
            <w:tcW w:w="7719" w:type="dxa"/>
            <w:tcBorders>
              <w:top w:val="single" w:sz="4" w:space="0" w:color="000000"/>
              <w:left w:val="single" w:sz="4" w:space="0" w:color="000000"/>
              <w:bottom w:val="single" w:sz="4" w:space="0" w:color="FFFFFF"/>
              <w:right w:val="single" w:sz="4" w:space="0" w:color="000000"/>
            </w:tcBorders>
          </w:tcPr>
          <w:p w14:paraId="1EA123F5" w14:textId="77777777" w:rsidR="00D94EE2" w:rsidRPr="005F2231" w:rsidRDefault="00D94EE2" w:rsidP="00A55215">
            <w:pPr>
              <w:pStyle w:val="NormalWeb"/>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c>
          <w:tcPr>
            <w:tcW w:w="1920" w:type="dxa"/>
            <w:tcBorders>
              <w:top w:val="single" w:sz="4" w:space="0" w:color="000000"/>
              <w:left w:val="single" w:sz="4" w:space="0" w:color="000000"/>
              <w:bottom w:val="single" w:sz="4" w:space="0" w:color="FFFFFF"/>
              <w:right w:val="single" w:sz="4" w:space="0" w:color="000000"/>
            </w:tcBorders>
          </w:tcPr>
          <w:p w14:paraId="26ED2DD8" w14:textId="77777777" w:rsidR="00D94EE2" w:rsidRPr="005F2231" w:rsidRDefault="00D94EE2" w:rsidP="00A55215">
            <w:pPr>
              <w:pStyle w:val="NormalWeb"/>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11796B" w:rsidRPr="005F2231" w14:paraId="468C4364" w14:textId="77777777" w:rsidTr="00117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top w:val="single" w:sz="4" w:space="0" w:color="000000" w:themeColor="text1"/>
              <w:bottom w:val="thinThickSmallGap" w:sz="18" w:space="0" w:color="000000"/>
              <w:right w:val="single" w:sz="4" w:space="0" w:color="000000"/>
            </w:tcBorders>
          </w:tcPr>
          <w:p w14:paraId="6CE2E568" w14:textId="77777777" w:rsidR="00D94EE2" w:rsidRPr="005F2231" w:rsidRDefault="00D94EE2" w:rsidP="00A55215">
            <w:pPr>
              <w:pStyle w:val="NormalWeb"/>
              <w:jc w:val="left"/>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Domain</w:t>
            </w:r>
          </w:p>
        </w:tc>
        <w:tc>
          <w:tcPr>
            <w:tcW w:w="2126" w:type="dxa"/>
            <w:tcBorders>
              <w:top w:val="single" w:sz="4" w:space="0" w:color="000000" w:themeColor="text1"/>
              <w:left w:val="single" w:sz="4" w:space="0" w:color="000000"/>
              <w:bottom w:val="thinThickSmallGap" w:sz="18" w:space="0" w:color="000000"/>
              <w:right w:val="single" w:sz="4" w:space="0" w:color="000000"/>
            </w:tcBorders>
            <w:shd w:val="clear" w:color="auto" w:fill="FFFFFF" w:themeFill="background1"/>
          </w:tcPr>
          <w:p w14:paraId="5787AC9C"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Measurement Property</w:t>
            </w:r>
          </w:p>
        </w:tc>
        <w:tc>
          <w:tcPr>
            <w:tcW w:w="1843" w:type="dxa"/>
            <w:tcBorders>
              <w:top w:val="single" w:sz="4" w:space="0" w:color="000000" w:themeColor="text1"/>
              <w:left w:val="single" w:sz="4" w:space="0" w:color="000000"/>
              <w:bottom w:val="thinThickSmallGap" w:sz="18" w:space="0" w:color="000000"/>
              <w:right w:val="single" w:sz="4" w:space="0" w:color="000000"/>
            </w:tcBorders>
            <w:shd w:val="clear" w:color="auto" w:fill="FFFFFF" w:themeFill="background1"/>
          </w:tcPr>
          <w:p w14:paraId="0AF5B0D2"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Aspect of measurement property</w:t>
            </w:r>
          </w:p>
        </w:tc>
        <w:tc>
          <w:tcPr>
            <w:tcW w:w="7719" w:type="dxa"/>
            <w:tcBorders>
              <w:top w:val="single" w:sz="4" w:space="0" w:color="FFFFFF"/>
              <w:left w:val="single" w:sz="4" w:space="0" w:color="000000"/>
              <w:bottom w:val="thinThickSmallGap" w:sz="18" w:space="0" w:color="000000"/>
              <w:right w:val="single" w:sz="4" w:space="0" w:color="000000"/>
            </w:tcBorders>
            <w:shd w:val="clear" w:color="auto" w:fill="FFFFFF" w:themeFill="background1"/>
          </w:tcPr>
          <w:p w14:paraId="0E8D1B18"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p>
          <w:p w14:paraId="5655210A"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Definition</w:t>
            </w:r>
          </w:p>
        </w:tc>
        <w:tc>
          <w:tcPr>
            <w:tcW w:w="1920" w:type="dxa"/>
            <w:tcBorders>
              <w:top w:val="single" w:sz="4" w:space="0" w:color="FFFFFF"/>
              <w:left w:val="single" w:sz="4" w:space="0" w:color="000000"/>
              <w:bottom w:val="thinThickSmallGap" w:sz="18" w:space="0" w:color="000000"/>
              <w:right w:val="single" w:sz="4" w:space="0" w:color="000000"/>
            </w:tcBorders>
            <w:shd w:val="clear" w:color="auto" w:fill="FFFFFF" w:themeFill="background1"/>
          </w:tcPr>
          <w:p w14:paraId="1AE154C0" w14:textId="77777777" w:rsidR="00D94EE2" w:rsidRPr="003C1FC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highlight w:val="yellow"/>
                <w:shd w:val="clear" w:color="auto" w:fill="FFFFFF"/>
              </w:rPr>
            </w:pPr>
          </w:p>
          <w:p w14:paraId="517D149A" w14:textId="77777777" w:rsidR="00D94EE2" w:rsidRPr="003C1FC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highlight w:val="yellow"/>
                <w:shd w:val="clear" w:color="auto" w:fill="FFFFFF"/>
              </w:rPr>
            </w:pPr>
            <w:r w:rsidRPr="00077FE7">
              <w:rPr>
                <w:rFonts w:asciiTheme="minorHAnsi" w:hAnsiTheme="minorHAnsi"/>
                <w:b/>
                <w:bCs/>
                <w:color w:val="000000"/>
                <w:shd w:val="clear" w:color="auto" w:fill="FFFFFF"/>
              </w:rPr>
              <w:t>References</w:t>
            </w:r>
          </w:p>
        </w:tc>
      </w:tr>
      <w:tr w:rsidR="0011796B" w:rsidRPr="005F2231" w14:paraId="044C8F6B" w14:textId="77777777" w:rsidTr="0011796B">
        <w:tc>
          <w:tcPr>
            <w:cnfStyle w:val="001000000000" w:firstRow="0" w:lastRow="0" w:firstColumn="1" w:lastColumn="0" w:oddVBand="0" w:evenVBand="0" w:oddHBand="0" w:evenHBand="0" w:firstRowFirstColumn="0" w:firstRowLastColumn="0" w:lastRowFirstColumn="0" w:lastRowLastColumn="0"/>
            <w:tcW w:w="1844" w:type="dxa"/>
            <w:tcBorders>
              <w:top w:val="single" w:sz="4" w:space="0" w:color="000000"/>
              <w:right w:val="single" w:sz="4" w:space="0" w:color="000000"/>
            </w:tcBorders>
            <w:shd w:val="clear" w:color="auto" w:fill="D5D3D3"/>
          </w:tcPr>
          <w:p w14:paraId="0E023F4E" w14:textId="77777777" w:rsidR="00D94EE2" w:rsidRPr="005F2231" w:rsidRDefault="00D94EE2" w:rsidP="00A55215">
            <w:pPr>
              <w:pStyle w:val="NormalWeb"/>
              <w:jc w:val="left"/>
              <w:rPr>
                <w:rFonts w:asciiTheme="minorHAnsi" w:hAnsiTheme="minorHAnsi"/>
                <w:b/>
                <w:bCs/>
                <w:color w:val="000000"/>
                <w:shd w:val="clear" w:color="auto" w:fill="FFFFFF"/>
              </w:rPr>
            </w:pPr>
            <w:r w:rsidRPr="005F2231">
              <w:rPr>
                <w:rFonts w:asciiTheme="minorHAnsi" w:hAnsiTheme="minorHAnsi"/>
                <w:b/>
                <w:bCs/>
                <w:color w:val="000000"/>
                <w:highlight w:val="lightGray"/>
                <w:shd w:val="clear" w:color="auto" w:fill="FFFFFF"/>
              </w:rPr>
              <w:t>Reliability</w:t>
            </w:r>
          </w:p>
        </w:tc>
        <w:tc>
          <w:tcPr>
            <w:tcW w:w="2126" w:type="dxa"/>
            <w:tcBorders>
              <w:top w:val="single" w:sz="4" w:space="0" w:color="000000"/>
              <w:left w:val="single" w:sz="4" w:space="0" w:color="000000"/>
              <w:right w:val="single" w:sz="4" w:space="0" w:color="000000"/>
            </w:tcBorders>
            <w:shd w:val="clear" w:color="auto" w:fill="D5D3D3"/>
          </w:tcPr>
          <w:p w14:paraId="07433D00"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highlight w:val="lightGray"/>
                <w:shd w:val="clear" w:color="auto" w:fill="FFFFFF"/>
              </w:rPr>
              <w:t>-</w:t>
            </w:r>
          </w:p>
        </w:tc>
        <w:tc>
          <w:tcPr>
            <w:tcW w:w="1843" w:type="dxa"/>
            <w:tcBorders>
              <w:top w:val="single" w:sz="4" w:space="0" w:color="000000"/>
              <w:left w:val="single" w:sz="4" w:space="0" w:color="000000"/>
              <w:right w:val="single" w:sz="4" w:space="0" w:color="000000"/>
            </w:tcBorders>
            <w:shd w:val="clear" w:color="auto" w:fill="D5D3D3"/>
          </w:tcPr>
          <w:p w14:paraId="3987DC2D"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w:t>
            </w:r>
          </w:p>
        </w:tc>
        <w:tc>
          <w:tcPr>
            <w:tcW w:w="7719" w:type="dxa"/>
            <w:tcBorders>
              <w:top w:val="single" w:sz="4" w:space="0" w:color="000000"/>
              <w:left w:val="single" w:sz="4" w:space="0" w:color="000000"/>
              <w:bottom w:val="nil"/>
              <w:right w:val="single" w:sz="4" w:space="0" w:color="000000"/>
            </w:tcBorders>
            <w:shd w:val="clear" w:color="auto" w:fill="D5D3D3"/>
          </w:tcPr>
          <w:p w14:paraId="2C168683"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highlight w:val="lightGray"/>
              </w:rPr>
            </w:pPr>
            <w:r w:rsidRPr="005F2231">
              <w:rPr>
                <w:rFonts w:asciiTheme="minorHAnsi" w:hAnsiTheme="minorHAnsi"/>
                <w:i/>
                <w:iCs/>
                <w:highlight w:val="lightGray"/>
              </w:rPr>
              <w:t>“</w:t>
            </w:r>
            <w:r>
              <w:rPr>
                <w:rFonts w:asciiTheme="minorHAnsi" w:hAnsiTheme="minorHAnsi"/>
                <w:i/>
                <w:iCs/>
                <w:highlight w:val="lightGray"/>
              </w:rPr>
              <w:t>H</w:t>
            </w:r>
            <w:r w:rsidRPr="005F2231">
              <w:rPr>
                <w:rFonts w:asciiTheme="minorHAnsi" w:hAnsiTheme="minorHAnsi"/>
                <w:i/>
                <w:iCs/>
                <w:highlight w:val="lightGray"/>
              </w:rPr>
              <w:t>ow far it (the measurement tool) will give the same results on separate occasions”</w:t>
            </w:r>
          </w:p>
          <w:p w14:paraId="77331319"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highlight w:val="lightGray"/>
              </w:rPr>
            </w:pPr>
            <w:r w:rsidRPr="005F2231">
              <w:rPr>
                <w:rFonts w:asciiTheme="minorHAnsi" w:hAnsiTheme="minorHAnsi"/>
                <w:i/>
                <w:iCs/>
                <w:highlight w:val="lightGray"/>
              </w:rPr>
              <w:t>This can be done in different ways “from the same health related PROM (internal consistency); over time (test-retest); by different persons on the same occasion (inter-rater); by the same rater on different occasions (intra-rater)”</w:t>
            </w:r>
          </w:p>
          <w:p w14:paraId="7D70992B"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highlight w:val="lightGray"/>
              </w:rPr>
            </w:pPr>
          </w:p>
        </w:tc>
        <w:tc>
          <w:tcPr>
            <w:tcW w:w="1920" w:type="dxa"/>
            <w:tcBorders>
              <w:top w:val="single" w:sz="4" w:space="0" w:color="000000"/>
              <w:left w:val="single" w:sz="4" w:space="0" w:color="000000"/>
            </w:tcBorders>
            <w:shd w:val="clear" w:color="auto" w:fill="D5D3D3"/>
          </w:tcPr>
          <w:sdt>
            <w:sdtPr>
              <w:rPr>
                <w:rFonts w:asciiTheme="minorHAnsi" w:hAnsiTheme="minorHAnsi"/>
                <w:color w:val="000000"/>
                <w:shd w:val="clear" w:color="auto" w:fill="FFFFFF"/>
              </w:rPr>
              <w:tag w:val="MENDELEY_CITATION_v3_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"/>
              <w:id w:val="119426772"/>
              <w:placeholder>
                <w:docPart w:val="B29E9288623E480383ED1424EA07FE72"/>
              </w:placeholder>
            </w:sdtPr>
            <w:sdtContent>
              <w:p w14:paraId="63B106D2"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r w:rsidRPr="00BE48FF">
                  <w:rPr>
                    <w:rFonts w:asciiTheme="minorHAnsi" w:hAnsiTheme="minorHAnsi"/>
                    <w:color w:val="000000"/>
                    <w:shd w:val="clear" w:color="auto" w:fill="FFFFFF"/>
                  </w:rPr>
                  <w:t>(313,318)</w:t>
                </w:r>
              </w:p>
            </w:sdtContent>
          </w:sdt>
          <w:p w14:paraId="195F9E67"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11796B" w:rsidRPr="005F2231" w14:paraId="730EA200" w14:textId="77777777" w:rsidTr="00117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08269F9E"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4CC61629"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Internal consistency</w:t>
            </w:r>
          </w:p>
        </w:tc>
        <w:tc>
          <w:tcPr>
            <w:tcW w:w="1843" w:type="dxa"/>
            <w:tcBorders>
              <w:left w:val="single" w:sz="4" w:space="0" w:color="000000"/>
              <w:right w:val="single" w:sz="4" w:space="0" w:color="000000"/>
            </w:tcBorders>
            <w:shd w:val="clear" w:color="auto" w:fill="FFFFFF" w:themeFill="background1"/>
          </w:tcPr>
          <w:p w14:paraId="664D11B6"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7719" w:type="dxa"/>
            <w:tcBorders>
              <w:top w:val="nil"/>
              <w:left w:val="single" w:sz="4" w:space="0" w:color="000000"/>
              <w:right w:val="single" w:sz="4" w:space="0" w:color="000000"/>
            </w:tcBorders>
            <w:shd w:val="clear" w:color="auto" w:fill="FFFFFF" w:themeFill="background1"/>
          </w:tcPr>
          <w:p w14:paraId="35AD65C2" w14:textId="77777777" w:rsidR="00D94EE2" w:rsidRPr="00684432"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000000"/>
                <w:shd w:val="clear" w:color="auto" w:fill="FFFFFF"/>
              </w:rPr>
            </w:pPr>
            <w:r w:rsidRPr="00684432">
              <w:rPr>
                <w:rFonts w:asciiTheme="minorHAnsi" w:hAnsiTheme="minorHAnsi"/>
                <w:i/>
                <w:iCs/>
                <w:color w:val="000000"/>
                <w:shd w:val="clear" w:color="auto" w:fill="FFFFFF"/>
              </w:rPr>
              <w:t xml:space="preserve">“The degree of the interrelatedness among the items” </w:t>
            </w:r>
          </w:p>
          <w:p w14:paraId="582599DE"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F2231">
              <w:rPr>
                <w:rFonts w:asciiTheme="minorHAnsi" w:hAnsiTheme="minorHAnsi"/>
              </w:rPr>
              <w:t xml:space="preserve"> </w:t>
            </w:r>
            <w:r w:rsidRPr="005F2231">
              <w:rPr>
                <w:rFonts w:asciiTheme="minorHAnsi" w:hAnsiTheme="minorHAnsi"/>
                <w:i/>
                <w:iCs/>
              </w:rPr>
              <w:t>“</w:t>
            </w:r>
            <w:r>
              <w:rPr>
                <w:rFonts w:asciiTheme="minorHAnsi" w:hAnsiTheme="minorHAnsi"/>
                <w:i/>
                <w:iCs/>
              </w:rPr>
              <w:t>H</w:t>
            </w:r>
            <w:r w:rsidRPr="005F2231">
              <w:rPr>
                <w:rFonts w:asciiTheme="minorHAnsi" w:hAnsiTheme="minorHAnsi"/>
                <w:i/>
                <w:iCs/>
              </w:rPr>
              <w:t>ow well the different items measure the same characteristic”</w:t>
            </w:r>
            <w:r w:rsidRPr="005F2231">
              <w:rPr>
                <w:rFonts w:asciiTheme="minorHAnsi" w:hAnsiTheme="minorHAnsi"/>
              </w:rPr>
              <w:t xml:space="preserve"> within a scale i.e. it measures how well the subsections of a scale measure the same thing. If the subparts of a scale are found to measure the same things, then the scale is internally consistent. Cronbach’s alpha is commonly used to measure internal consistency, expressed as a value between 0 and 1. Values &gt;0.70 are acceptable, &gt;0.80 preferred and &gt;0.95 suggest that some elements of the scale are redundant and may be removed. </w:t>
            </w:r>
          </w:p>
          <w:p w14:paraId="358CC40C"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1920" w:type="dxa"/>
            <w:tcBorders>
              <w:left w:val="single" w:sz="4" w:space="0" w:color="000000"/>
            </w:tcBorders>
            <w:shd w:val="clear" w:color="auto" w:fill="FFFFFF" w:themeFill="background1"/>
          </w:tcPr>
          <w:sdt>
            <w:sdtPr>
              <w:rPr>
                <w:rFonts w:asciiTheme="minorHAnsi" w:hAnsiTheme="minorHAnsi"/>
                <w:color w:val="000000"/>
                <w:shd w:val="clear" w:color="auto" w:fill="FFFFFF"/>
              </w:rPr>
              <w:tag w:val="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"/>
              <w:id w:val="-909767602"/>
              <w:placeholder>
                <w:docPart w:val="B29E9288623E480383ED1424EA07FE72"/>
              </w:placeholder>
            </w:sdtPr>
            <w:sdtContent>
              <w:p w14:paraId="7449D780"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r w:rsidRPr="00BE48FF">
                  <w:rPr>
                    <w:rFonts w:asciiTheme="minorHAnsi" w:hAnsiTheme="minorHAnsi"/>
                    <w:color w:val="000000"/>
                    <w:shd w:val="clear" w:color="auto" w:fill="FFFFFF"/>
                  </w:rPr>
                  <w:t>(313,318,319)</w:t>
                </w:r>
              </w:p>
            </w:sdtContent>
          </w:sdt>
          <w:p w14:paraId="4FDD2CDB"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p>
        </w:tc>
      </w:tr>
      <w:tr w:rsidR="00D94EE2" w:rsidRPr="005F2231" w14:paraId="5001DA62"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1369CF0B"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D5D3D3"/>
          </w:tcPr>
          <w:p w14:paraId="5D3881FB"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Reliability</w:t>
            </w:r>
          </w:p>
        </w:tc>
        <w:tc>
          <w:tcPr>
            <w:tcW w:w="1843" w:type="dxa"/>
            <w:tcBorders>
              <w:left w:val="single" w:sz="4" w:space="0" w:color="000000"/>
              <w:right w:val="single" w:sz="4" w:space="0" w:color="000000"/>
            </w:tcBorders>
            <w:shd w:val="clear" w:color="auto" w:fill="D5D3D3"/>
          </w:tcPr>
          <w:p w14:paraId="5BDF61BC"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w:t>
            </w:r>
          </w:p>
        </w:tc>
        <w:tc>
          <w:tcPr>
            <w:tcW w:w="7719" w:type="dxa"/>
            <w:tcBorders>
              <w:left w:val="single" w:sz="4" w:space="0" w:color="000000"/>
              <w:right w:val="single" w:sz="4" w:space="0" w:color="000000"/>
            </w:tcBorders>
            <w:shd w:val="clear" w:color="auto" w:fill="D5D3D3"/>
          </w:tcPr>
          <w:p w14:paraId="23B54430"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r w:rsidRPr="005F2231">
              <w:rPr>
                <w:rFonts w:asciiTheme="minorHAnsi" w:hAnsiTheme="minorHAnsi"/>
                <w:i/>
                <w:iCs/>
                <w:color w:val="000000"/>
                <w:highlight w:val="lightGray"/>
                <w:shd w:val="clear" w:color="auto" w:fill="FFFFFF"/>
              </w:rPr>
              <w:t>“The proportion of the total variance in the measurements which is due to “true” differences between patients”</w:t>
            </w:r>
          </w:p>
          <w:p w14:paraId="7C05A593"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p>
        </w:tc>
        <w:tc>
          <w:tcPr>
            <w:tcW w:w="1920" w:type="dxa"/>
            <w:tcBorders>
              <w:left w:val="single" w:sz="4" w:space="0" w:color="000000"/>
            </w:tcBorders>
            <w:shd w:val="clear" w:color="auto" w:fill="D5D3D3"/>
          </w:tcPr>
          <w:sdt>
            <w:sdtPr>
              <w:rPr>
                <w:rFonts w:asciiTheme="minorHAnsi" w:hAnsiTheme="minorHAnsi"/>
                <w:color w:val="000000"/>
                <w:shd w:val="clear" w:color="auto" w:fill="FFFFFF"/>
              </w:rPr>
              <w:tag w:val="MENDELEY_CITATION_v3_eyJjaXRhdGlvbklEIjoiTUVOREVMRVlfQ0lUQVRJT05fZTI3NjM3YzEtNmYwOS00OGU4LWE1NmYtMTczNzc5ZmEzM2I5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950001559"/>
              <w:placeholder>
                <w:docPart w:val="B29E9288623E480383ED1424EA07FE72"/>
              </w:placeholder>
            </w:sdtPr>
            <w:sdtContent>
              <w:p w14:paraId="7FADE4D2"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r w:rsidRPr="00BE48FF">
                  <w:rPr>
                    <w:rFonts w:asciiTheme="minorHAnsi" w:hAnsiTheme="minorHAnsi"/>
                    <w:color w:val="000000"/>
                    <w:shd w:val="clear" w:color="auto" w:fill="FFFFFF"/>
                  </w:rPr>
                  <w:t>(313)</w:t>
                </w:r>
              </w:p>
            </w:sdtContent>
          </w:sdt>
          <w:p w14:paraId="4D304632"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D94EE2" w:rsidRPr="005F2231" w14:paraId="66F84D17" w14:textId="77777777" w:rsidTr="00A55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7223C2DB"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60F742EB"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Measurement error</w:t>
            </w:r>
          </w:p>
        </w:tc>
        <w:tc>
          <w:tcPr>
            <w:tcW w:w="1843" w:type="dxa"/>
            <w:tcBorders>
              <w:left w:val="single" w:sz="4" w:space="0" w:color="000000"/>
              <w:right w:val="single" w:sz="4" w:space="0" w:color="000000"/>
            </w:tcBorders>
            <w:shd w:val="clear" w:color="auto" w:fill="FFFFFF" w:themeFill="background1"/>
          </w:tcPr>
          <w:p w14:paraId="08CF18DA"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7719" w:type="dxa"/>
            <w:tcBorders>
              <w:left w:val="single" w:sz="4" w:space="0" w:color="000000"/>
              <w:right w:val="single" w:sz="4" w:space="0" w:color="000000"/>
            </w:tcBorders>
            <w:shd w:val="clear" w:color="auto" w:fill="FFFFFF" w:themeFill="background1"/>
          </w:tcPr>
          <w:p w14:paraId="0BF910C1" w14:textId="77777777" w:rsidR="00D94EE2"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000000"/>
                <w:shd w:val="clear" w:color="auto" w:fill="FFFFFF"/>
              </w:rPr>
            </w:pPr>
            <w:r w:rsidRPr="005F2231">
              <w:rPr>
                <w:rFonts w:asciiTheme="minorHAnsi" w:hAnsiTheme="minorHAnsi"/>
                <w:i/>
                <w:iCs/>
                <w:color w:val="000000"/>
                <w:shd w:val="clear" w:color="auto" w:fill="FFFFFF"/>
              </w:rPr>
              <w:t>“The systematic and random error of a patient’s score that is not attributed to “true” changes in the construct measured”</w:t>
            </w:r>
          </w:p>
          <w:p w14:paraId="6D04805F"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000000"/>
                <w:shd w:val="clear" w:color="auto" w:fill="FFFFFF"/>
              </w:rPr>
            </w:pPr>
          </w:p>
        </w:tc>
        <w:sdt>
          <w:sdtPr>
            <w:rPr>
              <w:rFonts w:asciiTheme="minorHAnsi" w:hAnsiTheme="minorHAnsi"/>
              <w:color w:val="000000"/>
              <w:shd w:val="clear" w:color="auto" w:fill="FFFFFF"/>
            </w:rPr>
            <w:tag w:val="MENDELEY_CITATION_v3_eyJjaXRhdGlvbklEIjoiTUVOREVMRVlfQ0lUQVRJT05fZmJhODhhNzktNjIwMC00NDA5LTkyNzAtZDAxMGU4NWY1ZWZh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46576796"/>
            <w:placeholder>
              <w:docPart w:val="B29E9288623E480383ED1424EA07FE72"/>
            </w:placeholder>
          </w:sdtPr>
          <w:sdtContent>
            <w:tc>
              <w:tcPr>
                <w:tcW w:w="1920" w:type="dxa"/>
                <w:tcBorders>
                  <w:left w:val="single" w:sz="4" w:space="0" w:color="000000"/>
                </w:tcBorders>
                <w:shd w:val="clear" w:color="auto" w:fill="FFFFFF" w:themeFill="background1"/>
              </w:tcPr>
              <w:p w14:paraId="60BDA88F"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r w:rsidRPr="00BE48FF">
                  <w:rPr>
                    <w:rFonts w:asciiTheme="minorHAnsi" w:hAnsiTheme="minorHAnsi"/>
                    <w:color w:val="000000"/>
                    <w:shd w:val="clear" w:color="auto" w:fill="FFFFFF"/>
                  </w:rPr>
                  <w:t>(313)</w:t>
                </w:r>
              </w:p>
            </w:tc>
          </w:sdtContent>
        </w:sdt>
      </w:tr>
      <w:tr w:rsidR="00D94EE2" w:rsidRPr="005F2231" w14:paraId="1DBF7D7D"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5EB24EB5" w14:textId="77777777" w:rsidR="00D94EE2" w:rsidRPr="005F2231" w:rsidRDefault="00D94EE2" w:rsidP="00A55215">
            <w:pPr>
              <w:pStyle w:val="NormalWeb"/>
              <w:jc w:val="left"/>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Validity</w:t>
            </w:r>
          </w:p>
        </w:tc>
        <w:tc>
          <w:tcPr>
            <w:tcW w:w="2126" w:type="dxa"/>
            <w:tcBorders>
              <w:left w:val="single" w:sz="4" w:space="0" w:color="000000"/>
              <w:right w:val="single" w:sz="4" w:space="0" w:color="000000"/>
            </w:tcBorders>
            <w:shd w:val="clear" w:color="auto" w:fill="D5D3D3"/>
          </w:tcPr>
          <w:p w14:paraId="79827069"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w:t>
            </w:r>
          </w:p>
        </w:tc>
        <w:tc>
          <w:tcPr>
            <w:tcW w:w="1843" w:type="dxa"/>
            <w:tcBorders>
              <w:left w:val="single" w:sz="4" w:space="0" w:color="000000"/>
              <w:right w:val="single" w:sz="4" w:space="0" w:color="000000"/>
            </w:tcBorders>
            <w:shd w:val="clear" w:color="auto" w:fill="D5D3D3"/>
          </w:tcPr>
          <w:p w14:paraId="1C1F5340"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5F2231">
              <w:rPr>
                <w:rFonts w:asciiTheme="minorHAnsi" w:hAnsiTheme="minorHAnsi"/>
                <w:b/>
                <w:bCs/>
                <w:color w:val="000000"/>
                <w:highlight w:val="lightGray"/>
                <w:shd w:val="clear" w:color="auto" w:fill="FFFFFF"/>
              </w:rPr>
              <w:t>-</w:t>
            </w:r>
          </w:p>
        </w:tc>
        <w:tc>
          <w:tcPr>
            <w:tcW w:w="7719" w:type="dxa"/>
            <w:tcBorders>
              <w:left w:val="single" w:sz="4" w:space="0" w:color="000000"/>
              <w:right w:val="single" w:sz="4" w:space="0" w:color="000000"/>
            </w:tcBorders>
            <w:shd w:val="clear" w:color="auto" w:fill="D5D3D3"/>
          </w:tcPr>
          <w:p w14:paraId="78C96F53" w14:textId="77777777" w:rsidR="00D94EE2" w:rsidRPr="005F2231"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r w:rsidRPr="005F2231">
              <w:rPr>
                <w:rFonts w:asciiTheme="minorHAnsi" w:hAnsiTheme="minorHAnsi"/>
                <w:i/>
                <w:iCs/>
                <w:highlight w:val="lightGray"/>
              </w:rPr>
              <w:t>“</w:t>
            </w:r>
            <w:proofErr w:type="gramStart"/>
            <w:r w:rsidRPr="005F2231">
              <w:rPr>
                <w:rFonts w:asciiTheme="minorHAnsi" w:hAnsiTheme="minorHAnsi"/>
                <w:i/>
                <w:iCs/>
                <w:highlight w:val="lightGray"/>
              </w:rPr>
              <w:t>the</w:t>
            </w:r>
            <w:proofErr w:type="gramEnd"/>
            <w:r w:rsidRPr="005F2231">
              <w:rPr>
                <w:rFonts w:asciiTheme="minorHAnsi" w:hAnsiTheme="minorHAnsi"/>
                <w:i/>
                <w:iCs/>
                <w:highlight w:val="lightGray"/>
              </w:rPr>
              <w:t xml:space="preserve"> degree to which the tool measures what it claims to measure”</w:t>
            </w:r>
          </w:p>
        </w:tc>
        <w:tc>
          <w:tcPr>
            <w:tcW w:w="1920" w:type="dxa"/>
            <w:tcBorders>
              <w:left w:val="single" w:sz="4" w:space="0" w:color="000000"/>
            </w:tcBorders>
            <w:shd w:val="clear" w:color="auto" w:fill="D5D3D3"/>
          </w:tcPr>
          <w:sdt>
            <w:sdtPr>
              <w:rPr>
                <w:rFonts w:asciiTheme="minorHAnsi" w:hAnsiTheme="minorHAnsi"/>
                <w:color w:val="000000"/>
              </w:rPr>
              <w:tag w:val="MENDELEY_CITATION_v3_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"/>
              <w:id w:val="-973679721"/>
              <w:placeholder>
                <w:docPart w:val="B29E9288623E480383ED1424EA07FE72"/>
              </w:placeholder>
            </w:sdtPr>
            <w:sdtContent>
              <w:p w14:paraId="62C0C261"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E48FF">
                  <w:rPr>
                    <w:rFonts w:asciiTheme="minorHAnsi" w:hAnsiTheme="minorHAnsi"/>
                    <w:color w:val="000000"/>
                  </w:rPr>
                  <w:t>(5)</w:t>
                </w:r>
              </w:p>
            </w:sdtContent>
          </w:sdt>
          <w:p w14:paraId="17EDED90"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D94EE2" w:rsidRPr="005F2231" w14:paraId="36105143" w14:textId="77777777" w:rsidTr="00A55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563DE586"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1F9B199A"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Content validity</w:t>
            </w:r>
          </w:p>
        </w:tc>
        <w:tc>
          <w:tcPr>
            <w:tcW w:w="1843" w:type="dxa"/>
            <w:tcBorders>
              <w:left w:val="single" w:sz="4" w:space="0" w:color="000000"/>
              <w:right w:val="single" w:sz="4" w:space="0" w:color="000000"/>
            </w:tcBorders>
            <w:shd w:val="clear" w:color="auto" w:fill="FFFFFF" w:themeFill="background1"/>
          </w:tcPr>
          <w:p w14:paraId="1C31ED35"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7719" w:type="dxa"/>
            <w:tcBorders>
              <w:left w:val="single" w:sz="4" w:space="0" w:color="000000"/>
              <w:right w:val="single" w:sz="4" w:space="0" w:color="000000"/>
            </w:tcBorders>
            <w:shd w:val="clear" w:color="auto" w:fill="FFFFFF" w:themeFill="background1"/>
          </w:tcPr>
          <w:p w14:paraId="4265CFF0"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F2231">
              <w:rPr>
                <w:rFonts w:asciiTheme="minorHAnsi" w:hAnsiTheme="minorHAnsi"/>
              </w:rPr>
              <w:t xml:space="preserve">The degree to which the content of a measure </w:t>
            </w:r>
            <w:r w:rsidRPr="005F2231">
              <w:rPr>
                <w:rFonts w:asciiTheme="minorHAnsi" w:hAnsiTheme="minorHAnsi"/>
                <w:i/>
                <w:iCs/>
              </w:rPr>
              <w:t>“is an adequate reflection of the construct being measured”.</w:t>
            </w:r>
            <w:r w:rsidRPr="005F2231">
              <w:rPr>
                <w:rFonts w:asciiTheme="minorHAnsi" w:hAnsiTheme="minorHAnsi"/>
              </w:rPr>
              <w:t xml:space="preserve"> </w:t>
            </w:r>
          </w:p>
          <w:p w14:paraId="56E7012E" w14:textId="77777777" w:rsidR="00D94EE2"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F2231">
              <w:rPr>
                <w:rFonts w:asciiTheme="minorHAnsi" w:hAnsiTheme="minorHAnsi"/>
              </w:rPr>
              <w:t>Content validity asks whether the scale has included all pertinent questions relevant to the condition of interest and excludes superfluous items. It is authenticated via an expert panel and literature review, although quantitative measures such as the Content Validity Ratio have been used.</w:t>
            </w:r>
          </w:p>
          <w:p w14:paraId="77251720" w14:textId="77777777" w:rsidR="00D94EE2" w:rsidRPr="00E97C5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1920" w:type="dxa"/>
            <w:tcBorders>
              <w:left w:val="single" w:sz="4" w:space="0" w:color="000000"/>
            </w:tcBorders>
            <w:shd w:val="clear" w:color="auto" w:fill="FFFFFF" w:themeFill="background1"/>
          </w:tcPr>
          <w:sdt>
            <w:sdtPr>
              <w:rPr>
                <w:rFonts w:asciiTheme="minorHAnsi" w:hAnsiTheme="minorHAnsi"/>
                <w:color w:val="000000"/>
              </w:rPr>
              <w:tag w:val="MENDELEY_CITATION_v3_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"/>
              <w:id w:val="-1856490023"/>
              <w:placeholder>
                <w:docPart w:val="B29E9288623E480383ED1424EA07FE72"/>
              </w:placeholder>
            </w:sdtPr>
            <w:sdtContent>
              <w:p w14:paraId="64F52986"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E48FF">
                  <w:rPr>
                    <w:rFonts w:asciiTheme="minorHAnsi" w:hAnsiTheme="minorHAnsi"/>
                    <w:color w:val="000000"/>
                  </w:rPr>
                  <w:t>(313,318)</w:t>
                </w:r>
              </w:p>
            </w:sdtContent>
          </w:sdt>
          <w:p w14:paraId="2C46E01C"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p>
        </w:tc>
      </w:tr>
      <w:tr w:rsidR="00D94EE2" w:rsidRPr="005F2231" w14:paraId="2A44B0FA"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2B0A4EEF"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D5D3D3"/>
          </w:tcPr>
          <w:p w14:paraId="4582E743"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w:t>
            </w:r>
          </w:p>
        </w:tc>
        <w:tc>
          <w:tcPr>
            <w:tcW w:w="1843" w:type="dxa"/>
            <w:tcBorders>
              <w:left w:val="single" w:sz="4" w:space="0" w:color="000000"/>
              <w:right w:val="single" w:sz="4" w:space="0" w:color="000000"/>
            </w:tcBorders>
            <w:shd w:val="clear" w:color="auto" w:fill="D5D3D3"/>
          </w:tcPr>
          <w:p w14:paraId="49EED745"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Face validity</w:t>
            </w:r>
          </w:p>
        </w:tc>
        <w:tc>
          <w:tcPr>
            <w:tcW w:w="7719" w:type="dxa"/>
            <w:tcBorders>
              <w:left w:val="single" w:sz="4" w:space="0" w:color="000000"/>
              <w:right w:val="single" w:sz="4" w:space="0" w:color="000000"/>
            </w:tcBorders>
            <w:shd w:val="clear" w:color="auto" w:fill="D5D3D3"/>
          </w:tcPr>
          <w:p w14:paraId="6AC55B6A"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highlight w:val="lightGray"/>
              </w:rPr>
            </w:pPr>
            <w:r w:rsidRPr="00AD020C">
              <w:rPr>
                <w:rFonts w:asciiTheme="minorHAnsi" w:hAnsiTheme="minorHAnsi"/>
                <w:highlight w:val="lightGray"/>
              </w:rPr>
              <w:t xml:space="preserve">Face validity assesses </w:t>
            </w:r>
            <w:proofErr w:type="gramStart"/>
            <w:r w:rsidRPr="00AD020C">
              <w:rPr>
                <w:rFonts w:asciiTheme="minorHAnsi" w:hAnsiTheme="minorHAnsi"/>
                <w:highlight w:val="lightGray"/>
              </w:rPr>
              <w:t>whether or not</w:t>
            </w:r>
            <w:proofErr w:type="gramEnd"/>
            <w:r w:rsidRPr="00AD020C">
              <w:rPr>
                <w:rFonts w:asciiTheme="minorHAnsi" w:hAnsiTheme="minorHAnsi"/>
                <w:highlight w:val="lightGray"/>
              </w:rPr>
              <w:t xml:space="preserve"> a measurement scale “looks reasonable” at a surface level. It is the degree to which it </w:t>
            </w:r>
            <w:r w:rsidRPr="00AD020C">
              <w:rPr>
                <w:rFonts w:asciiTheme="minorHAnsi" w:hAnsiTheme="minorHAnsi"/>
                <w:i/>
                <w:iCs/>
                <w:highlight w:val="lightGray"/>
              </w:rPr>
              <w:t>“looks as though it is an adequate reflection of the construct being measured”.</w:t>
            </w:r>
            <w:r w:rsidRPr="00AD020C">
              <w:rPr>
                <w:rFonts w:asciiTheme="minorHAnsi" w:hAnsiTheme="minorHAnsi"/>
                <w:highlight w:val="lightGray"/>
              </w:rPr>
              <w:t xml:space="preserve"> It is not addressed by in-depth statistical techniques but focuses on </w:t>
            </w:r>
            <w:proofErr w:type="gramStart"/>
            <w:r w:rsidRPr="00AD020C">
              <w:rPr>
                <w:rFonts w:asciiTheme="minorHAnsi" w:hAnsiTheme="minorHAnsi"/>
                <w:highlight w:val="lightGray"/>
              </w:rPr>
              <w:t>whether or not</w:t>
            </w:r>
            <w:proofErr w:type="gramEnd"/>
            <w:r w:rsidRPr="00AD020C">
              <w:rPr>
                <w:rFonts w:asciiTheme="minorHAnsi" w:hAnsiTheme="minorHAnsi"/>
                <w:highlight w:val="lightGray"/>
              </w:rPr>
              <w:t xml:space="preserve"> the scale includes items that are relevant to the subject of interest. Field experts and patients are involved in this stage. The more opinions involved to determine face validity, the more acceptable the questionnaire is likely to be. </w:t>
            </w:r>
          </w:p>
          <w:p w14:paraId="3050DA2F"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highlight w:val="lightGray"/>
              </w:rPr>
            </w:pPr>
          </w:p>
        </w:tc>
        <w:tc>
          <w:tcPr>
            <w:tcW w:w="1920" w:type="dxa"/>
            <w:tcBorders>
              <w:left w:val="single" w:sz="4" w:space="0" w:color="000000"/>
            </w:tcBorders>
            <w:shd w:val="clear" w:color="auto" w:fill="D5D3D3"/>
          </w:tcPr>
          <w:sdt>
            <w:sdtPr>
              <w:rPr>
                <w:rFonts w:asciiTheme="minorHAnsi" w:hAnsiTheme="minorHAnsi"/>
                <w:color w:val="000000"/>
              </w:rPr>
              <w:tag w:val="MENDELEY_CITATION_v3_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"/>
              <w:id w:val="717556159"/>
              <w:placeholder>
                <w:docPart w:val="B29E9288623E480383ED1424EA07FE72"/>
              </w:placeholder>
            </w:sdtPr>
            <w:sdtContent>
              <w:p w14:paraId="28CF0D79"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E48FF">
                  <w:rPr>
                    <w:rFonts w:asciiTheme="minorHAnsi" w:hAnsiTheme="minorHAnsi"/>
                    <w:color w:val="000000"/>
                  </w:rPr>
                  <w:t>(313,318)</w:t>
                </w:r>
              </w:p>
            </w:sdtContent>
          </w:sdt>
        </w:tc>
      </w:tr>
      <w:tr w:rsidR="00D94EE2" w:rsidRPr="005F2231" w14:paraId="1848284B" w14:textId="77777777" w:rsidTr="00A55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28462E61"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276E04A0"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Construct validity</w:t>
            </w:r>
          </w:p>
        </w:tc>
        <w:tc>
          <w:tcPr>
            <w:tcW w:w="1843" w:type="dxa"/>
            <w:tcBorders>
              <w:left w:val="single" w:sz="4" w:space="0" w:color="000000"/>
              <w:right w:val="single" w:sz="4" w:space="0" w:color="000000"/>
            </w:tcBorders>
            <w:shd w:val="clear" w:color="auto" w:fill="FFFFFF" w:themeFill="background1"/>
          </w:tcPr>
          <w:p w14:paraId="42B4293E"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7719" w:type="dxa"/>
            <w:tcBorders>
              <w:left w:val="single" w:sz="4" w:space="0" w:color="000000"/>
              <w:right w:val="single" w:sz="4" w:space="0" w:color="000000"/>
            </w:tcBorders>
            <w:shd w:val="clear" w:color="auto" w:fill="FFFFFF" w:themeFill="background1"/>
          </w:tcPr>
          <w:p w14:paraId="149F156E" w14:textId="77777777" w:rsidR="00D94EE2" w:rsidRPr="00E97C5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i/>
                <w:iCs/>
              </w:rPr>
            </w:pPr>
            <w:r w:rsidRPr="005F2231">
              <w:rPr>
                <w:rFonts w:asciiTheme="minorHAnsi" w:hAnsiTheme="minorHAnsi"/>
              </w:rPr>
              <w:t xml:space="preserve">Construct validity is an indirect approach that addresses the extent to which measurements </w:t>
            </w:r>
            <w:r w:rsidRPr="005F2231">
              <w:rPr>
                <w:rFonts w:asciiTheme="minorHAnsi" w:hAnsiTheme="minorHAnsi"/>
                <w:i/>
                <w:iCs/>
              </w:rPr>
              <w:t xml:space="preserve">“actually test the hypothesis or theory they are </w:t>
            </w:r>
            <w:r w:rsidRPr="005F2231">
              <w:rPr>
                <w:rFonts w:asciiTheme="minorHAnsi" w:hAnsiTheme="minorHAnsi"/>
                <w:i/>
                <w:iCs/>
              </w:rPr>
              <w:lastRenderedPageBreak/>
              <w:t>measuring”.</w:t>
            </w:r>
            <w:r>
              <w:rPr>
                <w:rFonts w:asciiTheme="minorHAnsi" w:hAnsiTheme="minorHAnsi"/>
                <w:i/>
                <w:iCs/>
              </w:rPr>
              <w:br/>
            </w:r>
          </w:p>
        </w:tc>
        <w:tc>
          <w:tcPr>
            <w:tcW w:w="1920" w:type="dxa"/>
            <w:tcBorders>
              <w:left w:val="single" w:sz="4" w:space="0" w:color="000000"/>
            </w:tcBorders>
            <w:shd w:val="clear" w:color="auto" w:fill="FFFFFF" w:themeFill="background1"/>
          </w:tcPr>
          <w:sdt>
            <w:sdtPr>
              <w:rPr>
                <w:rFonts w:asciiTheme="minorHAnsi" w:hAnsiTheme="minorHAnsi"/>
                <w:color w:val="000000"/>
              </w:rPr>
              <w:tag w:val="MENDELEY_CITATION_v3_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"/>
              <w:id w:val="-2080519118"/>
              <w:placeholder>
                <w:docPart w:val="B29E9288623E480383ED1424EA07FE72"/>
              </w:placeholder>
            </w:sdtPr>
            <w:sdtContent>
              <w:p w14:paraId="3605D1A3"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E48FF">
                  <w:rPr>
                    <w:rFonts w:asciiTheme="minorHAnsi" w:hAnsiTheme="minorHAnsi"/>
                    <w:color w:val="000000"/>
                  </w:rPr>
                  <w:t>(320)</w:t>
                </w:r>
              </w:p>
            </w:sdtContent>
          </w:sdt>
        </w:tc>
      </w:tr>
      <w:tr w:rsidR="00D94EE2" w:rsidRPr="005F2231" w14:paraId="5C4FB7A0"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233E8310"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D5D3D3"/>
          </w:tcPr>
          <w:p w14:paraId="3036D108"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w:t>
            </w:r>
          </w:p>
        </w:tc>
        <w:tc>
          <w:tcPr>
            <w:tcW w:w="1843" w:type="dxa"/>
            <w:tcBorders>
              <w:left w:val="single" w:sz="4" w:space="0" w:color="000000"/>
              <w:right w:val="single" w:sz="4" w:space="0" w:color="000000"/>
            </w:tcBorders>
            <w:shd w:val="clear" w:color="auto" w:fill="D5D3D3"/>
          </w:tcPr>
          <w:p w14:paraId="41FE000A"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Structural validity</w:t>
            </w:r>
          </w:p>
        </w:tc>
        <w:tc>
          <w:tcPr>
            <w:tcW w:w="7719" w:type="dxa"/>
            <w:tcBorders>
              <w:left w:val="single" w:sz="4" w:space="0" w:color="000000"/>
              <w:right w:val="single" w:sz="4" w:space="0" w:color="000000"/>
            </w:tcBorders>
            <w:shd w:val="clear" w:color="auto" w:fill="D5D3D3"/>
          </w:tcPr>
          <w:p w14:paraId="48545B32"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r w:rsidRPr="00AD020C">
              <w:rPr>
                <w:rFonts w:asciiTheme="minorHAnsi" w:hAnsiTheme="minorHAnsi"/>
                <w:i/>
                <w:iCs/>
                <w:color w:val="000000"/>
                <w:highlight w:val="lightGray"/>
                <w:shd w:val="clear" w:color="auto" w:fill="FFFFFF"/>
              </w:rPr>
              <w:t>“The degree to which the scores of an instrument are an adequate reflection of the dimensionality of the construct to be measured”</w:t>
            </w:r>
          </w:p>
        </w:tc>
        <w:tc>
          <w:tcPr>
            <w:tcW w:w="1920" w:type="dxa"/>
            <w:tcBorders>
              <w:left w:val="single" w:sz="4" w:space="0" w:color="000000"/>
            </w:tcBorders>
            <w:shd w:val="clear" w:color="auto" w:fill="D5D3D3"/>
          </w:tcPr>
          <w:sdt>
            <w:sdtPr>
              <w:rPr>
                <w:rFonts w:asciiTheme="minorHAnsi" w:hAnsiTheme="minorHAnsi"/>
                <w:color w:val="000000"/>
              </w:rPr>
              <w:tag w:val="MENDELEY_CITATION_v3_eyJjaXRhdGlvbklEIjoiTUVOREVMRVlfQ0lUQVRJT05fOTlhNzEwZDUtYThiNi00MWQ5LWJhOTktMjYyMTEwNTc2Nzli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1156953061"/>
              <w:placeholder>
                <w:docPart w:val="B29E9288623E480383ED1424EA07FE72"/>
              </w:placeholder>
            </w:sdtPr>
            <w:sdtContent>
              <w:p w14:paraId="673B65A7"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E48FF">
                  <w:rPr>
                    <w:rFonts w:asciiTheme="minorHAnsi" w:hAnsiTheme="minorHAnsi"/>
                    <w:color w:val="000000"/>
                  </w:rPr>
                  <w:t>(313)</w:t>
                </w:r>
              </w:p>
            </w:sdtContent>
          </w:sdt>
          <w:p w14:paraId="6CB7A55C"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D94EE2" w:rsidRPr="005F2231" w14:paraId="44F54680" w14:textId="77777777" w:rsidTr="00A55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7944630B"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4F9888BE"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1843" w:type="dxa"/>
            <w:tcBorders>
              <w:left w:val="single" w:sz="4" w:space="0" w:color="000000"/>
              <w:right w:val="single" w:sz="4" w:space="0" w:color="000000"/>
            </w:tcBorders>
            <w:shd w:val="clear" w:color="auto" w:fill="FFFFFF" w:themeFill="background1"/>
          </w:tcPr>
          <w:p w14:paraId="29C2C2A8"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Hypothesis testing</w:t>
            </w:r>
          </w:p>
        </w:tc>
        <w:tc>
          <w:tcPr>
            <w:tcW w:w="7719" w:type="dxa"/>
            <w:tcBorders>
              <w:left w:val="single" w:sz="4" w:space="0" w:color="000000"/>
              <w:right w:val="single" w:sz="4" w:space="0" w:color="000000"/>
            </w:tcBorders>
            <w:shd w:val="clear" w:color="auto" w:fill="FFFFFF" w:themeFill="background1"/>
          </w:tcPr>
          <w:p w14:paraId="2FB27482"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000000"/>
                <w:shd w:val="clear" w:color="auto" w:fill="FFFFFF"/>
              </w:rPr>
            </w:pPr>
            <w:r w:rsidRPr="005F2231">
              <w:rPr>
                <w:rFonts w:asciiTheme="minorHAnsi" w:hAnsiTheme="minorHAnsi"/>
                <w:i/>
                <w:iCs/>
                <w:color w:val="000000"/>
                <w:shd w:val="clear" w:color="auto" w:fill="FFFFFF"/>
              </w:rPr>
              <w:t>“Item construct validity”</w:t>
            </w:r>
          </w:p>
        </w:tc>
        <w:tc>
          <w:tcPr>
            <w:tcW w:w="1920" w:type="dxa"/>
            <w:tcBorders>
              <w:left w:val="single" w:sz="4" w:space="0" w:color="000000"/>
            </w:tcBorders>
            <w:shd w:val="clear" w:color="auto" w:fill="FFFFFF" w:themeFill="background1"/>
          </w:tcPr>
          <w:sdt>
            <w:sdtPr>
              <w:rPr>
                <w:rFonts w:asciiTheme="minorHAnsi" w:hAnsiTheme="minorHAnsi"/>
                <w:color w:val="000000"/>
              </w:rPr>
              <w:tag w:val="MENDELEY_CITATION_v3_eyJjaXRhdGlvbklEIjoiTUVOREVMRVlfQ0lUQVRJT05fZmIyOTY3MjEtODEwZC00NjliLTkxMmUtMGZhOWI2NzZmNWI0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1161347941"/>
              <w:placeholder>
                <w:docPart w:val="B29E9288623E480383ED1424EA07FE72"/>
              </w:placeholder>
            </w:sdtPr>
            <w:sdtContent>
              <w:p w14:paraId="6C2C7205"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E48FF">
                  <w:rPr>
                    <w:rFonts w:asciiTheme="minorHAnsi" w:hAnsiTheme="minorHAnsi"/>
                    <w:color w:val="000000"/>
                  </w:rPr>
                  <w:t>(313)</w:t>
                </w:r>
              </w:p>
            </w:sdtContent>
          </w:sdt>
          <w:p w14:paraId="001F1F02" w14:textId="77777777" w:rsidR="00D94EE2" w:rsidRPr="00BE48FF"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p>
        </w:tc>
      </w:tr>
      <w:tr w:rsidR="00D94EE2" w:rsidRPr="005F2231" w14:paraId="532FA353"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109E6DE0"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D5D3D3"/>
          </w:tcPr>
          <w:p w14:paraId="28E9F647"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w:t>
            </w:r>
          </w:p>
        </w:tc>
        <w:tc>
          <w:tcPr>
            <w:tcW w:w="1843" w:type="dxa"/>
            <w:tcBorders>
              <w:left w:val="single" w:sz="4" w:space="0" w:color="000000"/>
              <w:right w:val="single" w:sz="4" w:space="0" w:color="000000"/>
            </w:tcBorders>
            <w:shd w:val="clear" w:color="auto" w:fill="D5D3D3"/>
          </w:tcPr>
          <w:p w14:paraId="3299DBB5"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Cross-cultural validity</w:t>
            </w:r>
          </w:p>
        </w:tc>
        <w:tc>
          <w:tcPr>
            <w:tcW w:w="7719" w:type="dxa"/>
            <w:tcBorders>
              <w:left w:val="single" w:sz="4" w:space="0" w:color="000000"/>
              <w:right w:val="single" w:sz="4" w:space="0" w:color="000000"/>
            </w:tcBorders>
            <w:shd w:val="clear" w:color="auto" w:fill="D5D3D3"/>
          </w:tcPr>
          <w:p w14:paraId="538E8765"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r w:rsidRPr="00AD020C">
              <w:rPr>
                <w:rFonts w:asciiTheme="minorHAnsi" w:hAnsiTheme="minorHAnsi"/>
                <w:i/>
                <w:iCs/>
                <w:color w:val="000000"/>
                <w:highlight w:val="lightGray"/>
                <w:shd w:val="clear" w:color="auto" w:fill="FFFFFF"/>
              </w:rPr>
              <w:t>“The degree to which the performance of the items on a translated or culturally adapted instrument are an adequate reflection of the performance of the items of the original version of the instrument”</w:t>
            </w:r>
          </w:p>
        </w:tc>
        <w:tc>
          <w:tcPr>
            <w:tcW w:w="1920" w:type="dxa"/>
            <w:tcBorders>
              <w:left w:val="single" w:sz="4" w:space="0" w:color="000000"/>
            </w:tcBorders>
            <w:shd w:val="clear" w:color="auto" w:fill="D5D3D3"/>
          </w:tcPr>
          <w:sdt>
            <w:sdtPr>
              <w:rPr>
                <w:rFonts w:asciiTheme="minorHAnsi" w:hAnsiTheme="minorHAnsi"/>
                <w:color w:val="000000"/>
              </w:rPr>
              <w:tag w:val="MENDELEY_CITATION_v3_eyJjaXRhdGlvbklEIjoiTUVOREVMRVlfQ0lUQVRJT05fYWE5ZTNkNDgtNjNiOS00OTZmLThmMTEtMTlhYWZjNjQ3MzY5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1507588611"/>
              <w:placeholder>
                <w:docPart w:val="B29E9288623E480383ED1424EA07FE72"/>
              </w:placeholder>
            </w:sdtPr>
            <w:sdtContent>
              <w:p w14:paraId="1DED02F6"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BE48FF">
                  <w:rPr>
                    <w:rFonts w:asciiTheme="minorHAnsi" w:hAnsiTheme="minorHAnsi"/>
                    <w:color w:val="000000"/>
                  </w:rPr>
                  <w:t>(313)</w:t>
                </w:r>
              </w:p>
            </w:sdtContent>
          </w:sdt>
          <w:p w14:paraId="289765F8"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p>
        </w:tc>
      </w:tr>
      <w:tr w:rsidR="00D94EE2" w:rsidRPr="005F2231" w14:paraId="3CCC0915" w14:textId="77777777" w:rsidTr="00A552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tcPr>
          <w:p w14:paraId="659984E3" w14:textId="77777777" w:rsidR="00D94EE2" w:rsidRPr="005F2231" w:rsidRDefault="00D94EE2" w:rsidP="00A55215">
            <w:pPr>
              <w:pStyle w:val="NormalWeb"/>
              <w:jc w:val="left"/>
              <w:rPr>
                <w:rFonts w:asciiTheme="minorHAnsi" w:hAnsiTheme="minorHAnsi"/>
                <w:b/>
                <w:bCs/>
                <w:color w:val="000000"/>
                <w:shd w:val="clear" w:color="auto" w:fill="FFFFFF"/>
              </w:rPr>
            </w:pPr>
          </w:p>
        </w:tc>
        <w:tc>
          <w:tcPr>
            <w:tcW w:w="2126" w:type="dxa"/>
            <w:tcBorders>
              <w:left w:val="single" w:sz="4" w:space="0" w:color="000000"/>
              <w:right w:val="single" w:sz="4" w:space="0" w:color="000000"/>
            </w:tcBorders>
            <w:shd w:val="clear" w:color="auto" w:fill="FFFFFF" w:themeFill="background1"/>
          </w:tcPr>
          <w:p w14:paraId="4D8BDB38"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Criterion validity</w:t>
            </w:r>
          </w:p>
        </w:tc>
        <w:tc>
          <w:tcPr>
            <w:tcW w:w="1843" w:type="dxa"/>
            <w:tcBorders>
              <w:left w:val="single" w:sz="4" w:space="0" w:color="000000"/>
              <w:right w:val="single" w:sz="4" w:space="0" w:color="000000"/>
            </w:tcBorders>
            <w:shd w:val="clear" w:color="auto" w:fill="FFFFFF" w:themeFill="background1"/>
          </w:tcPr>
          <w:p w14:paraId="0965DC9F"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000000"/>
                <w:shd w:val="clear" w:color="auto" w:fill="FFFFFF"/>
              </w:rPr>
            </w:pPr>
            <w:r w:rsidRPr="005F2231">
              <w:rPr>
                <w:rFonts w:asciiTheme="minorHAnsi" w:hAnsiTheme="minorHAnsi"/>
                <w:b/>
                <w:bCs/>
                <w:color w:val="000000"/>
                <w:shd w:val="clear" w:color="auto" w:fill="FFFFFF"/>
              </w:rPr>
              <w:t>-</w:t>
            </w:r>
          </w:p>
        </w:tc>
        <w:tc>
          <w:tcPr>
            <w:tcW w:w="7719" w:type="dxa"/>
            <w:tcBorders>
              <w:left w:val="single" w:sz="4" w:space="0" w:color="000000"/>
              <w:right w:val="single" w:sz="4" w:space="0" w:color="000000"/>
            </w:tcBorders>
            <w:shd w:val="clear" w:color="auto" w:fill="FFFFFF" w:themeFill="background1"/>
          </w:tcPr>
          <w:p w14:paraId="23CD7B1B" w14:textId="77777777" w:rsidR="00D94EE2"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F2231">
              <w:rPr>
                <w:rFonts w:asciiTheme="minorHAnsi" w:hAnsiTheme="minorHAnsi"/>
              </w:rPr>
              <w:t xml:space="preserve">This is split into two types: Predictive validity – does the tool predict future differences and, concurrent validity – assess the tools correlation with assessed outcome i.e. a correlation with ‘the gold standard’. </w:t>
            </w:r>
          </w:p>
          <w:p w14:paraId="1CF88F41" w14:textId="77777777" w:rsidR="00D94EE2" w:rsidRPr="005F2231" w:rsidRDefault="00D94EE2"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hd w:val="clear" w:color="auto" w:fill="FFFFFF"/>
              </w:rPr>
            </w:pPr>
          </w:p>
        </w:tc>
        <w:tc>
          <w:tcPr>
            <w:tcW w:w="1920" w:type="dxa"/>
            <w:tcBorders>
              <w:left w:val="single" w:sz="4" w:space="0" w:color="000000"/>
            </w:tcBorders>
            <w:shd w:val="clear" w:color="auto" w:fill="FFFFFF" w:themeFill="background1"/>
          </w:tcPr>
          <w:p w14:paraId="069C7F4B" w14:textId="77777777" w:rsidR="00D94EE2" w:rsidRPr="00BE48FF" w:rsidRDefault="00000000" w:rsidP="00A55215">
            <w:pPr>
              <w:pStyle w:val="NormalWeb"/>
              <w:cnfStyle w:val="000000100000" w:firstRow="0" w:lastRow="0" w:firstColumn="0" w:lastColumn="0" w:oddVBand="0" w:evenVBand="0" w:oddHBand="1" w:evenHBand="0" w:firstRowFirstColumn="0" w:firstRowLastColumn="0" w:lastRowFirstColumn="0" w:lastRowLastColumn="0"/>
              <w:rPr>
                <w:rFonts w:asciiTheme="minorHAnsi" w:hAnsiTheme="minorHAnsi"/>
                <w:noProof/>
              </w:rPr>
            </w:pPr>
            <w:sdt>
              <w:sdtPr>
                <w:rPr>
                  <w:rFonts w:asciiTheme="minorHAnsi" w:hAnsiTheme="minorHAnsi"/>
                  <w:color w:val="000000"/>
                </w:rPr>
                <w:tag w:val="MENDELEY_CITATION_v3_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"/>
                <w:id w:val="1391304907"/>
                <w:placeholder>
                  <w:docPart w:val="B29E9288623E480383ED1424EA07FE72"/>
                </w:placeholder>
              </w:sdtPr>
              <w:sdtContent>
                <w:r w:rsidR="00D94EE2" w:rsidRPr="00BE48FF">
                  <w:rPr>
                    <w:rFonts w:asciiTheme="minorHAnsi" w:hAnsiTheme="minorHAnsi"/>
                    <w:color w:val="000000"/>
                  </w:rPr>
                  <w:t>(321)</w:t>
                </w:r>
              </w:sdtContent>
            </w:sdt>
          </w:p>
        </w:tc>
      </w:tr>
      <w:tr w:rsidR="00D94EE2" w:rsidRPr="005F2231" w14:paraId="3232CEDF" w14:textId="77777777" w:rsidTr="00A55215">
        <w:tc>
          <w:tcPr>
            <w:cnfStyle w:val="001000000000" w:firstRow="0" w:lastRow="0" w:firstColumn="1" w:lastColumn="0" w:oddVBand="0" w:evenVBand="0" w:oddHBand="0" w:evenHBand="0" w:firstRowFirstColumn="0" w:firstRowLastColumn="0" w:lastRowFirstColumn="0" w:lastRowLastColumn="0"/>
            <w:tcW w:w="1844" w:type="dxa"/>
            <w:tcBorders>
              <w:right w:val="single" w:sz="4" w:space="0" w:color="000000"/>
            </w:tcBorders>
            <w:shd w:val="clear" w:color="auto" w:fill="D5D3D3"/>
          </w:tcPr>
          <w:p w14:paraId="7A85443D" w14:textId="77777777" w:rsidR="00D94EE2" w:rsidRPr="00AD020C" w:rsidRDefault="00D94EE2" w:rsidP="00A55215">
            <w:pPr>
              <w:pStyle w:val="NormalWeb"/>
              <w:jc w:val="left"/>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Responsiveness</w:t>
            </w:r>
          </w:p>
        </w:tc>
        <w:tc>
          <w:tcPr>
            <w:tcW w:w="2126" w:type="dxa"/>
            <w:tcBorders>
              <w:left w:val="single" w:sz="4" w:space="0" w:color="000000"/>
              <w:right w:val="single" w:sz="4" w:space="0" w:color="000000"/>
            </w:tcBorders>
            <w:shd w:val="clear" w:color="auto" w:fill="D5D3D3"/>
          </w:tcPr>
          <w:p w14:paraId="6597E1A7"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w:t>
            </w:r>
          </w:p>
        </w:tc>
        <w:tc>
          <w:tcPr>
            <w:tcW w:w="1843" w:type="dxa"/>
            <w:tcBorders>
              <w:left w:val="single" w:sz="4" w:space="0" w:color="000000"/>
              <w:right w:val="single" w:sz="4" w:space="0" w:color="000000"/>
            </w:tcBorders>
            <w:shd w:val="clear" w:color="auto" w:fill="D5D3D3"/>
          </w:tcPr>
          <w:p w14:paraId="0EB8A980"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highlight w:val="lightGray"/>
                <w:shd w:val="clear" w:color="auto" w:fill="FFFFFF"/>
              </w:rPr>
            </w:pPr>
            <w:r w:rsidRPr="00AD020C">
              <w:rPr>
                <w:rFonts w:asciiTheme="minorHAnsi" w:hAnsiTheme="minorHAnsi"/>
                <w:b/>
                <w:bCs/>
                <w:color w:val="000000"/>
                <w:highlight w:val="lightGray"/>
                <w:shd w:val="clear" w:color="auto" w:fill="FFFFFF"/>
              </w:rPr>
              <w:t>-</w:t>
            </w:r>
          </w:p>
        </w:tc>
        <w:tc>
          <w:tcPr>
            <w:tcW w:w="7719" w:type="dxa"/>
            <w:tcBorders>
              <w:left w:val="single" w:sz="4" w:space="0" w:color="000000"/>
              <w:right w:val="single" w:sz="4" w:space="0" w:color="000000"/>
            </w:tcBorders>
            <w:shd w:val="clear" w:color="auto" w:fill="D5D3D3"/>
          </w:tcPr>
          <w:p w14:paraId="5D4B4134" w14:textId="77777777" w:rsidR="00D94EE2"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r w:rsidRPr="00AD020C">
              <w:rPr>
                <w:rFonts w:asciiTheme="minorHAnsi" w:hAnsiTheme="minorHAnsi"/>
                <w:i/>
                <w:iCs/>
                <w:color w:val="000000"/>
                <w:highlight w:val="lightGray"/>
                <w:shd w:val="clear" w:color="auto" w:fill="FFFFFF"/>
              </w:rPr>
              <w:t>“The ability of an instrument to detect change over time in the construct being measured”</w:t>
            </w:r>
          </w:p>
          <w:p w14:paraId="2B116074" w14:textId="77777777" w:rsidR="00D94EE2" w:rsidRPr="00AD020C"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000000"/>
                <w:highlight w:val="lightGray"/>
                <w:shd w:val="clear" w:color="auto" w:fill="FFFFFF"/>
              </w:rPr>
            </w:pPr>
          </w:p>
        </w:tc>
        <w:sdt>
          <w:sdtPr>
            <w:rPr>
              <w:rFonts w:asciiTheme="minorHAnsi" w:hAnsiTheme="minorHAnsi"/>
              <w:color w:val="000000"/>
              <w:shd w:val="clear" w:color="auto" w:fill="FFFFFF"/>
            </w:rPr>
            <w:tag w:val="MENDELEY_CITATION_v3_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"/>
            <w:id w:val="-88077910"/>
            <w:placeholder>
              <w:docPart w:val="B29E9288623E480383ED1424EA07FE72"/>
            </w:placeholder>
          </w:sdtPr>
          <w:sdtContent>
            <w:tc>
              <w:tcPr>
                <w:tcW w:w="1920" w:type="dxa"/>
                <w:tcBorders>
                  <w:left w:val="single" w:sz="4" w:space="0" w:color="000000"/>
                </w:tcBorders>
                <w:shd w:val="clear" w:color="auto" w:fill="D5D3D3"/>
              </w:tcPr>
              <w:p w14:paraId="54ADFF95" w14:textId="77777777" w:rsidR="00D94EE2" w:rsidRPr="00BE48FF" w:rsidRDefault="00D94EE2" w:rsidP="00A55215">
                <w:pPr>
                  <w:pStyle w:val="NormalWeb"/>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hd w:val="clear" w:color="auto" w:fill="FFFFFF"/>
                  </w:rPr>
                </w:pPr>
                <w:r w:rsidRPr="00BE48FF">
                  <w:rPr>
                    <w:rFonts w:asciiTheme="minorHAnsi" w:hAnsiTheme="minorHAnsi"/>
                    <w:color w:val="000000"/>
                    <w:shd w:val="clear" w:color="auto" w:fill="FFFFFF"/>
                  </w:rPr>
                  <w:t>(313)</w:t>
                </w:r>
              </w:p>
            </w:tc>
          </w:sdtContent>
        </w:sdt>
      </w:tr>
    </w:tbl>
    <w:p w14:paraId="755A0011" w14:textId="77777777" w:rsidR="00D94EE2" w:rsidRDefault="00D94EE2"/>
    <w:sectPr w:rsidR="00D94EE2" w:rsidSect="00077FE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BCD26" w14:textId="77777777" w:rsidR="006D7535" w:rsidRDefault="006D7535" w:rsidP="00223198">
      <w:r>
        <w:separator/>
      </w:r>
    </w:p>
  </w:endnote>
  <w:endnote w:type="continuationSeparator" w:id="0">
    <w:p w14:paraId="72A5AFE4" w14:textId="77777777" w:rsidR="006D7535" w:rsidRDefault="006D7535" w:rsidP="0022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50CFA" w14:textId="77777777" w:rsidR="006D7535" w:rsidRDefault="006D7535" w:rsidP="00223198">
      <w:r>
        <w:separator/>
      </w:r>
    </w:p>
  </w:footnote>
  <w:footnote w:type="continuationSeparator" w:id="0">
    <w:p w14:paraId="7975862A" w14:textId="77777777" w:rsidR="006D7535" w:rsidRDefault="006D7535" w:rsidP="002231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EE2"/>
    <w:rsid w:val="00046FAC"/>
    <w:rsid w:val="00077FE7"/>
    <w:rsid w:val="00101CEE"/>
    <w:rsid w:val="0011796B"/>
    <w:rsid w:val="00223198"/>
    <w:rsid w:val="0047135C"/>
    <w:rsid w:val="00522415"/>
    <w:rsid w:val="00551826"/>
    <w:rsid w:val="00553F0C"/>
    <w:rsid w:val="006A7EDD"/>
    <w:rsid w:val="006D7535"/>
    <w:rsid w:val="00826753"/>
    <w:rsid w:val="008669BA"/>
    <w:rsid w:val="00AC60DF"/>
    <w:rsid w:val="00C77B6B"/>
    <w:rsid w:val="00D94EE2"/>
    <w:rsid w:val="00DA09E1"/>
    <w:rsid w:val="00DB77C2"/>
    <w:rsid w:val="00F4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A3B6"/>
  <w15:chartTrackingRefBased/>
  <w15:docId w15:val="{B047FB00-6AA6-4F4A-936B-9AEB21AD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EE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94E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94E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94EE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94EE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94EE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94EE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94EE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94EE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94EE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E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E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E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E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E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EE2"/>
    <w:rPr>
      <w:rFonts w:eastAsiaTheme="majorEastAsia" w:cstheme="majorBidi"/>
      <w:color w:val="272727" w:themeColor="text1" w:themeTint="D8"/>
    </w:rPr>
  </w:style>
  <w:style w:type="paragraph" w:styleId="Title">
    <w:name w:val="Title"/>
    <w:basedOn w:val="Normal"/>
    <w:next w:val="Normal"/>
    <w:link w:val="TitleChar"/>
    <w:uiPriority w:val="10"/>
    <w:qFormat/>
    <w:rsid w:val="00D94EE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94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EE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94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EE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94EE2"/>
    <w:rPr>
      <w:i/>
      <w:iCs/>
      <w:color w:val="404040" w:themeColor="text1" w:themeTint="BF"/>
    </w:rPr>
  </w:style>
  <w:style w:type="paragraph" w:styleId="ListParagraph">
    <w:name w:val="List Paragraph"/>
    <w:basedOn w:val="Normal"/>
    <w:uiPriority w:val="34"/>
    <w:qFormat/>
    <w:rsid w:val="00D94EE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94EE2"/>
    <w:rPr>
      <w:i/>
      <w:iCs/>
      <w:color w:val="0F4761" w:themeColor="accent1" w:themeShade="BF"/>
    </w:rPr>
  </w:style>
  <w:style w:type="paragraph" w:styleId="IntenseQuote">
    <w:name w:val="Intense Quote"/>
    <w:basedOn w:val="Normal"/>
    <w:next w:val="Normal"/>
    <w:link w:val="IntenseQuoteChar"/>
    <w:uiPriority w:val="30"/>
    <w:qFormat/>
    <w:rsid w:val="00D94EE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94EE2"/>
    <w:rPr>
      <w:i/>
      <w:iCs/>
      <w:color w:val="0F4761" w:themeColor="accent1" w:themeShade="BF"/>
    </w:rPr>
  </w:style>
  <w:style w:type="character" w:styleId="IntenseReference">
    <w:name w:val="Intense Reference"/>
    <w:basedOn w:val="DefaultParagraphFont"/>
    <w:uiPriority w:val="32"/>
    <w:qFormat/>
    <w:rsid w:val="00D94EE2"/>
    <w:rPr>
      <w:b/>
      <w:bCs/>
      <w:smallCaps/>
      <w:color w:val="0F4761" w:themeColor="accent1" w:themeShade="BF"/>
      <w:spacing w:val="5"/>
    </w:rPr>
  </w:style>
  <w:style w:type="paragraph" w:styleId="NormalWeb">
    <w:name w:val="Normal (Web)"/>
    <w:basedOn w:val="Normal"/>
    <w:uiPriority w:val="99"/>
    <w:unhideWhenUsed/>
    <w:rsid w:val="00D94EE2"/>
    <w:pPr>
      <w:spacing w:before="100" w:beforeAutospacing="1" w:after="100" w:afterAutospacing="1"/>
    </w:pPr>
    <w:rPr>
      <w:lang w:eastAsia="en-US"/>
    </w:rPr>
  </w:style>
  <w:style w:type="character" w:styleId="CommentReference">
    <w:name w:val="annotation reference"/>
    <w:basedOn w:val="DefaultParagraphFont"/>
    <w:uiPriority w:val="99"/>
    <w:semiHidden/>
    <w:unhideWhenUsed/>
    <w:rsid w:val="00D94EE2"/>
    <w:rPr>
      <w:sz w:val="16"/>
      <w:szCs w:val="16"/>
    </w:rPr>
  </w:style>
  <w:style w:type="paragraph" w:styleId="CommentText">
    <w:name w:val="annotation text"/>
    <w:basedOn w:val="Normal"/>
    <w:link w:val="CommentTextChar"/>
    <w:uiPriority w:val="99"/>
    <w:unhideWhenUsed/>
    <w:rsid w:val="00D94EE2"/>
    <w:rPr>
      <w:sz w:val="20"/>
      <w:szCs w:val="20"/>
    </w:rPr>
  </w:style>
  <w:style w:type="character" w:customStyle="1" w:styleId="CommentTextChar">
    <w:name w:val="Comment Text Char"/>
    <w:basedOn w:val="DefaultParagraphFont"/>
    <w:link w:val="CommentText"/>
    <w:uiPriority w:val="99"/>
    <w:rsid w:val="00D94EE2"/>
    <w:rPr>
      <w:rFonts w:ascii="Times New Roman" w:eastAsia="Times New Roman" w:hAnsi="Times New Roman" w:cs="Times New Roman"/>
      <w:kern w:val="0"/>
      <w:sz w:val="20"/>
      <w:szCs w:val="20"/>
      <w:lang w:eastAsia="en-GB"/>
      <w14:ligatures w14:val="none"/>
    </w:rPr>
  </w:style>
  <w:style w:type="table" w:customStyle="1" w:styleId="GridTable3-Accent31">
    <w:name w:val="Grid Table 3 - Accent 31"/>
    <w:basedOn w:val="TableNormal"/>
    <w:uiPriority w:val="48"/>
    <w:rsid w:val="00D94EE2"/>
    <w:pPr>
      <w:spacing w:after="0" w:line="240" w:lineRule="auto"/>
    </w:pPr>
    <w:rPr>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paragraph" w:styleId="Revision">
    <w:name w:val="Revision"/>
    <w:hidden/>
    <w:uiPriority w:val="99"/>
    <w:semiHidden/>
    <w:rsid w:val="00D94EE2"/>
    <w:pPr>
      <w:spacing w:after="0"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223198"/>
    <w:pPr>
      <w:tabs>
        <w:tab w:val="center" w:pos="4513"/>
        <w:tab w:val="right" w:pos="9026"/>
      </w:tabs>
    </w:pPr>
  </w:style>
  <w:style w:type="character" w:customStyle="1" w:styleId="HeaderChar">
    <w:name w:val="Header Char"/>
    <w:basedOn w:val="DefaultParagraphFont"/>
    <w:link w:val="Header"/>
    <w:uiPriority w:val="99"/>
    <w:rsid w:val="00223198"/>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223198"/>
    <w:pPr>
      <w:tabs>
        <w:tab w:val="center" w:pos="4513"/>
        <w:tab w:val="right" w:pos="9026"/>
      </w:tabs>
    </w:pPr>
  </w:style>
  <w:style w:type="character" w:customStyle="1" w:styleId="FooterChar">
    <w:name w:val="Footer Char"/>
    <w:basedOn w:val="DefaultParagraphFont"/>
    <w:link w:val="Footer"/>
    <w:uiPriority w:val="99"/>
    <w:rsid w:val="00223198"/>
    <w:rPr>
      <w:rFonts w:ascii="Times New Roman" w:eastAsia="Times New Roman" w:hAnsi="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826753"/>
    <w:rPr>
      <w:b/>
      <w:bCs/>
    </w:rPr>
  </w:style>
  <w:style w:type="character" w:customStyle="1" w:styleId="CommentSubjectChar">
    <w:name w:val="Comment Subject Char"/>
    <w:basedOn w:val="CommentTextChar"/>
    <w:link w:val="CommentSubject"/>
    <w:uiPriority w:val="99"/>
    <w:semiHidden/>
    <w:rsid w:val="00826753"/>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29E9288623E480383ED1424EA07FE72"/>
        <w:category>
          <w:name w:val="General"/>
          <w:gallery w:val="placeholder"/>
        </w:category>
        <w:types>
          <w:type w:val="bbPlcHdr"/>
        </w:types>
        <w:behaviors>
          <w:behavior w:val="content"/>
        </w:behaviors>
        <w:guid w:val="{28669009-F29D-453F-AEBA-17B5F7A0D30A}"/>
      </w:docPartPr>
      <w:docPartBody>
        <w:p w:rsidR="009F5386" w:rsidRDefault="00233D1A" w:rsidP="00233D1A">
          <w:pPr>
            <w:pStyle w:val="B29E9288623E480383ED1424EA07FE72"/>
          </w:pPr>
          <w:r w:rsidRPr="00B54D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1A"/>
    <w:rsid w:val="00101CEE"/>
    <w:rsid w:val="001E3CFC"/>
    <w:rsid w:val="00233D1A"/>
    <w:rsid w:val="00522415"/>
    <w:rsid w:val="005343E5"/>
    <w:rsid w:val="009F5386"/>
    <w:rsid w:val="00A87698"/>
    <w:rsid w:val="00AC60DF"/>
    <w:rsid w:val="00DB77C2"/>
    <w:rsid w:val="00E15928"/>
    <w:rsid w:val="00F3357A"/>
    <w:rsid w:val="00F4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D1A"/>
    <w:rPr>
      <w:color w:val="666666"/>
    </w:rPr>
  </w:style>
  <w:style w:type="paragraph" w:customStyle="1" w:styleId="B29E9288623E480383ED1424EA07FE72">
    <w:name w:val="B29E9288623E480383ED1424EA07FE72"/>
    <w:rsid w:val="00233D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York Teaching Hospitals NHS Foundation Trust</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CHINTAPATLA, Srinivas (YORK AND SCARBOROUGH TEACHING HOSPITALS NHS FOUNDATION TRUST)</dc:creator>
  <cp:keywords/>
  <dc:description/>
  <cp:lastModifiedBy>CHINTAPATLA, Srinivas (YORK AND SCARBOROUGH TEACHING HOSPITALS NHS FOUNDATION TRUST)</cp:lastModifiedBy>
  <cp:revision>2</cp:revision>
  <dcterms:created xsi:type="dcterms:W3CDTF">2024-09-11T14:18:00Z</dcterms:created>
  <dcterms:modified xsi:type="dcterms:W3CDTF">2024-09-11T14:18:00Z</dcterms:modified>
</cp:coreProperties>
</file>