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174D46" w14:textId="6E482A64" w:rsidR="00D729B4" w:rsidRDefault="00DA31A9" w:rsidP="000B1E62">
      <w:pPr>
        <w:rPr>
          <w:rFonts w:ascii="Arial" w:hAnsi="Arial" w:cs="Arial"/>
          <w:b/>
          <w:bCs/>
        </w:rPr>
      </w:pPr>
      <w:r>
        <w:rPr>
          <w:rFonts w:ascii="Arial" w:hAnsi="Arial" w:cs="Arial"/>
          <w:b/>
          <w:bCs/>
        </w:rPr>
        <w:t>Online Resource 1</w:t>
      </w:r>
    </w:p>
    <w:p w14:paraId="168C87E5" w14:textId="77777777" w:rsidR="00753661" w:rsidRDefault="00753661" w:rsidP="000B1E62">
      <w:pPr>
        <w:rPr>
          <w:rFonts w:ascii="Arial" w:hAnsi="Arial" w:cs="Arial"/>
          <w:b/>
          <w:bCs/>
        </w:rPr>
      </w:pPr>
    </w:p>
    <w:p w14:paraId="3BCEE4B6" w14:textId="77777777" w:rsidR="00D729B4" w:rsidRPr="00753661" w:rsidRDefault="00D729B4" w:rsidP="000B1E62">
      <w:pPr>
        <w:rPr>
          <w:rFonts w:ascii="Arial" w:hAnsi="Arial" w:cs="Arial"/>
          <w:b/>
          <w:bCs/>
          <w:sz w:val="20"/>
          <w:szCs w:val="20"/>
        </w:rPr>
      </w:pPr>
    </w:p>
    <w:p w14:paraId="50A778D7" w14:textId="228EE146" w:rsidR="000B1E62" w:rsidRPr="00753661" w:rsidRDefault="000B1E62" w:rsidP="000B1E62">
      <w:pPr>
        <w:rPr>
          <w:rFonts w:ascii="Arial" w:hAnsi="Arial" w:cs="Arial"/>
          <w:b/>
          <w:bCs/>
          <w:sz w:val="20"/>
          <w:szCs w:val="20"/>
        </w:rPr>
      </w:pPr>
      <w:r w:rsidRPr="00753661">
        <w:rPr>
          <w:rFonts w:ascii="Arial" w:hAnsi="Arial" w:cs="Arial"/>
          <w:b/>
          <w:bCs/>
          <w:sz w:val="20"/>
          <w:szCs w:val="20"/>
        </w:rPr>
        <w:t xml:space="preserve">Table </w:t>
      </w:r>
      <w:r w:rsidR="005D78AF" w:rsidRPr="00753661">
        <w:rPr>
          <w:rFonts w:ascii="Arial" w:hAnsi="Arial" w:cs="Arial"/>
          <w:b/>
          <w:bCs/>
          <w:sz w:val="20"/>
          <w:szCs w:val="20"/>
        </w:rPr>
        <w:t>2</w:t>
      </w:r>
      <w:r w:rsidRPr="00753661">
        <w:rPr>
          <w:rFonts w:ascii="Arial" w:hAnsi="Arial" w:cs="Arial"/>
          <w:b/>
          <w:bCs/>
          <w:sz w:val="20"/>
          <w:szCs w:val="20"/>
        </w:rPr>
        <w:t xml:space="preserve">: </w:t>
      </w:r>
      <w:r w:rsidR="00653E98" w:rsidRPr="00753661">
        <w:rPr>
          <w:rFonts w:ascii="Arial" w:hAnsi="Arial" w:cs="Arial"/>
          <w:b/>
          <w:bCs/>
          <w:sz w:val="20"/>
          <w:szCs w:val="20"/>
        </w:rPr>
        <w:t xml:space="preserve">References for Included Studies and </w:t>
      </w:r>
      <w:r w:rsidRPr="00753661">
        <w:rPr>
          <w:rFonts w:ascii="Arial" w:hAnsi="Arial" w:cs="Arial"/>
          <w:b/>
          <w:bCs/>
          <w:sz w:val="20"/>
          <w:szCs w:val="20"/>
        </w:rPr>
        <w:t>Varying Definitions of Chronic Pain</w:t>
      </w:r>
    </w:p>
    <w:tbl>
      <w:tblPr>
        <w:tblStyle w:val="TableGrid"/>
        <w:tblW w:w="11785" w:type="dxa"/>
        <w:tblLook w:val="04A0" w:firstRow="1" w:lastRow="0" w:firstColumn="1" w:lastColumn="0" w:noHBand="0" w:noVBand="1"/>
      </w:tblPr>
      <w:tblGrid>
        <w:gridCol w:w="2065"/>
        <w:gridCol w:w="9720"/>
      </w:tblGrid>
      <w:tr w:rsidR="000B1E62" w:rsidRPr="00753661" w14:paraId="6789DDF4" w14:textId="77777777" w:rsidTr="00D729B4">
        <w:trPr>
          <w:trHeight w:val="424"/>
        </w:trPr>
        <w:tc>
          <w:tcPr>
            <w:tcW w:w="2065" w:type="dxa"/>
            <w:vMerge w:val="restart"/>
            <w:vAlign w:val="bottom"/>
          </w:tcPr>
          <w:p w14:paraId="67D9D019" w14:textId="28FBFD4C" w:rsidR="000B1E62" w:rsidRPr="00753661" w:rsidRDefault="000B1E62" w:rsidP="00D729B4">
            <w:pPr>
              <w:rPr>
                <w:rFonts w:ascii="Arial" w:hAnsi="Arial" w:cs="Arial"/>
                <w:b/>
                <w:bCs/>
                <w:sz w:val="20"/>
                <w:szCs w:val="20"/>
              </w:rPr>
            </w:pPr>
            <w:r w:rsidRPr="00753661">
              <w:rPr>
                <w:rFonts w:ascii="Arial" w:hAnsi="Arial" w:cs="Arial"/>
                <w:b/>
                <w:bCs/>
                <w:sz w:val="20"/>
                <w:szCs w:val="20"/>
              </w:rPr>
              <w:t>Author</w:t>
            </w:r>
            <w:r w:rsidR="003F5BD1" w:rsidRPr="00753661">
              <w:rPr>
                <w:rFonts w:ascii="Arial" w:hAnsi="Arial" w:cs="Arial"/>
                <w:b/>
                <w:bCs/>
                <w:sz w:val="20"/>
                <w:szCs w:val="20"/>
              </w:rPr>
              <w:t xml:space="preserve">, </w:t>
            </w:r>
            <w:r w:rsidRPr="00753661">
              <w:rPr>
                <w:rFonts w:ascii="Arial" w:hAnsi="Arial" w:cs="Arial"/>
                <w:b/>
                <w:bCs/>
                <w:sz w:val="20"/>
                <w:szCs w:val="20"/>
              </w:rPr>
              <w:t>Year</w:t>
            </w:r>
            <w:r w:rsidR="003F5BD1" w:rsidRPr="00753661">
              <w:rPr>
                <w:rFonts w:ascii="Arial" w:hAnsi="Arial" w:cs="Arial"/>
                <w:b/>
                <w:bCs/>
                <w:sz w:val="20"/>
                <w:szCs w:val="20"/>
              </w:rPr>
              <w:t>, and Reference</w:t>
            </w:r>
          </w:p>
        </w:tc>
        <w:tc>
          <w:tcPr>
            <w:tcW w:w="9720" w:type="dxa"/>
            <w:vMerge w:val="restart"/>
            <w:vAlign w:val="bottom"/>
          </w:tcPr>
          <w:p w14:paraId="0E7C12D4" w14:textId="77777777" w:rsidR="000B1E62" w:rsidRPr="00753661" w:rsidRDefault="000B1E62" w:rsidP="00D729B4">
            <w:pPr>
              <w:rPr>
                <w:rFonts w:ascii="Arial" w:hAnsi="Arial" w:cs="Arial"/>
                <w:b/>
                <w:bCs/>
                <w:sz w:val="20"/>
                <w:szCs w:val="20"/>
              </w:rPr>
            </w:pPr>
            <w:r w:rsidRPr="00753661">
              <w:rPr>
                <w:rFonts w:ascii="Arial" w:hAnsi="Arial" w:cs="Arial"/>
                <w:b/>
                <w:bCs/>
                <w:sz w:val="20"/>
                <w:szCs w:val="20"/>
              </w:rPr>
              <w:t>Study’s definition of chronic pain</w:t>
            </w:r>
          </w:p>
        </w:tc>
      </w:tr>
      <w:tr w:rsidR="000B1E62" w:rsidRPr="00753661" w14:paraId="44F8E06B" w14:textId="77777777" w:rsidTr="00D729B4">
        <w:trPr>
          <w:trHeight w:val="230"/>
        </w:trPr>
        <w:tc>
          <w:tcPr>
            <w:tcW w:w="2065" w:type="dxa"/>
            <w:vMerge/>
          </w:tcPr>
          <w:p w14:paraId="2F14B67A" w14:textId="77777777" w:rsidR="000B1E62" w:rsidRPr="00753661" w:rsidRDefault="000B1E62">
            <w:pPr>
              <w:rPr>
                <w:rFonts w:ascii="Arial" w:hAnsi="Arial" w:cs="Arial"/>
                <w:b/>
                <w:bCs/>
                <w:sz w:val="20"/>
                <w:szCs w:val="20"/>
              </w:rPr>
            </w:pPr>
          </w:p>
        </w:tc>
        <w:tc>
          <w:tcPr>
            <w:tcW w:w="9720" w:type="dxa"/>
            <w:vMerge/>
          </w:tcPr>
          <w:p w14:paraId="2272F9E1" w14:textId="77777777" w:rsidR="000B1E62" w:rsidRPr="00753661" w:rsidRDefault="000B1E62">
            <w:pPr>
              <w:rPr>
                <w:rFonts w:ascii="Arial" w:hAnsi="Arial" w:cs="Arial"/>
                <w:b/>
                <w:bCs/>
                <w:sz w:val="20"/>
                <w:szCs w:val="20"/>
              </w:rPr>
            </w:pPr>
          </w:p>
        </w:tc>
      </w:tr>
      <w:tr w:rsidR="000B1E62" w:rsidRPr="00753661" w14:paraId="3ADE8537" w14:textId="77777777" w:rsidTr="00091A90">
        <w:trPr>
          <w:cantSplit/>
          <w:trHeight w:val="230"/>
        </w:trPr>
        <w:tc>
          <w:tcPr>
            <w:tcW w:w="2065" w:type="dxa"/>
            <w:vMerge/>
          </w:tcPr>
          <w:p w14:paraId="1AC654B2" w14:textId="77777777" w:rsidR="000B1E62" w:rsidRPr="00753661" w:rsidRDefault="000B1E62">
            <w:pPr>
              <w:rPr>
                <w:rFonts w:ascii="Arial" w:hAnsi="Arial" w:cs="Arial"/>
                <w:b/>
                <w:bCs/>
                <w:sz w:val="20"/>
                <w:szCs w:val="20"/>
              </w:rPr>
            </w:pPr>
          </w:p>
        </w:tc>
        <w:tc>
          <w:tcPr>
            <w:tcW w:w="9720" w:type="dxa"/>
            <w:vMerge/>
          </w:tcPr>
          <w:p w14:paraId="73659116" w14:textId="77777777" w:rsidR="000B1E62" w:rsidRPr="00753661" w:rsidRDefault="000B1E62">
            <w:pPr>
              <w:rPr>
                <w:rFonts w:ascii="Arial" w:hAnsi="Arial" w:cs="Arial"/>
                <w:b/>
                <w:bCs/>
                <w:sz w:val="20"/>
                <w:szCs w:val="20"/>
              </w:rPr>
            </w:pPr>
          </w:p>
        </w:tc>
      </w:tr>
      <w:tr w:rsidR="000B1E62" w:rsidRPr="00753661" w14:paraId="1F20FD87" w14:textId="77777777" w:rsidTr="00D729B4">
        <w:trPr>
          <w:trHeight w:val="183"/>
        </w:trPr>
        <w:tc>
          <w:tcPr>
            <w:tcW w:w="2065" w:type="dxa"/>
          </w:tcPr>
          <w:p w14:paraId="05A96FDE" w14:textId="46B3162C" w:rsidR="000B1E62" w:rsidRPr="00753661" w:rsidRDefault="000B1E62">
            <w:pPr>
              <w:rPr>
                <w:rFonts w:ascii="Arial" w:hAnsi="Arial" w:cs="Arial"/>
                <w:b/>
                <w:bCs/>
                <w:sz w:val="20"/>
                <w:szCs w:val="20"/>
              </w:rPr>
            </w:pPr>
            <w:r w:rsidRPr="00753661">
              <w:rPr>
                <w:rFonts w:ascii="Arial" w:hAnsi="Arial" w:cs="Arial"/>
                <w:color w:val="000000"/>
                <w:sz w:val="20"/>
                <w:szCs w:val="20"/>
              </w:rPr>
              <w:t>Johansson, 1996</w:t>
            </w:r>
            <w:r w:rsidR="0089434D" w:rsidRPr="00753661">
              <w:rPr>
                <w:rFonts w:ascii="Arial" w:hAnsi="Arial" w:cs="Arial"/>
                <w:color w:val="000000"/>
                <w:sz w:val="20"/>
                <w:szCs w:val="20"/>
              </w:rPr>
              <w:fldChar w:fldCharType="begin"/>
            </w:r>
            <w:r w:rsidR="0089434D" w:rsidRPr="00753661">
              <w:rPr>
                <w:rFonts w:ascii="Arial" w:hAnsi="Arial" w:cs="Arial"/>
                <w:color w:val="000000"/>
                <w:sz w:val="20"/>
                <w:szCs w:val="20"/>
              </w:rPr>
              <w:instrText xml:space="preserve"> ADDIN ZOTERO_ITEM CSL_CITATION {"citationID":"GibkIc24","properties":{"formattedCitation":"\\super 1\\nosupersub{}","plainCitation":"1","noteIndex":0},"citationItems":[{"id":1007,"uris":["http://zotero.org/users/8137403/items/XGE9LQRR"],"itemData":{"id":1007,"type":"article-journal","abstract":"Objective\nTo evaluate the influence of the laparoscopic technique in hernia repair regarding time to full recovery and return to work, complications, recurrence rate, and economic aspects.\n\nSummary Background Data\nSeveral studies have shown advantages in terms of less pain and faster recovery after laparoscopic hernia repair, whereas others have not, and the cost-effectiveness has been questioned. The laparoscopic technique must be thoroughly compared with the open procedures before its true place in hernia surgery can be defined.\n\nMethods\nSix hundred thirteen male patients aged 40 to 75 years were randomized to the conventional procedure, preperitoneal mesh placed by the open technique, or laparoscopic preperitoneal mesh (TAPP). Follow-up was after 7 days, 8 weeks, and 1 year.\n\nResults\nOf 613 patients undergoing surgery, 604 (98.5%) were followed for 1 year. Patients who underwent TAPP gained full recovery after 18.4 days, compared with 24.2 days for open mesh (p &lt; 0.001) and 26.4 days for the conventional procedure (p &lt; 0.001). Patients who underwent TAPP returned to work after 14.7 days, compared with 17.7 days for open mesh (p = 0.05) and 17.9 days for the conventional procedure (p = 0.04). They also had significantly less restriction in physical activities after 7 days. The TAPP procedure was more expensive, mainly as a result of longer surgical time and equipment costs, even after compensation for earlier return to work. Complications were more common in the TAPP group, with a varying pattern between the groups. Four recurrences in the conventional, 11 in the open mesh, and 4 in the TAPP group were recorded after 1 year (p = n.s.).\n\nConclusion\nThe laparoscopic technique results in both shorter time to full recovery and shorter time to return to work, at the price of substantially increased costs.","container-title":"Annals of Surgery","ISSN":"0003-4932","issue":"2","journalAbbreviation":"Ann Surg","note":"PMID: 10450737\nPMCID: PMC1420865","page":"225","source":"PubMed Central","title":"Laparoscopic Mesh Versus Open Preperitoneal Mesh Versus Conventional Technique for Inguinal Hernia Repair","volume":"230","author":[{"family":"Johansson","given":"Bo"},{"family":"Hallerbäck","given":"Bengt"},{"family":"Glise","given":"Hans"},{"family":"Anesten","given":"Bengt"},{"family":"Smedberg","given":"Sam"},{"family":"Román","given":"Jonas"}],"issued":{"date-parts":[["1999",8]]}}}],"schema":"https://github.com/citation-style-language/schema/raw/master/csl-citation.json"} </w:instrText>
            </w:r>
            <w:r w:rsidR="0089434D" w:rsidRPr="00753661">
              <w:rPr>
                <w:rFonts w:ascii="Arial" w:hAnsi="Arial" w:cs="Arial"/>
                <w:color w:val="000000"/>
                <w:sz w:val="20"/>
                <w:szCs w:val="20"/>
              </w:rPr>
              <w:fldChar w:fldCharType="separate"/>
            </w:r>
            <w:r w:rsidR="0089434D" w:rsidRPr="00753661">
              <w:rPr>
                <w:rFonts w:ascii="Arial" w:hAnsi="Arial" w:cs="Arial"/>
                <w:color w:val="000000"/>
                <w:sz w:val="20"/>
                <w:szCs w:val="20"/>
                <w:vertAlign w:val="superscript"/>
              </w:rPr>
              <w:t>1</w:t>
            </w:r>
            <w:r w:rsidR="0089434D" w:rsidRPr="00753661">
              <w:rPr>
                <w:rFonts w:ascii="Arial" w:hAnsi="Arial" w:cs="Arial"/>
                <w:color w:val="000000"/>
                <w:sz w:val="20"/>
                <w:szCs w:val="20"/>
              </w:rPr>
              <w:fldChar w:fldCharType="end"/>
            </w:r>
          </w:p>
        </w:tc>
        <w:tc>
          <w:tcPr>
            <w:tcW w:w="9720" w:type="dxa"/>
          </w:tcPr>
          <w:p w14:paraId="5D417345"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pain/tenderness</w:t>
            </w:r>
          </w:p>
        </w:tc>
      </w:tr>
      <w:tr w:rsidR="000B1E62" w:rsidRPr="00753661" w14:paraId="7E7BB7AB" w14:textId="77777777" w:rsidTr="00D729B4">
        <w:trPr>
          <w:trHeight w:val="183"/>
        </w:trPr>
        <w:tc>
          <w:tcPr>
            <w:tcW w:w="2065" w:type="dxa"/>
          </w:tcPr>
          <w:p w14:paraId="4FAAF1D1" w14:textId="3C2F1611" w:rsidR="000B1E62" w:rsidRPr="00753661" w:rsidRDefault="000B1E62">
            <w:pPr>
              <w:rPr>
                <w:rFonts w:ascii="Arial" w:hAnsi="Arial" w:cs="Arial"/>
                <w:b/>
                <w:bCs/>
                <w:sz w:val="20"/>
                <w:szCs w:val="20"/>
              </w:rPr>
            </w:pPr>
            <w:r w:rsidRPr="00753661">
              <w:rPr>
                <w:rFonts w:ascii="Arial" w:hAnsi="Arial" w:cs="Arial"/>
                <w:color w:val="000000"/>
                <w:sz w:val="20"/>
                <w:szCs w:val="20"/>
              </w:rPr>
              <w:t>Heikkinen1, 1998</w:t>
            </w:r>
            <w:r w:rsidR="0089434D" w:rsidRPr="00753661">
              <w:rPr>
                <w:rFonts w:ascii="Arial" w:hAnsi="Arial" w:cs="Arial"/>
                <w:color w:val="000000"/>
                <w:sz w:val="20"/>
                <w:szCs w:val="20"/>
              </w:rPr>
              <w:fldChar w:fldCharType="begin"/>
            </w:r>
            <w:r w:rsidR="0089434D" w:rsidRPr="00753661">
              <w:rPr>
                <w:rFonts w:ascii="Arial" w:hAnsi="Arial" w:cs="Arial"/>
                <w:color w:val="000000"/>
                <w:sz w:val="20"/>
                <w:szCs w:val="20"/>
              </w:rPr>
              <w:instrText xml:space="preserve"> ADDIN ZOTERO_ITEM CSL_CITATION {"citationID":"tSbqbEUn","properties":{"formattedCitation":"\\super 2\\nosupersub{}","plainCitation":"2","noteIndex":0},"citationItems":[{"id":621,"uris":["http://zotero.org/users/8137403/items/JUMSHJZG"],"itemData":{"id":621,"type":"article-journal","abstract":"Laparoscopic hernia operations have been criticized in regard to their high hospital costs. This study was designed to compare the costs and some outcome features of totally extraperitoneal endoscopic hernia operation (TEP) and Lichtenstein mesh repair (OPN) among 45 randomized employed patients. The medians of operative time in the TEP and OPN groups were 67.5 and 53 min, respectively. Return to normal life was 14 days in the TEP group and 20 days in the OPN group. The hospital costs per patient were $1,239 (all costs are in US dollars) in the TEP group and $782 in the OPN group. The median total costs were $3,912 and $4,661 in the TEP and OPN groups, respectively. The Lichtenstein operation is cheaper for the hospital. The total costs for working patients are lower with the endoscopic technique because fewer working days are lost.","container-title":"Surgical Laparoscopy &amp; Endoscopy","ISSN":"1051-7200","issue":"5","journalAbbreviation":"Surg Laparosc Endosc","language":"eng","note":"PMID: 9799140","page":"338-344","source":"PubMed","title":"A prospective randomized outcome and cost comparison of totally extraperitoneal endoscopic hernioplasty versus Lichtenstein hernia operation among employed patients","volume":"8","author":[{"family":"Heikkinen","given":"T. J."},{"family":"Haukipuro","given":"K."},{"family":"Koivukangas","given":"P."},{"family":"Hulkko","given":"A."}],"issued":{"date-parts":[["1998",10]]}}}],"schema":"https://github.com/citation-style-language/schema/raw/master/csl-citation.json"} </w:instrText>
            </w:r>
            <w:r w:rsidR="0089434D" w:rsidRPr="00753661">
              <w:rPr>
                <w:rFonts w:ascii="Arial" w:hAnsi="Arial" w:cs="Arial"/>
                <w:color w:val="000000"/>
                <w:sz w:val="20"/>
                <w:szCs w:val="20"/>
              </w:rPr>
              <w:fldChar w:fldCharType="separate"/>
            </w:r>
            <w:r w:rsidR="0089434D" w:rsidRPr="00753661">
              <w:rPr>
                <w:rFonts w:ascii="Arial" w:hAnsi="Arial" w:cs="Arial"/>
                <w:color w:val="000000"/>
                <w:sz w:val="20"/>
                <w:szCs w:val="20"/>
                <w:vertAlign w:val="superscript"/>
              </w:rPr>
              <w:t>2</w:t>
            </w:r>
            <w:r w:rsidR="0089434D" w:rsidRPr="00753661">
              <w:rPr>
                <w:rFonts w:ascii="Arial" w:hAnsi="Arial" w:cs="Arial"/>
                <w:color w:val="000000"/>
                <w:sz w:val="20"/>
                <w:szCs w:val="20"/>
              </w:rPr>
              <w:fldChar w:fldCharType="end"/>
            </w:r>
          </w:p>
        </w:tc>
        <w:tc>
          <w:tcPr>
            <w:tcW w:w="9720" w:type="dxa"/>
          </w:tcPr>
          <w:p w14:paraId="782A9A72"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pain for &gt;1 month</w:t>
            </w:r>
          </w:p>
        </w:tc>
      </w:tr>
      <w:tr w:rsidR="000B1E62" w:rsidRPr="00753661" w14:paraId="66596BE9" w14:textId="77777777" w:rsidTr="00D729B4">
        <w:trPr>
          <w:trHeight w:val="169"/>
        </w:trPr>
        <w:tc>
          <w:tcPr>
            <w:tcW w:w="2065" w:type="dxa"/>
          </w:tcPr>
          <w:p w14:paraId="6B42145A" w14:textId="74B29DC6" w:rsidR="000B1E62" w:rsidRPr="00753661" w:rsidRDefault="000B1E62">
            <w:pPr>
              <w:rPr>
                <w:rFonts w:ascii="Arial" w:hAnsi="Arial" w:cs="Arial"/>
                <w:b/>
                <w:bCs/>
                <w:sz w:val="20"/>
                <w:szCs w:val="20"/>
              </w:rPr>
            </w:pPr>
            <w:r w:rsidRPr="00753661">
              <w:rPr>
                <w:rFonts w:ascii="Arial" w:hAnsi="Arial" w:cs="Arial"/>
                <w:color w:val="000000"/>
                <w:sz w:val="20"/>
                <w:szCs w:val="20"/>
              </w:rPr>
              <w:t>Heikkinen2, 1998</w:t>
            </w:r>
            <w:r w:rsidR="0089434D" w:rsidRPr="00753661">
              <w:rPr>
                <w:rFonts w:ascii="Arial" w:hAnsi="Arial" w:cs="Arial"/>
                <w:color w:val="000000"/>
                <w:sz w:val="20"/>
                <w:szCs w:val="20"/>
              </w:rPr>
              <w:fldChar w:fldCharType="begin"/>
            </w:r>
            <w:r w:rsidR="0089434D" w:rsidRPr="00753661">
              <w:rPr>
                <w:rFonts w:ascii="Arial" w:hAnsi="Arial" w:cs="Arial"/>
                <w:color w:val="000000"/>
                <w:sz w:val="20"/>
                <w:szCs w:val="20"/>
              </w:rPr>
              <w:instrText xml:space="preserve"> ADDIN ZOTERO_ITEM CSL_CITATION {"citationID":"apB44n6t","properties":{"formattedCitation":"\\super 3\\nosupersub{}","plainCitation":"3","noteIndex":0},"citationItems":[{"id":619,"uris":["http://zotero.org/users/8137403/items/XNX448AV"],"itemData":{"id":619,"type":"article-journal","abstract":"BACKGROUND: Laparoscopic hernia repair has often been criticized for its high costs.\nMETHODS: To compare the costs of laparoscopic and open hernia repair, 40 patients were randomized for either transabdominal laparoscopic or Lichtenstein mesh repair (under local anesthesia) in a day-case surgery unit.\nRESULTS: Median operative times for the laparoscopic and open groups were 62 and 65 min, respectively. Postoperative pain was comparable for the two groups. The period before return to normal life was 14 days in the laparoscopic group and 21 days in the open group. The hospital costs were 2051 FIM ($1 US = 4.6 FIM) higher in the laparoscopic group, but the total costs for employed patients (including expenses due to lost work days) were lower.\nCONCLUSION: Although the Lichtenstein operation is cheaper for the hospital, the total costs for working patients are lower with the laparoscopic technique, when the cost of lost work days is factored into overall expense.","container-title":"Surgical Endoscopy","DOI":"10.1007/s004649900820","ISSN":"0930-2794","issue":"10","journalAbbreviation":"Surg Endosc","language":"eng","note":"PMID: 9745056","page":"1199-1203","source":"PubMed","title":"A cost and outcome comparison between laparoscopic and Lichtenstein hernia operations in a day-case unit. A randomized prospective study","volume":"12","author":[{"family":"Heikkinen","given":"T. J."},{"family":"Haukipuro","given":"K."},{"family":"Hulkko","given":"A."}],"issued":{"date-parts":[["1998",10]]}}}],"schema":"https://github.com/citation-style-language/schema/raw/master/csl-citation.json"} </w:instrText>
            </w:r>
            <w:r w:rsidR="0089434D" w:rsidRPr="00753661">
              <w:rPr>
                <w:rFonts w:ascii="Arial" w:hAnsi="Arial" w:cs="Arial"/>
                <w:color w:val="000000"/>
                <w:sz w:val="20"/>
                <w:szCs w:val="20"/>
              </w:rPr>
              <w:fldChar w:fldCharType="separate"/>
            </w:r>
            <w:r w:rsidR="0089434D" w:rsidRPr="00753661">
              <w:rPr>
                <w:rFonts w:ascii="Arial" w:hAnsi="Arial" w:cs="Arial"/>
                <w:color w:val="000000"/>
                <w:sz w:val="20"/>
                <w:szCs w:val="20"/>
                <w:vertAlign w:val="superscript"/>
              </w:rPr>
              <w:t>3</w:t>
            </w:r>
            <w:r w:rsidR="0089434D" w:rsidRPr="00753661">
              <w:rPr>
                <w:rFonts w:ascii="Arial" w:hAnsi="Arial" w:cs="Arial"/>
                <w:color w:val="000000"/>
                <w:sz w:val="20"/>
                <w:szCs w:val="20"/>
              </w:rPr>
              <w:fldChar w:fldCharType="end"/>
            </w:r>
          </w:p>
        </w:tc>
        <w:tc>
          <w:tcPr>
            <w:tcW w:w="9720" w:type="dxa"/>
          </w:tcPr>
          <w:p w14:paraId="01B12C5C" w14:textId="77777777"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ileoinguinal</w:t>
            </w:r>
            <w:proofErr w:type="spellEnd"/>
            <w:r w:rsidRPr="00753661">
              <w:rPr>
                <w:rFonts w:ascii="Arial" w:hAnsi="Arial" w:cs="Arial"/>
                <w:color w:val="000000"/>
                <w:sz w:val="20"/>
                <w:szCs w:val="20"/>
              </w:rPr>
              <w:t xml:space="preserve"> neuralgia</w:t>
            </w:r>
          </w:p>
        </w:tc>
      </w:tr>
      <w:tr w:rsidR="000B1E62" w:rsidRPr="00753661" w14:paraId="7129B4AC" w14:textId="77777777" w:rsidTr="00D729B4">
        <w:trPr>
          <w:trHeight w:val="183"/>
        </w:trPr>
        <w:tc>
          <w:tcPr>
            <w:tcW w:w="2065" w:type="dxa"/>
          </w:tcPr>
          <w:p w14:paraId="0F8DC55B" w14:textId="1751DF22" w:rsidR="000B1E62" w:rsidRPr="00753661" w:rsidRDefault="000B1E62">
            <w:pPr>
              <w:rPr>
                <w:rFonts w:ascii="Arial" w:hAnsi="Arial" w:cs="Arial"/>
                <w:b/>
                <w:bCs/>
                <w:sz w:val="20"/>
                <w:szCs w:val="20"/>
              </w:rPr>
            </w:pPr>
            <w:r w:rsidRPr="00753661">
              <w:rPr>
                <w:rFonts w:ascii="Arial" w:hAnsi="Arial" w:cs="Arial"/>
                <w:color w:val="000000"/>
                <w:sz w:val="20"/>
                <w:szCs w:val="20"/>
              </w:rPr>
              <w:t>Wellwood, 1998</w:t>
            </w:r>
            <w:r w:rsidR="0089434D" w:rsidRPr="00753661">
              <w:rPr>
                <w:rFonts w:ascii="Arial" w:hAnsi="Arial" w:cs="Arial"/>
                <w:color w:val="000000"/>
                <w:sz w:val="20"/>
                <w:szCs w:val="20"/>
              </w:rPr>
              <w:fldChar w:fldCharType="begin"/>
            </w:r>
            <w:r w:rsidR="0089434D" w:rsidRPr="00753661">
              <w:rPr>
                <w:rFonts w:ascii="Arial" w:hAnsi="Arial" w:cs="Arial"/>
                <w:color w:val="000000"/>
                <w:sz w:val="20"/>
                <w:szCs w:val="20"/>
              </w:rPr>
              <w:instrText xml:space="preserve"> ADDIN ZOTERO_ITEM CSL_CITATION {"citationID":"M6FomaPG","properties":{"formattedCitation":"\\super 4\\nosupersub{}","plainCitation":"4","noteIndex":0},"citationItems":[{"id":654,"uris":["http://zotero.org/users/8137403/items/C35T59VG"],"itemData":{"id":654,"type":"article-journal","abstract":"OBJECTIVE: To compare tension-free open mesh hernioplasty under local anaesthetic with transabdominal preperitoneal laparoscopic hernia repair under general anaesthetic.\nDESIGN: A randomised controlled trial of 403 patients with inguinal hernias.\nSETTING: Two acute general hospitals in London between May 1995 and December 1996.\nSUBJECTS: 400 patients with a diagnosis of groin hernia, 200 in each group.\nMAIN OUTCOME MEASURES: Time until discharge, postoperative pain, and complications; patients' perceived health (SF-36), duration of convalescence, and patients' satisfaction with surgery; and health service costs.\nRESULTS: More patients in the open group (96%) than in the laparoscopic group (89%) were discharged on the same day as the operation (chi2 = 6.7; 1 df; P=0.01). Although pain scores were lower in the open group while the effect of the local anaesthetic persisted (proportional odds ratio at 2 hours 3.5 (2.3 to 5.1)), scores after open repair were significantly higher for each day of the first week (0.5 (0.3 to 0.7) on day 7) and during the second week (0.7 (0.5 to 0.9)). At 1 month there was a greater improvement (or less deterioration) in mean SF-36 scores over baseline in the laparoscopic group compared with the open group on seven of eight dimensions, reaching significance on five. For every activity considered the median time until return to normal was significantly shorter for the laparoscopic group. Patients randomised to laparoscopic repair were more satisfied with surgery at 1 month and 3 months after surgery. The mean cost per patient of laparoscopic repair was 335 pounds (95% confidence interval 228 pounds to 441 pounds) more than the cost of open repair.\nCONCLUSION: This study confirms that laparoscopic hernia repair has considerable short term clinical advantages after discharge compared with open mesh hernioplasty, although it was more expensive.","container-title":"BMJ (Clinical research ed.)","DOI":"10.1136/bmj.317.7151.103","ISSN":"0959-8138","issue":"7151","journalAbbreviation":"BMJ","language":"eng","note":"PMID: 9657784\nPMCID: PMC28600","page":"103-110","source":"PubMed","title":"Randomised controlled trial of laparoscopic versus open mesh repair for inguinal hernia: outcome and cost","title-short":"Randomised controlled trial of laparoscopic versus open mesh repair for inguinal hernia","volume":"317","author":[{"family":"Wellwood","given":"J."},{"family":"Sculpher","given":"M. J."},{"family":"Stoker","given":"D."},{"family":"Nicholls","given":"G. J."},{"family":"Geddes","given":"C."},{"family":"Whitehead","given":"A."},{"family":"Singh","given":"R."},{"family":"Spiegelhalter","given":"D."}],"issued":{"date-parts":[["1998",7,11]]}}}],"schema":"https://github.com/citation-style-language/schema/raw/master/csl-citation.json"} </w:instrText>
            </w:r>
            <w:r w:rsidR="0089434D" w:rsidRPr="00753661">
              <w:rPr>
                <w:rFonts w:ascii="Arial" w:hAnsi="Arial" w:cs="Arial"/>
                <w:color w:val="000000"/>
                <w:sz w:val="20"/>
                <w:szCs w:val="20"/>
              </w:rPr>
              <w:fldChar w:fldCharType="separate"/>
            </w:r>
            <w:r w:rsidR="0089434D" w:rsidRPr="00753661">
              <w:rPr>
                <w:rFonts w:ascii="Arial" w:hAnsi="Arial" w:cs="Arial"/>
                <w:color w:val="000000"/>
                <w:sz w:val="20"/>
                <w:szCs w:val="20"/>
                <w:vertAlign w:val="superscript"/>
              </w:rPr>
              <w:t>4</w:t>
            </w:r>
            <w:r w:rsidR="0089434D" w:rsidRPr="00753661">
              <w:rPr>
                <w:rFonts w:ascii="Arial" w:hAnsi="Arial" w:cs="Arial"/>
                <w:color w:val="000000"/>
                <w:sz w:val="20"/>
                <w:szCs w:val="20"/>
              </w:rPr>
              <w:fldChar w:fldCharType="end"/>
            </w:r>
          </w:p>
        </w:tc>
        <w:tc>
          <w:tcPr>
            <w:tcW w:w="9720" w:type="dxa"/>
          </w:tcPr>
          <w:p w14:paraId="558C052B"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groin or thigh pain</w:t>
            </w:r>
          </w:p>
        </w:tc>
      </w:tr>
      <w:tr w:rsidR="000B1E62" w:rsidRPr="00753661" w14:paraId="5BF6432C" w14:textId="77777777" w:rsidTr="00D729B4">
        <w:trPr>
          <w:trHeight w:val="169"/>
        </w:trPr>
        <w:tc>
          <w:tcPr>
            <w:tcW w:w="2065" w:type="dxa"/>
          </w:tcPr>
          <w:p w14:paraId="6805254A" w14:textId="400135E1"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Koninger</w:t>
            </w:r>
            <w:proofErr w:type="spellEnd"/>
            <w:r w:rsidRPr="00753661">
              <w:rPr>
                <w:rFonts w:ascii="Arial" w:hAnsi="Arial" w:cs="Arial"/>
                <w:color w:val="000000"/>
                <w:sz w:val="20"/>
                <w:szCs w:val="20"/>
              </w:rPr>
              <w:t>, 1998</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{"citationID":"Jp3JD7Eh","properties":{"formattedCitation":"\\super 5\\nosupersub{}","plainCitation":"5","noteIndex":0},"citationItems":[{"id":1089,"uris":["http://zotero.org/users/8137403/items/UY9SCRYX"],"itemData":{"id":1089,"type":"article-journal","abstract":"Between July 1995 and June 1996, 280 patients were operated on for inguinal hernia within the scope of a prospective, randomized study. The aim of the study was to compare the Shouldice technique with tension-free hernioplasty (Lichtenstein, TAPP). The operation time was comparable in all three groups. There was less need for analgesics and postoperative morbidity was less after the tension-free technique. No severe complications such as deep wound infection or infection of the implant were seen in any of the groups. After a follow-up period of 18 months, we found two recurrences after the Shouldice operation and one recurrence in each of the tension-free groups. Treatment satisfaction after tension-free hernioplasty was high. One year after the Shouldice operation, about 10% of the patients were dissatisfied because of persistent discomfort and pain. Because of lower morbidity, less pain, and low recurrence rates after tension-free hernioplasty, we find the tension-free techniques to be superior to conventional hernioplasty.","container-title":"Der Chirurg; Zeitschrift Fur Alle Gebiete Der Operativen Medizen","DOI":"10.1007/s001040050581","ISSN":"0009-4722","issue":"12","journalAbbreviation":"Chirurg","language":"ger","note":"PMID: 10023558","page":"1340-1344","source":"PubMed","title":"[Management of inguinal hernia--a comparison of current methods]","volume":"69","author":[{"family":"Köninger","given":"J. S."},{"family":"Oster","given":"M."},{"family":"Butters","given":"M."}],"issued":{"date-parts":[["1998",12]]}}}],"schema":"https://github.com/citation-style-language/schema/raw/master/csl-citation.json"}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5</w:t>
            </w:r>
            <w:r w:rsidR="00653E98" w:rsidRPr="00753661">
              <w:rPr>
                <w:rFonts w:ascii="Arial" w:hAnsi="Arial" w:cs="Arial"/>
                <w:color w:val="000000"/>
                <w:sz w:val="20"/>
                <w:szCs w:val="20"/>
              </w:rPr>
              <w:fldChar w:fldCharType="end"/>
            </w:r>
          </w:p>
        </w:tc>
        <w:tc>
          <w:tcPr>
            <w:tcW w:w="9720" w:type="dxa"/>
          </w:tcPr>
          <w:p w14:paraId="1F036B4C" w14:textId="77777777"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Beschwerden</w:t>
            </w:r>
            <w:proofErr w:type="spellEnd"/>
            <w:r w:rsidRPr="00753661">
              <w:rPr>
                <w:rFonts w:ascii="Arial" w:hAnsi="Arial" w:cs="Arial"/>
                <w:color w:val="000000"/>
                <w:sz w:val="20"/>
                <w:szCs w:val="20"/>
              </w:rPr>
              <w:t xml:space="preserve"> (article in German)</w:t>
            </w:r>
          </w:p>
        </w:tc>
      </w:tr>
      <w:tr w:rsidR="000B1E62" w:rsidRPr="00753661" w14:paraId="24C1CAEB" w14:textId="77777777" w:rsidTr="00D729B4">
        <w:trPr>
          <w:trHeight w:val="183"/>
        </w:trPr>
        <w:tc>
          <w:tcPr>
            <w:tcW w:w="2065" w:type="dxa"/>
          </w:tcPr>
          <w:p w14:paraId="117BCB4D" w14:textId="200D66CC" w:rsidR="000B1E62" w:rsidRPr="00753661" w:rsidRDefault="000B1E62">
            <w:pPr>
              <w:rPr>
                <w:rFonts w:ascii="Arial" w:hAnsi="Arial" w:cs="Arial"/>
                <w:b/>
                <w:bCs/>
                <w:sz w:val="20"/>
                <w:szCs w:val="20"/>
              </w:rPr>
            </w:pPr>
            <w:r w:rsidRPr="00753661">
              <w:rPr>
                <w:rFonts w:ascii="Arial" w:hAnsi="Arial" w:cs="Arial"/>
                <w:color w:val="000000"/>
                <w:sz w:val="20"/>
                <w:szCs w:val="20"/>
              </w:rPr>
              <w:t>Picchio, 1999</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{"citationID":"64VIcGU8","properties":{"formattedCitation":"\\super 6\\nosupersub{}","plainCitation":"6","noteIndex":0},"citationItems":[{"id":639,"uris":["http://zotero.org/users/8137403/items/JDXSEMH9"],"itemData":{"id":639,"type":"article-journal","abstract":"The aim of the study was prospectively to compare the early results and outcome in 105 patients randomly allocated to undergo tension-free laparoscopic hernia repair (LHR) with transabdominal preperitoneal technique (53 patients) or open hernia repair (OHR) with mesh apposition (52 patients). The mean (SD) operation time was longer in the LHR group than in the OHR group: 49.6 (5.4) versus 33. 9 (6.2) minutes; p &lt; 0.001. One laparoscopic case was converted to open repair to deal with a hemorrhage from an aberrant obturatory artery at the level of Cooper's ligament. Groin discomfort or pain was the most common complication after both procedures. The patients requiring none, one, two, or more than two doses of intramuscular diclofenac were, respectively, 40.4%, 40.4%, 15.4%, and 3.8% after LHR and 50.0%, 30.8%, 17.3%, and 1.9% after OHR (p = 0.69; NS). The mean +/- SEM (range) postoperative visual analog scale score, ranging from 0 (no pain) to 10 (worst pain imaginable), was 3.1 +/- 0.2 (1-7) in the LHR subset and 2.7 +/- 0.2 (1-5) in the OHR group (p = 0.14; NS); on the second postoperative day the score was 2.3 +/- 0.2 (1-6) and 1.8 +/- 0.1 (1-4), respectively (p &lt; 0.03). The time +/- SEM (range) of resumption of pain-free normal activities and work was faster in OHR group: 6.1 +/- 0.2 (4-8) weeks versus 6.5 +/- 0.1 (4-8) weeks; p &lt; 0.03. Our results showed that tension-free open hernia repair is superior to LHR in terms of postoperative pain with no important differences in recovery. &lt;/HEA","container-title":"World Journal of Surgery","DOI":"10.1007/s002689900615","ISSN":"0364-2313","issue":"10","journalAbbreviation":"World J Surg","language":"eng","note":"PMID: 10512939","page":"1004-1007; discussion 1008-1009","source":"PubMed","title":"Tension-free laparoscopic and open hernia repair: randomized controlled trial of early results","title-short":"Tension-free laparoscopic and open hernia repair","volume":"23","author":[{"family":"Picchio","given":"M."},{"family":"Lombardi","given":"A."},{"family":"Zolovkins","given":"A."},{"family":"Mihelsons","given":"M."},{"family":"La Torre","given":"G."}],"issued":{"date-parts":[["1999",10]]}}}],"schema":"https://github.com/citation-style-language/schema/raw/master/csl-citation.json"}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6</w:t>
            </w:r>
            <w:r w:rsidR="0089434D" w:rsidRPr="00753661">
              <w:rPr>
                <w:rFonts w:ascii="Arial" w:hAnsi="Arial" w:cs="Arial"/>
                <w:color w:val="000000"/>
                <w:sz w:val="20"/>
                <w:szCs w:val="20"/>
              </w:rPr>
              <w:fldChar w:fldCharType="end"/>
            </w:r>
          </w:p>
        </w:tc>
        <w:tc>
          <w:tcPr>
            <w:tcW w:w="9720" w:type="dxa"/>
          </w:tcPr>
          <w:p w14:paraId="4B60D9F3"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groin discomfort or pain</w:t>
            </w:r>
          </w:p>
        </w:tc>
      </w:tr>
      <w:tr w:rsidR="000B1E62" w:rsidRPr="00753661" w14:paraId="5855B47A" w14:textId="77777777" w:rsidTr="00D729B4">
        <w:trPr>
          <w:trHeight w:val="169"/>
        </w:trPr>
        <w:tc>
          <w:tcPr>
            <w:tcW w:w="2065" w:type="dxa"/>
          </w:tcPr>
          <w:p w14:paraId="39924F3F" w14:textId="3EAA7A68" w:rsidR="000B1E62" w:rsidRPr="00753661" w:rsidRDefault="000B1E62">
            <w:pPr>
              <w:rPr>
                <w:rFonts w:ascii="Arial" w:hAnsi="Arial" w:cs="Arial"/>
                <w:b/>
                <w:bCs/>
                <w:sz w:val="20"/>
                <w:szCs w:val="20"/>
              </w:rPr>
            </w:pPr>
            <w:r w:rsidRPr="00753661">
              <w:rPr>
                <w:rFonts w:ascii="Arial" w:hAnsi="Arial" w:cs="Arial"/>
                <w:color w:val="000000"/>
                <w:sz w:val="20"/>
                <w:szCs w:val="20"/>
              </w:rPr>
              <w:t>Bringman, 2003</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{"citationID":"6D5j7Val","properties":{"formattedCitation":"\\super 7\\nosupersub{}","plainCitation":"7","noteIndex":0},"citationItems":[{"id":682,"uris":["http://zotero.org/users/8137403/items/7RBCMPMQ"],"itemData":{"id":682,"type":"article-journal","abstract":"Objective\nTo compare laparoscopic hernioplasty with two open tension-free hernia repairs.\n\nSummary Background Data\nLaparoscopic hernioplasty is associated with a short rehabilitation, but it is a technically difficult procedure. It is unclear if it has advantages over the technically easier open tension-free herniorrhaphy.\n\nMethods\nTwo hundred ninety-nine men 30 to 75 years old were randomized to undergo laparoscopic totally extraperitoneal hernioplasty (TEP), open operation with mesh-plug and patch, or Lichtenstein’s operation.\n\nResults\nTwo hundred ninety-four (98%) patients were followed for 19.8 ± 8.6 months. Over 90% of the patients in all groups were operated in day surgery; the rest of the patients were all discharged within 24 hours. Postoperative pain (visual analog score) was lower in the patients undergoing TEP than in those undergoing Lichtenstein and mesh-plug procedures. The median sick-leave period was 5 days in the TEP group, 7 days in the mesh-plug group, and 7 days in the Lichtenstein group. The median time to full recovery was significantly shorter in the TEP group compared to the other two groups. There were no major complications. Two recurrences were found in the TEP group and two in the mesh-plug group.\n\nConclusions\nLaparoscopic hernioplasty is superior to tension-free open herniorrhaphy in terms of postoperative pain and rehabilitation.","container-title":"Annals of Surgery","ISSN":"0003-4932","issue":"1","journalAbbreviation":"Ann Surg","note":"PMID: 12496542\nPMCID: PMC1513964","page":"142-147","source":"PubMed Central","title":"Tension-Free Inguinal Hernia Repair: TEP Versus Mesh-Plug Versus Lichtenstein","title-short":"Tension-Free Inguinal Hernia Repair","volume":"237","author":[{"family":"Bringman","given":"Sven"},{"family":"Ramel","given":"Stig"},{"family":"Heikkinen","given":"Timo-Jaakko"},{"family":"Englund","given":"Tord"},{"family":"Westman","given":"Bo"},{"family":"Anderberg","given":"Bo"}],"issued":{"date-parts":[["2003",1]]}}}],"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7</w:t>
            </w:r>
            <w:r w:rsidR="0089434D" w:rsidRPr="00753661">
              <w:rPr>
                <w:rFonts w:ascii="Arial" w:hAnsi="Arial" w:cs="Arial"/>
                <w:color w:val="000000"/>
                <w:sz w:val="20"/>
                <w:szCs w:val="20"/>
              </w:rPr>
              <w:fldChar w:fldCharType="end"/>
            </w:r>
          </w:p>
        </w:tc>
        <w:tc>
          <w:tcPr>
            <w:tcW w:w="9720" w:type="dxa"/>
          </w:tcPr>
          <w:p w14:paraId="64E1DE61"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4F9F62A5" w14:textId="77777777" w:rsidTr="00091A90">
        <w:trPr>
          <w:trHeight w:val="108"/>
        </w:trPr>
        <w:tc>
          <w:tcPr>
            <w:tcW w:w="2065" w:type="dxa"/>
          </w:tcPr>
          <w:p w14:paraId="6AF990DF" w14:textId="5B6F20E9" w:rsidR="000B1E62" w:rsidRPr="00753661" w:rsidRDefault="000B1E62">
            <w:pPr>
              <w:rPr>
                <w:rFonts w:ascii="Arial" w:hAnsi="Arial" w:cs="Arial"/>
                <w:b/>
                <w:bCs/>
                <w:sz w:val="20"/>
                <w:szCs w:val="20"/>
              </w:rPr>
            </w:pPr>
            <w:r w:rsidRPr="00753661">
              <w:rPr>
                <w:rFonts w:ascii="Arial" w:hAnsi="Arial" w:cs="Arial"/>
                <w:color w:val="000000"/>
                <w:sz w:val="20"/>
                <w:szCs w:val="20"/>
              </w:rPr>
              <w:t>Colak, 2003</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{"citationID":"THxzicuS","properties":{"formattedCitation":"\\super 8\\nosupersub{}","plainCitation":"8","noteIndex":0},"citationItems":[{"id":706,"uris":["http://zotero.org/users/8137403/items/JZZFLXXQ"],"itemData":{"id":706,"type":"article-journal","abstract":"The aim of this study was to compare laparoscopic totally extraperitoneal approach (TEP) repair with tension-free open mesh repair in inguinal hernia. One hundred thirty-four patients were allocated randomly to undergo TEP repair (n = 67) or open mesh repair (n = 67). Operative and postoperative outcomes were determined. The mean of operating time (49.67 +/- 14.11 vs. 56.64 +/- 12.32; P = 0.001), visual analog scale score (2.73 +/- 1.69 vs. 4.61 +/- 1.77; P = 0.001), hospital stay (1.8 +/- 0.7 vs. 2.7 +/- 1.6; P = 0.001), and duration of recovery (10.8 +/- 7.4 vs. 15.2 +/- 8.5; P = 0.001) was significantly less for TEP repair when compared with open mesh repair. The incidence of complications (13.4% vs. 16.4%; P = 0.631) and recurrence (2.9% vs. 5.9%; P = 0.407) was approximately equal in each group. Our results showed that laparoscopic TEP repair is superior to open mesh repair.","container-title":"Surgical Laparoscopy, Endoscopy &amp; Percutaneous Techniques","DOI":"10.1097/00129689-200306000-00010","ISSN":"1530-4515","issue":"3","journalAbbreviation":"Surg Laparosc Endosc Percutan Tech","language":"eng","note":"PMID: 12819504","page":"191-195","source":"PubMed","title":"Randomized clinical trial comparing laparoscopic totally extraperitoneal approach with open mesh repair in inguinal hernia","volume":"13","author":[{"family":"Colak","given":"Tahsin"},{"family":"Akca","given":"Tamer"},{"family":"Kanik","given":"Arzu"},{"family":"Aydin","given":"Suha"}],"issued":{"date-parts":[["2003",6]]}}}],"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8</w:t>
            </w:r>
            <w:r w:rsidR="0089434D" w:rsidRPr="00753661">
              <w:rPr>
                <w:rFonts w:ascii="Arial" w:hAnsi="Arial" w:cs="Arial"/>
                <w:color w:val="000000"/>
                <w:sz w:val="20"/>
                <w:szCs w:val="20"/>
              </w:rPr>
              <w:fldChar w:fldCharType="end"/>
            </w:r>
          </w:p>
        </w:tc>
        <w:tc>
          <w:tcPr>
            <w:tcW w:w="9720" w:type="dxa"/>
          </w:tcPr>
          <w:p w14:paraId="32602AE3"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groin discomfort/pain</w:t>
            </w:r>
          </w:p>
        </w:tc>
      </w:tr>
      <w:tr w:rsidR="000B1E62" w:rsidRPr="00753661" w14:paraId="65C8F4C9" w14:textId="77777777" w:rsidTr="00D729B4">
        <w:trPr>
          <w:trHeight w:val="169"/>
        </w:trPr>
        <w:tc>
          <w:tcPr>
            <w:tcW w:w="2065" w:type="dxa"/>
          </w:tcPr>
          <w:p w14:paraId="309845FC" w14:textId="33E5CC06" w:rsidR="000B1E62" w:rsidRPr="00753661" w:rsidRDefault="000B1E62">
            <w:pPr>
              <w:rPr>
                <w:rFonts w:ascii="Arial" w:hAnsi="Arial" w:cs="Arial"/>
                <w:b/>
                <w:bCs/>
                <w:sz w:val="20"/>
                <w:szCs w:val="20"/>
              </w:rPr>
            </w:pPr>
            <w:r w:rsidRPr="00753661">
              <w:rPr>
                <w:rFonts w:ascii="Arial" w:hAnsi="Arial" w:cs="Arial"/>
                <w:color w:val="000000"/>
                <w:sz w:val="20"/>
                <w:szCs w:val="20"/>
              </w:rPr>
              <w:t>Gokalp, 2003</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{"citationID":"Me26Jbt5","properties":{"formattedCitation":"\\super 9\\nosupersub{}","plainCitation":"9","noteIndex":0},"citationItems":[{"id":607,"uris":["http://zotero.org/users/8137403/items/KFGHVZX8"],"itemData":{"id":607,"type":"article-journal","abstract":"Ideal technique for effective inguinal hernia repair is still controversial. Although open tension free mesh techniques of inguinal hernia repair offers good results but the superiority of laparoscopic technique was reported for postoperative pain, discomfort and earlier return back to work. A prospective, randomized study was conducted to compare Lichtenstein open tension free mesh technique with the laparoscopic totally extraperitoneal technique. 62 male patients with Lichtenstein open tension free mesh technique and 61 male patients with totally extraperitoneal technique were operated and compared postoperatively. The patients were followed-up for 24 months with a median of 18 months. In terms of recurrence, postoperative pain, analgesic requirement, complications, hospital stay length, duration of limitation of normal daily activities there were no significant differences between the two groups. Operating time for totally extraperitoneal hernia repair was 16 minutes longer than Lichtenstein open tension free technique. The totally extraperitoneal technique was considerably expensive than Lichtenstein technique, however the duration of returning back to work was shorter in patients repaired with totally extraperitoneal technique. In conclusion in primary inguinal hernia repair Lichtenstein technique should be preferred and the totally extraperitoneal technique should be considered for recurrent and bilateral hernias.","container-title":"Acta Chirurgica Belgica","DOI":"10.1080/00015458.2003.11679476","ISSN":"0001-5458","issue":"5","journalAbbreviation":"Acta Chir Belg","language":"eng","note":"PMID: 14653037","page":"502-506","source":"PubMed","title":"A prospective randomized study of Lichtenstein open tension-free versus laparoscopic totally extraperitoneal techniques for inguinal hernia repair","volume":"103","author":[{"family":"Gokalp","given":"A."},{"family":"Inal","given":"M."},{"family":"Maralcan","given":"G."},{"family":"Baskonus","given":"I."}],"issued":{"date-parts":[["2003",10]]}}}],"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9</w:t>
            </w:r>
            <w:r w:rsidR="0089434D" w:rsidRPr="00753661">
              <w:rPr>
                <w:rFonts w:ascii="Arial" w:hAnsi="Arial" w:cs="Arial"/>
                <w:color w:val="000000"/>
                <w:sz w:val="20"/>
                <w:szCs w:val="20"/>
              </w:rPr>
              <w:fldChar w:fldCharType="end"/>
            </w:r>
          </w:p>
        </w:tc>
        <w:tc>
          <w:tcPr>
            <w:tcW w:w="9720" w:type="dxa"/>
          </w:tcPr>
          <w:p w14:paraId="03F872AC"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persistent pain/tenderness</w:t>
            </w:r>
          </w:p>
        </w:tc>
      </w:tr>
      <w:tr w:rsidR="000B1E62" w:rsidRPr="00753661" w14:paraId="245418A3" w14:textId="77777777" w:rsidTr="00D729B4">
        <w:trPr>
          <w:trHeight w:val="183"/>
        </w:trPr>
        <w:tc>
          <w:tcPr>
            <w:tcW w:w="2065" w:type="dxa"/>
          </w:tcPr>
          <w:p w14:paraId="6963A373" w14:textId="5EAA877D" w:rsidR="000B1E62" w:rsidRPr="00753661" w:rsidRDefault="000B1E62">
            <w:pPr>
              <w:rPr>
                <w:rFonts w:ascii="Arial" w:hAnsi="Arial" w:cs="Arial"/>
                <w:b/>
                <w:bCs/>
                <w:sz w:val="20"/>
                <w:szCs w:val="20"/>
              </w:rPr>
            </w:pPr>
            <w:r w:rsidRPr="00753661">
              <w:rPr>
                <w:rFonts w:ascii="Arial" w:hAnsi="Arial" w:cs="Arial"/>
                <w:color w:val="000000"/>
                <w:sz w:val="20"/>
                <w:szCs w:val="20"/>
              </w:rPr>
              <w:t>Lal, 2003</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{"citationID":"A6ho6NDC","properties":{"formattedCitation":"\\super 10\\nosupersub{}","plainCitation":"10","noteIndex":0},"citationItems":[{"id":633,"uris":["http://zotero.org/users/8137403/items/MVQYDC6I"],"itemData":{"id":633,"type":"article-journal","abstract":"BACKGROUND: Whereas open anterior inguinal herniorrhaphy is a time-tested, safe, and well-understood operation with a high success rate, laparoscopic techniques of inguinal hernia repair are fairly recent. Consequently, short- and long-term outcomes are still being evaluated. Few studies have compared laparoscopic extraperitoneal inguinal hernia repair with tension-free open hernia repair. The current study was conducted to compare complications, operative time, postoperative pain, length of hospital stay, and return to work between open tension-free mesh Lichtenstein (open) repair and laparoscopic total extraperitoneal (TEP) repair.\nMETHODS: In a prospective randomized study, open hernia repair was performed in one group (n = 25), and TEP repair using a large mesh was performed in another (n = 25). Then intraoperative and postoperative complications and results were compared.\nRESULTS: The mean operative time in the TEP group was 75.72 +/- 31.6 min, which was significantly longer than the mean operative time in the open group (54 +/- 15) min (p &lt;0.001). The mean pain scores in the TEP group were 2.64 +/- 1.4 at 12 h and 1.76 +/- 1.4 at 24 h. These scores were significantly lower than the corresponding scores of 3.52 +/- 1.7 (p &lt;0.04) and 2.74 +/- 1.5 (p &lt;0.01) in the open repair group. The mean postoperative analgesic dose was 2.6 +/- 2.3 in the TEP group, which was significantly lower than in the open group 5.76 +/- 3.5 (p &lt;0.001). There was no major complication in either group. The time until return to work was significantly lower in the TEP group (12.8 +/- 7.1) days versus 19.3 +/- 4.3 days; than in the open group (p &lt;0.001). In terms of cosmetics, all 25 patients (100%) in TEP group rated themselves as \"highly satisfied,\" as compared with 7 patients (28%) in the open group (p &lt;0.001). After a mean follow-up period of 13 months (range, 9-18 months), no recurrence was seen in either of the two groups.\nCONCLUSION: In terms of complications and short-term recurrence, TEP repair is comparable with open repair. Moreover, TEP is significantly less painful in the early postoperative period, leading to earlier ambulation than open repair. Additionally, TEP results in significantly earlier return to work and better cosmetic results. Currently, TEP seems to be a better alternative than the existing open repair, provided the long-term recurrence rates are comparable. Despite the fact that TEP was a new procedure for the surgeon and the study was conducted during the learning phase, the results are comparable with those in the world literature.","container-title":"Surgical Endoscopy","DOI":"10.1007/s00464-002-8575-6","ISSN":"1432-2218","issue":"6","journalAbbreviation":"Surg Endosc","language":"eng","note":"PMID: 12658428","page":"850-856","source":"PubMed","title":"Randomized controlled study of laparoscopic total extraperitoneal versus open Lichtenstein inguinal hernia repair","volume":"17","author":[{"family":"Lal","given":"Pawanindra"},{"family":"Kajla","given":"R. K."},{"family":"Chander","given":"J."},{"family":"Saha","given":"R."},{"family":"Ramteke","given":"V. K."}],"issued":{"date-parts":[["2003",6]]}}}],"schema":"https://github.com/citation-style-language/schema/raw/master/csl-citation.json"}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10</w:t>
            </w:r>
            <w:r w:rsidR="0089434D" w:rsidRPr="00753661">
              <w:rPr>
                <w:rFonts w:ascii="Arial" w:hAnsi="Arial" w:cs="Arial"/>
                <w:color w:val="000000"/>
                <w:sz w:val="20"/>
                <w:szCs w:val="20"/>
              </w:rPr>
              <w:fldChar w:fldCharType="end"/>
            </w:r>
          </w:p>
        </w:tc>
        <w:tc>
          <w:tcPr>
            <w:tcW w:w="9720" w:type="dxa"/>
          </w:tcPr>
          <w:p w14:paraId="03710732"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1A8E42EA" w14:textId="77777777" w:rsidTr="00D729B4">
        <w:trPr>
          <w:trHeight w:val="169"/>
        </w:trPr>
        <w:tc>
          <w:tcPr>
            <w:tcW w:w="2065" w:type="dxa"/>
          </w:tcPr>
          <w:p w14:paraId="4941FDEE" w14:textId="77FAC1F5"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Anadol</w:t>
            </w:r>
            <w:proofErr w:type="spellEnd"/>
            <w:r w:rsidRPr="00753661">
              <w:rPr>
                <w:rFonts w:ascii="Arial" w:hAnsi="Arial" w:cs="Arial"/>
                <w:color w:val="000000"/>
                <w:sz w:val="20"/>
                <w:szCs w:val="20"/>
              </w:rPr>
              <w:t>, 2004</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{"citationID":"oymIV7FL","properties":{"formattedCitation":"\\super 11\\nosupersub{}","plainCitation":"11","noteIndex":0},"citationItems":[{"id":588,"uris":["http://zotero.org/users/8137403/items/IUUU3ZAX"],"itemData":{"id":588,"type":"article-journal","abstract":"Laparoscopic hernia repair has all the advantages of a tension free repair. This study compares the laparoscopic transabdominal preperitoneal (TAPP) approach with tension-free open hernia repair in terms of operative time, postoperative pain, hospital stay, complications, and cost. Open and TAPP repairs using polypropylene mesh were performed in two groups of 25 male patients. The difference in operative times between the groups was not significant. Mean pain scores (0-100) for the open group were 54.12 +/- 13.06 at 12 hours and 37.24 +/- 11.38 at 24 hours, significantly higher than the corresponding scores of 38.36 +/- 8.21 at 12 hours and 20.92 +/- 8.73 at 24 hours for the TAPP group (P &lt; 0.05). The mean postoperative analgesic dose was 6.72 +/- 2.72 in the TAPP group, which was insignificantly lower than 7.52 +/- 2.00 in the open group. Mean hospital stay was 2.24 +/- 0.97 days in the open group and 1.52 +/- 0.51 in the TAPP group, which was significant (P &lt; 0.05). Twenty patients (80%) in the TAPP group rated themselves highly satisfied with the surgery as compared to 11 patients (44%) in the open group (P &lt; 0.05). There was no recurrence in either group during a mean followup period of 13.5 months (range, 8-28 months). Laparoscopic hernia repair was significantly more expensive than open (1100 US dollars versus 629 US dollars). TAPP repair is superior to open repair in terms of shorter hospital stay, lower postoperative pain, and better patient satisfaction. It is also safe, with no recurrence in a short-term period. This technique will be the operation of choice for the treatment of groin hernia after long-term results have been established in our center.","container-title":"Journal of Laparoendoscopic &amp; Advanced Surgical Techniques. Part A","DOI":"10.1089/1092642041255414","ISSN":"1092-6429","issue":"3","journalAbbreviation":"J Laparoendosc Adv Surg Tech A","language":"eng","note":"PMID: 15245668","page":"159-163","source":"PubMed","title":"Outcome and cost comparison of laparoscopic transabdominal preperitoneal hernia repair versus Open Lichtenstein technique","volume":"14","author":[{"family":"Anadol","given":"Ziya A."},{"family":"Ersoy","given":"Emin"},{"family":"Taneri","given":"Ferit"},{"family":"Tekin","given":"Ercüment"}],"issued":{"date-parts":[["2004",6]]}}}],"schema":"https://github.com/citation-style-language/schema/raw/master/csl-citation.json"}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11</w:t>
            </w:r>
            <w:r w:rsidR="0089434D" w:rsidRPr="00753661">
              <w:rPr>
                <w:rFonts w:ascii="Arial" w:hAnsi="Arial" w:cs="Arial"/>
                <w:color w:val="000000"/>
                <w:sz w:val="20"/>
                <w:szCs w:val="20"/>
              </w:rPr>
              <w:fldChar w:fldCharType="end"/>
            </w:r>
          </w:p>
        </w:tc>
        <w:tc>
          <w:tcPr>
            <w:tcW w:w="9720" w:type="dxa"/>
          </w:tcPr>
          <w:p w14:paraId="668F254C"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4C9C9748" w14:textId="77777777" w:rsidTr="00D729B4">
        <w:trPr>
          <w:trHeight w:val="183"/>
        </w:trPr>
        <w:tc>
          <w:tcPr>
            <w:tcW w:w="2065" w:type="dxa"/>
          </w:tcPr>
          <w:p w14:paraId="5EA9BFAE" w14:textId="31F5263A" w:rsidR="000B1E62" w:rsidRPr="00753661" w:rsidRDefault="000B1E62">
            <w:pPr>
              <w:rPr>
                <w:rFonts w:ascii="Arial" w:hAnsi="Arial" w:cs="Arial"/>
                <w:b/>
                <w:bCs/>
                <w:sz w:val="20"/>
                <w:szCs w:val="20"/>
              </w:rPr>
            </w:pPr>
            <w:r w:rsidRPr="00753661">
              <w:rPr>
                <w:rFonts w:ascii="Arial" w:hAnsi="Arial" w:cs="Arial"/>
                <w:color w:val="000000"/>
                <w:sz w:val="20"/>
                <w:szCs w:val="20"/>
              </w:rPr>
              <w:t>Neumayer, 2004</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{"citationID":"35VMcIY4","properties":{"formattedCitation":"\\super 12\\nosupersub{}","plainCitation":"12","noteIndex":0},"citationItems":[{"id":699,"uris":["http://zotero.org/users/8137403/items/QQ9WN2ZB"],"itemData":{"id":699,"type":"article-journal","abstract":"BACKGROUND: Repair of inguinal hernias in men is a common surgical procedure, but the most effective surgical technique is unknown.\nMETHODS: We randomly assigned men with inguinal hernias at 14 Veterans Affairs (VA) medical centers to either open mesh or laparoscopic mesh repair. The primary outcome was recurrence of hernias at two years. Secondary outcomes included complications and patient-centered outcomes.\nRESULTS: Of the 2164 patients who were randomly assigned to one of the two procedures, 1983 underwent an operation; two-year follow-up was completed in 1696 (85.5 percent). Recurrences were more common in the laparoscopic group (87 of 862 patients [10.1 percent]) than in the open group (41 of 834 patients [4.9 percent]; odds ratio, 2.2; 95 percent confidence interval, 1.5 to 3.2). The rate of complications was higher in the laparoscopic-surgery group than in the open-surgery group (39.0 percent vs. 33.4 percent; adjusted odds ratio, 1.3; 95 percent confidence interval, 1.1 to 1.6). The laparoscopic-surgery group had less pain initially than the open-surgery group on the day of surgery (difference in mean score on a visual-analogue scale, 10.2 mm; 95 percent confidence interval, 4.8 to 15.6) and at two weeks (6.1 mm; 95 percent confidence interval, 1.7 to 10.5) and returned to normal activities one day earlier (adjusted hazard ratio for a shorter time to return to normal activities, 1.2; 95 percent confidence interval, 1.1 to 1.3). In prespecified analyses, there was a significant interaction between the surgical approach (open or laparoscopic) and the type of hernia (primary or recurrent) (P=0.012). Recurrence was significantly more common after laparoscopic repair than after open repair of primary hernias (10.1 percent vs. 4.0 percent), but rates of recurrence after repair of recurrent hernias were similar in the two groups (10.0 percent and 14.1 percent, respectively).\nCONCLUSIONS: The open technique is superior to the laparoscopic technique for mesh repair of primary hernias.","container-title":"The New England Journal of Medicine","DOI":"10.1056/NEJMoa040093","ISSN":"1533-4406","issue":"18","journalAbbreviation":"N Engl J Med","language":"eng","note":"PMID: 15107485","page":"1819-1827","source":"PubMed","title":"Open mesh versus laparoscopic mesh repair of inguinal hernia","volume":"350","author":[{"family":"Neumayer","given":"Leigh"},{"family":"Giobbie-Hurder","given":"Anita"},{"family":"Jonasson","given":"Olga"},{"family":"Fitzgibbons","given":"Robert"},{"family":"Dunlop","given":"Dorothy"},{"family":"Gibbs","given":"James"},{"family":"Reda","given":"Domenic"},{"family":"Henderson","given":"William"},{"literal":"Veterans Affairs Cooperative Studies Program 456 Investigators"}],"issued":{"date-parts":[["2004",4,29]]}}}],"schema":"https://github.com/citation-style-language/schema/raw/master/csl-citation.json"}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12</w:t>
            </w:r>
            <w:r w:rsidR="0089434D" w:rsidRPr="00753661">
              <w:rPr>
                <w:rFonts w:ascii="Arial" w:hAnsi="Arial" w:cs="Arial"/>
                <w:color w:val="000000"/>
                <w:sz w:val="20"/>
                <w:szCs w:val="20"/>
              </w:rPr>
              <w:fldChar w:fldCharType="end"/>
            </w:r>
          </w:p>
        </w:tc>
        <w:tc>
          <w:tcPr>
            <w:tcW w:w="9720" w:type="dxa"/>
          </w:tcPr>
          <w:p w14:paraId="4CE364D3"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neuralgia or other pain</w:t>
            </w:r>
          </w:p>
        </w:tc>
      </w:tr>
      <w:tr w:rsidR="000B1E62" w:rsidRPr="00753661" w14:paraId="289F2FA7" w14:textId="77777777" w:rsidTr="00D729B4">
        <w:trPr>
          <w:trHeight w:val="169"/>
        </w:trPr>
        <w:tc>
          <w:tcPr>
            <w:tcW w:w="2065" w:type="dxa"/>
          </w:tcPr>
          <w:p w14:paraId="2E647E79" w14:textId="46D26FA6"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Dedemadl</w:t>
            </w:r>
            <w:proofErr w:type="spellEnd"/>
            <w:r w:rsidRPr="00753661">
              <w:rPr>
                <w:rFonts w:ascii="Arial" w:hAnsi="Arial" w:cs="Arial"/>
                <w:color w:val="000000"/>
                <w:sz w:val="20"/>
                <w:szCs w:val="20"/>
              </w:rPr>
              <w:t>, 2006</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{"citationID":"BYn31Yus","properties":{"formattedCitation":"\\super 13\\nosupersub{}","plainCitation":"13","noteIndex":0},"citationItems":[{"id":601,"uris":["http://zotero.org/users/8137403/items/DW8B5DIZ"],"itemData":{"id":601,"type":"article-journal","abstract":"BACKGROUND: The current prospective randomized controlled clinical study aimed to assess the short- and long-term results of recurrent inguinal hernia repair, and to compare the results for transabdominal preperitoneal (TAPP) and totally extraperitoneal (TEP) procedures with those for open tension-free repair.\nMETHODS: For this study, 82 patients were randomly assigned to undergo TAPP (group A, n = 24), TEP (group B, n = 26), or open Lichtenstein hernioplasty (group C, n = 32). All the patients with recurrent inguinal hernias had undergone previous repair using conventional open procedures. Physical examination showed Nyhus type II hernia in the vast majority of the patients (59%). High-risk patients (American Society of Anesthesiology [ASA] III or IV); coagulation disorders; previous abdominal or pelvic surgery; and irreducible, congenital, and massive scrotal or sliding hernias were excluded from the study.\nRESULTS: There was a statistically significant difference (p = 0.001) in operating time favoring the open procedure. The intensity of postoperative pain was greater in the open hernia repair group 24 h, 48 h, and 7 days after surgery (p = 0.001), with a greater consumption of pain medication among these patients (p &lt; 0.004). The median time until return to work was 14 days for group A, 13 days for Group g, and 20 days for group C. The comparison was in favor of laparoscopically treated patients. Nine recurrences (4 in the laparoscopic groups and 5 in the open group) were documented within 3 years of follow-up evaluation.\nCONCLUSION: Laparoscopic inguinal hernia repair (TAPP or TEP) is the method of choice for dealing with recurrent inguinal hernia.","container-title":"Surgical Endoscopy","DOI":"10.1007/s00464-005-0621-8","ISSN":"1432-2218","issue":"7","journalAbbreviation":"Surg Endosc","language":"eng","note":"PMID: 16763926","page":"1099-1104","source":"PubMed","title":"Comparison of laparoscopic and open tension-free repair of recurrent inguinal hernias: a prospective randomized study","title-short":"Comparison of laparoscopic and open tension-free repair of recurrent inguinal hernias","volume":"20","author":[{"family":"Dedemadi","given":"G."},{"family":"Sgourakis","given":"G."},{"family":"Karaliotas","given":"C."},{"family":"Christofides","given":"T."},{"family":"Kouraklis","given":"G."},{"family":"Karaliotas","given":"C."}],"issued":{"date-parts":[["2006",7]]}}}],"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13</w:t>
            </w:r>
            <w:r w:rsidR="0089434D" w:rsidRPr="00753661">
              <w:rPr>
                <w:rFonts w:ascii="Arial" w:hAnsi="Arial" w:cs="Arial"/>
                <w:color w:val="000000"/>
                <w:sz w:val="20"/>
                <w:szCs w:val="20"/>
              </w:rPr>
              <w:fldChar w:fldCharType="end"/>
            </w:r>
          </w:p>
        </w:tc>
        <w:tc>
          <w:tcPr>
            <w:tcW w:w="9720" w:type="dxa"/>
          </w:tcPr>
          <w:p w14:paraId="2BBC5E11"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neuralgia or testicular pain</w:t>
            </w:r>
          </w:p>
        </w:tc>
      </w:tr>
      <w:tr w:rsidR="000B1E62" w:rsidRPr="00753661" w14:paraId="5A6A1232" w14:textId="77777777" w:rsidTr="00091A90">
        <w:trPr>
          <w:trHeight w:val="171"/>
        </w:trPr>
        <w:tc>
          <w:tcPr>
            <w:tcW w:w="2065" w:type="dxa"/>
          </w:tcPr>
          <w:p w14:paraId="7DF3F394" w14:textId="313F78B5" w:rsidR="000B1E62" w:rsidRPr="00753661" w:rsidRDefault="000B1E62">
            <w:pPr>
              <w:rPr>
                <w:rFonts w:ascii="Arial" w:hAnsi="Arial" w:cs="Arial"/>
                <w:b/>
                <w:bCs/>
                <w:sz w:val="20"/>
                <w:szCs w:val="20"/>
              </w:rPr>
            </w:pPr>
            <w:r w:rsidRPr="00753661">
              <w:rPr>
                <w:rFonts w:ascii="Arial" w:hAnsi="Arial" w:cs="Arial"/>
                <w:color w:val="000000"/>
                <w:sz w:val="20"/>
                <w:szCs w:val="20"/>
              </w:rPr>
              <w:t>Butler, 2007</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{"citationID":"wzGoOBGn","properties":{"formattedCitation":"\\super 14\\nosupersub{}","plainCitation":"14","noteIndex":0},"citationItems":[{"id":685,"uris":["http://zotero.org/users/8137403/items/QSJSPEQ5"],"itemData":{"id":685,"type":"article-journal","abstract":"For this study, 66 patients with a preoperative diagnosis of unilateral primary inguinal hernia were randomized to undergo laparoscopic totally extra peritoneal (TEP), laparoscopic transabdominal (TAPP), or open inguinal hernia repair with polypropylene mesh (Lichtenstein type). Both the operative team caring for the patient postoperatively and the patient were blinded to the operative approach by placement of a large dressing covering the abdomen, which was not removed until postoperative day 3. The patients recorded their pain level on a visual analog pain scale daily. Medication usage also was recorded. All patients were seen at 7-day intervals until they returned to work. The patients were interviewed during their postoperative visits by an investigator blinded to the operative approach and questioned regarding their ability to return to work and their pain levels. The average number of lost work days in all the groups was 12, and there was no significant difference between the three groups (p = 0.074). The average operating time for the TAPP procedure was 59 min, less than the time required to complete either the TEP or the Lichtenstein approach, which had equivalent operative times (p = 0.027). The material cost was significantly lower for the Lichtenstein repair (1,200 dollars less) than for either of the laparoscopic approaches, a saving primarily related to consumable operating room supplies. The TEP repair costs were minimally higher than those for the TAPP repair (125 dollars more). No significant differences were noted in the postoperative pain scales, and the use of postoperative oral analgesics was equivalent. The higher operative costs noted for the laparoscopic hernia repairs were not offset by a shortened convalescence. Postoperative pain appears to be equivalent regardless of the operative approach chosen and is easily managed with oral analgesics.","container-title":"Surgical Endoscopy","DOI":"10.1007/s00464-006-9123-6","ISSN":"1432-2218","issue":"3","journalAbbreviation":"Surg Endosc","language":"eng","note":"PMID: 17235721","page":"387-390","source":"PubMed","title":"The economic impact of laparoscopic inguinal hernia repair: results of a double-blinded, prospective, randomized trial","title-short":"The economic impact of laparoscopic inguinal hernia repair","volume":"21","author":[{"family":"Butler","given":"Ralph E."},{"family":"Burke","given":"Rachel"},{"family":"Schneider","given":"James J."},{"family":"Brar","given":"Harpreet"},{"family":"Lucha","given":"Paul A."}],"issued":{"date-parts":[["2007",3]]}}}],"schema":"https://github.com/citation-style-language/schema/raw/master/csl-citation.json"}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14</w:t>
            </w:r>
            <w:r w:rsidR="0089434D" w:rsidRPr="00753661">
              <w:rPr>
                <w:rFonts w:ascii="Arial" w:hAnsi="Arial" w:cs="Arial"/>
                <w:color w:val="000000"/>
                <w:sz w:val="20"/>
                <w:szCs w:val="20"/>
              </w:rPr>
              <w:fldChar w:fldCharType="end"/>
            </w:r>
          </w:p>
        </w:tc>
        <w:tc>
          <w:tcPr>
            <w:tcW w:w="9720" w:type="dxa"/>
          </w:tcPr>
          <w:p w14:paraId="4ABF0777"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0B35CB46" w14:textId="77777777" w:rsidTr="00D729B4">
        <w:trPr>
          <w:trHeight w:val="183"/>
        </w:trPr>
        <w:tc>
          <w:tcPr>
            <w:tcW w:w="2065" w:type="dxa"/>
          </w:tcPr>
          <w:p w14:paraId="3248FAE1" w14:textId="122D9B35" w:rsidR="000B1E62" w:rsidRPr="00753661" w:rsidRDefault="000B1E62">
            <w:pPr>
              <w:rPr>
                <w:rFonts w:ascii="Arial" w:hAnsi="Arial" w:cs="Arial"/>
                <w:b/>
                <w:bCs/>
                <w:sz w:val="20"/>
                <w:szCs w:val="20"/>
              </w:rPr>
            </w:pPr>
            <w:r w:rsidRPr="00753661">
              <w:rPr>
                <w:rFonts w:ascii="Arial" w:hAnsi="Arial" w:cs="Arial"/>
                <w:color w:val="000000"/>
                <w:sz w:val="20"/>
                <w:szCs w:val="20"/>
              </w:rPr>
              <w:t>Butters, 2007</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{"citationID":"ia5BpbIU","properties":{"formattedCitation":"\\super 15\\nosupersub{}","plainCitation":"15","noteIndex":0},"citationItems":[{"id":596,"uris":["http://zotero.org/users/8137403/items/ZWFDEJGZ"],"itemData":{"id":596,"type":"article-journal","abstract":"INTRODUCTION: There is an ongoing debate about the preferred technique for inguinal hernia repair. In this randomized study the long-term results of Shouldice, Lichtenstein and transabdominal preperitoneal (TAPP) hernia repair were compared.\nMETHODS: Some 280 men with a primary hernia were randomized prospectively to undergo Shouldice, tension-free Lichtenstein or laparoscopic TAPP repair. Patients were examined after 52 months to assess hernia recurrence, nerve damage, testicular atrophy and patient satisfaction.\nRESULTS: Hernia recurrence occurred in six patients after Shouldice repair, and in one patient each after Lichtenstein and TAPP repairs. All recurrences after tension-free repairs were diagnosed within the first year after surgery. Nerve injuries were significantly more frequent after open Shouldice and Lichtenstein repairs. Patient satisfaction was greatest after laparoscopic TAPP repair.\nCONCLUSION: Tension-free repair was superior to the non-mesh Shouldice technique. The open anterior approach to the groin was associated with demonstrable nerve injury, and laparoscopic TAPP repair was the most effective approach in the hands of an experienced surgeon.","container-title":"The British Journal of Surgery","DOI":"10.1002/bjs.5733","ISSN":"0007-1323","issue":"5","journalAbbreviation":"Br J Surg","language":"eng","note":"PMID: 17443855","page":"562-565","source":"PubMed","title":"Long-term results of a randomized clinical trial of Shouldice, Lichtenstein and transabdominal preperitoneal hernia repairs","volume":"94","author":[{"family":"Butters","given":"M."},{"family":"Redecke","given":"J."},{"family":"Köninger","given":"J."}],"issued":{"date-parts":[["2007",5]]}}}],"schema":"https://github.com/citation-style-language/schema/raw/master/csl-citation.json"}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15</w:t>
            </w:r>
            <w:r w:rsidR="0089434D" w:rsidRPr="00753661">
              <w:rPr>
                <w:rFonts w:ascii="Arial" w:hAnsi="Arial" w:cs="Arial"/>
                <w:color w:val="000000"/>
                <w:sz w:val="20"/>
                <w:szCs w:val="20"/>
              </w:rPr>
              <w:fldChar w:fldCharType="end"/>
            </w:r>
          </w:p>
        </w:tc>
        <w:tc>
          <w:tcPr>
            <w:tcW w:w="9720" w:type="dxa"/>
          </w:tcPr>
          <w:p w14:paraId="22001DA0"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lateral cutaneous nerve damage</w:t>
            </w:r>
          </w:p>
        </w:tc>
      </w:tr>
      <w:tr w:rsidR="000B1E62" w:rsidRPr="00753661" w14:paraId="77AA2809" w14:textId="77777777" w:rsidTr="00091A90">
        <w:trPr>
          <w:trHeight w:val="72"/>
        </w:trPr>
        <w:tc>
          <w:tcPr>
            <w:tcW w:w="2065" w:type="dxa"/>
          </w:tcPr>
          <w:p w14:paraId="29C3F24E" w14:textId="711B5E78" w:rsidR="000B1E62" w:rsidRPr="00753661" w:rsidRDefault="000B1E62">
            <w:pPr>
              <w:rPr>
                <w:rFonts w:ascii="Arial" w:hAnsi="Arial" w:cs="Arial"/>
                <w:b/>
                <w:bCs/>
                <w:sz w:val="20"/>
                <w:szCs w:val="20"/>
              </w:rPr>
            </w:pPr>
            <w:r w:rsidRPr="00753661">
              <w:rPr>
                <w:rFonts w:ascii="Arial" w:hAnsi="Arial" w:cs="Arial"/>
                <w:color w:val="000000"/>
                <w:sz w:val="20"/>
                <w:szCs w:val="20"/>
              </w:rPr>
              <w:t>Gunal, 2007</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{"citationID":"WIO83vf4","properties":{"formattedCitation":"\\super 16\\nosupersub{}","plainCitation":"16","noteIndex":0},"citationItems":[{"id":611,"uris":["http://zotero.org/users/8137403/items/EPBUVQHJ"],"itemData":{"id":611,"type":"article-journal","abstract":"BACKGROUND: Laparoscopic and open preperitoneal hernia repair techniques both use the preperitoneal space. This study investigated whether the surgical approach to the inguinal canal affects outcome measures.\nMETHODS: One hundred sixty patients with inguinal hernia were assigned randomly into open anterior (42), open preperitoneal (39), laparoscopic transabdominal preperitoneal (39), and laparoscopic total extraperitoneal (40) groups according to the surgical method. The peroperative serum tumor necrosis factor-alpha (TNF-alpha) levels, interleukin-6 (IL-6) levels, VAS scores at 6 and 48 h, per- and postoperative complications, and recurrence rates were determined as main variables.\nRESULTS: The serum IL-6 levels were 335 +/- 1.8, 283 +/- 1.8, 283 +/- 1.4, and 269.3 +/- 1.6 pg/ml in the open anterior, posterior, transabdominal preperitoneal, and total extraperitoneal groups, respectively (P &lt; 0.01). The TNF-alpha levels were highest in the open anterior group. The pain scores were lower in groups undergoing the posterior approach than in the open anterior approach group.\nCONCLUSION: The approach to the inguinal canal through the preperitoneal space appears to be less invasive than the transinguinal anterior approach.","container-title":"Hernia: The Journal of Hernias and Abdominal Wall Surgery","DOI":"10.1007/s10029-007-0252-1","ISSN":"1265-4906","issue":"5","journalAbbreviation":"Hernia","language":"eng","note":"PMID: 17610024","page":"429-434","source":"PubMed","title":"Does the approach to the groin make a difference in hernia repair?","volume":"11","author":[{"family":"Günal","given":"O."},{"family":"Ozer","given":"S."},{"family":"Gürleyik","given":"E."},{"family":"Bahçebaşi","given":"T."}],"issued":{"date-parts":[["2007",10]]}}}],"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16</w:t>
            </w:r>
            <w:r w:rsidR="00653E98" w:rsidRPr="00753661">
              <w:rPr>
                <w:rFonts w:ascii="Arial" w:hAnsi="Arial" w:cs="Arial"/>
                <w:color w:val="000000"/>
                <w:sz w:val="20"/>
                <w:szCs w:val="20"/>
              </w:rPr>
              <w:fldChar w:fldCharType="end"/>
            </w:r>
          </w:p>
        </w:tc>
        <w:tc>
          <w:tcPr>
            <w:tcW w:w="9720" w:type="dxa"/>
          </w:tcPr>
          <w:p w14:paraId="5901FAD8"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700A5480" w14:textId="77777777" w:rsidTr="00D729B4">
        <w:trPr>
          <w:trHeight w:val="169"/>
        </w:trPr>
        <w:tc>
          <w:tcPr>
            <w:tcW w:w="2065" w:type="dxa"/>
          </w:tcPr>
          <w:p w14:paraId="55CECCCA" w14:textId="00B7F0B2" w:rsidR="000B1E62" w:rsidRPr="00753661" w:rsidRDefault="000B1E62">
            <w:pPr>
              <w:rPr>
                <w:rFonts w:ascii="Arial" w:hAnsi="Arial" w:cs="Arial"/>
                <w:b/>
                <w:bCs/>
                <w:sz w:val="20"/>
                <w:szCs w:val="20"/>
              </w:rPr>
            </w:pPr>
            <w:r w:rsidRPr="00753661">
              <w:rPr>
                <w:rFonts w:ascii="Arial" w:hAnsi="Arial" w:cs="Arial"/>
                <w:color w:val="000000"/>
                <w:sz w:val="20"/>
                <w:szCs w:val="20"/>
              </w:rPr>
              <w:t>Hallen, 2007</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{"citationID":"cqCe2se3","properties":{"formattedCitation":"\\super 17\\nosupersub{}","plainCitation":"17","noteIndex":0},"citationItems":[{"id":615,"uris":["http://zotero.org/users/8137403/items/99F9RR33"],"itemData":{"id":615,"type":"article-journal","abstract":"BACKGROUND: We have conducted a randomized controlled trial of totally extraperitoneal hernia repair (TEP) versus tension-free open repair (Lichtenstein repair); we have presented the results previously up to 1 year after the operation. The aim of this study was to compare patient outcome in both groups at a median follow-up of 7.3 years after operation.\nMETHODS: Of 168 patients included in a prospective, randomized controlled trial designed to compare TEP with an open tension-free technique, 154 patients (92%) answered a questionnaire and 147 patients (88%) were followed up at an outpatient clinic after a minimum of 6 years after operation.\nRESULTS: Overall, 89% of patients in the TEP group and 95% of patients in the open group reported complete long-term recovery (P = .23). Permanent impaired inguinal sensibility was more common in the open group (P = .004), whereas the proportion of patients with reported testicular pain was higher in the TEP group (P = .003). Three recurrences were found in the TEP group, and 4 recurrences were found in the open group (P = .99). Four patients in the TEP group underwent operations for complications related to the hernia repair (small bowel obstruction, umbilical hernia, testicular pain, and neuralgia).\nCONCLUSION: Overall, both groups showed good long-term results with low rates of recurrences. However, the TEP group was associated with a higher proportion of patients with long-term testicular pain, whereas impaired inguinal sensibility was more common in the open group.","container-title":"Surgery","DOI":"10.1016/j.surg.2007.09.028","ISSN":"1532-7361","issue":"3","journalAbbreviation":"Surgery","language":"eng","note":"PMID: 18291251","page":"313-317","source":"PubMed","title":"Laparoscopic extraperitoneal inguinal hernia repair versus open mesh repair: long-term follow-up of a randomized controlled trial","title-short":"Laparoscopic extraperitoneal inguinal hernia repair versus open mesh repair","volume":"143","author":[{"family":"Hallén","given":"Magnus"},{"family":"Bergenfelz","given":"Anders"},{"family":"Westerdahl","given":"Johan"}],"issued":{"date-parts":[["2008",3]]}}}],"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17</w:t>
            </w:r>
            <w:r w:rsidR="00653E98" w:rsidRPr="00753661">
              <w:rPr>
                <w:rFonts w:ascii="Arial" w:hAnsi="Arial" w:cs="Arial"/>
                <w:color w:val="000000"/>
                <w:sz w:val="20"/>
                <w:szCs w:val="20"/>
              </w:rPr>
              <w:fldChar w:fldCharType="end"/>
            </w:r>
          </w:p>
        </w:tc>
        <w:tc>
          <w:tcPr>
            <w:tcW w:w="9720" w:type="dxa"/>
          </w:tcPr>
          <w:p w14:paraId="4A1D7557"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chronic groin pain</w:t>
            </w:r>
          </w:p>
        </w:tc>
      </w:tr>
      <w:tr w:rsidR="000B1E62" w:rsidRPr="00753661" w14:paraId="5544A327" w14:textId="77777777" w:rsidTr="00D729B4">
        <w:trPr>
          <w:trHeight w:val="183"/>
        </w:trPr>
        <w:tc>
          <w:tcPr>
            <w:tcW w:w="2065" w:type="dxa"/>
          </w:tcPr>
          <w:p w14:paraId="5758B04E" w14:textId="6E1D7BD3" w:rsidR="000B1E62" w:rsidRPr="00753661" w:rsidRDefault="000B1E62">
            <w:pPr>
              <w:rPr>
                <w:rFonts w:ascii="Arial" w:hAnsi="Arial" w:cs="Arial"/>
                <w:b/>
                <w:bCs/>
                <w:sz w:val="20"/>
                <w:szCs w:val="20"/>
              </w:rPr>
            </w:pPr>
            <w:r w:rsidRPr="00753661">
              <w:rPr>
                <w:rFonts w:ascii="Arial" w:hAnsi="Arial" w:cs="Arial"/>
                <w:color w:val="000000"/>
                <w:sz w:val="20"/>
                <w:szCs w:val="20"/>
              </w:rPr>
              <w:t>Pokorny, 2008</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{"citationID":"GW1pHKxC","properties":{"formattedCitation":"\\super 18\\nosupersub{}","plainCitation":"18","noteIndex":0},"citationItems":[{"id":641,"uris":["http://zotero.org/users/8137403/items/TTT3FT4C"],"itemData":{"id":641,"type":"article-journal","abstract":"BACKGROUND: The aim of this prospective randomized multicenter trial was to evaluate the recurrence rates and complications of open versus laparoscopic repairs of inguinal hernias.\nMETHODS: Patients with primary unilateral inguinal hernias were randomized to Shouldice repair, Bassini operation, tension-free hernioplasty (Lichtenstein repair), laparoscopic transabdominal extraperitoneal hernioplasty (TEP), or laparoscopic transabdominal preperitoneal hernioplasty (TAPP). The primary outcome parameter was the rate of recurrence at 3 years. The secondary outcome was the rate of intraoperative, perioperative, and long-term complications. Follow-up comprised of clinical examination after 1, 2, and 3 years.\nRESULTS: Three hundred and sixty-five patients were randomly assigned to one of the five procedures. The intention-to-treat analysis showed that the cumulative 3-year recurrence rate was 3.4% in the Bassini group, 4.7% in the Shouldice group, 0% in the Lichtenstein group, 4.7% in the TAPP group, and 5.9% in the TEP group (p = 0.48). Comparing open (Bassini, Shouldice, Lichtenstein) versus laparoscopic (TAPP, TEP) techniques (p = 0.29) and comparing the use of mesh prostheses (Lichtenstein, TAPP, TEP) versus suturing techniques (Bassini, Shouldice) (p = 0.74) showed no significance in the rate of recurrence. The rates of intraoperative (p = 0.15), perioperative (p = 0.09), and long-term complications (p = 0.13) were without significance between the five groups. Comparing mesh techniques (Lichtenstein, TAPP, TEP) versus suturing techniques (Bassini, Shouldice) showed no significance in the rate of complications. The per-protocol analysis for the comparison of mesh (Lichtenstein, TAPP, TEP) versus suturing (Bassini, Shouldice) techniques revealed that recurrences (p = 0.74), intraoperative (p = 0.64), perioperative (p = 0.27), and long-term complications (p = 0.91) were evenly distributed.\nCONCLUSIONS: In this multicenter study, no significant difference in the recurrence rate and complications between laparoscopic and open methods of hernia repair was revealed.","container-title":"Hernia: The Journal of Hernias and Abdominal Wall Surgery","DOI":"10.1007/s10029-008-0357-1","ISSN":"1265-4906","issue":"4","journalAbbreviation":"Hernia","language":"eng","note":"PMID: 18283518","page":"385-389","source":"PubMed","title":"Recurrence and complications after laparoscopic versus open inguinal hernia repair: results of a prospective randomized multicenter trial","title-short":"Recurrence and complications after laparoscopic versus open inguinal hernia repair","volume":"12","author":[{"family":"Pokorny","given":"H."},{"family":"Klingler","given":"A."},{"family":"Schmid","given":"T."},{"family":"Fortelny","given":"R."},{"family":"Hollinsky","given":"C."},{"family":"Kawji","given":"R."},{"family":"Steiner","given":"E."},{"family":"Pernthaler","given":"H."},{"family":"Függer","given":"R."},{"family":"Scheyer","given":"M."}],"issued":{"date-parts":[["2008",8]]}}}],"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18</w:t>
            </w:r>
            <w:r w:rsidR="0089434D" w:rsidRPr="00753661">
              <w:rPr>
                <w:rFonts w:ascii="Arial" w:hAnsi="Arial" w:cs="Arial"/>
                <w:color w:val="000000"/>
                <w:sz w:val="20"/>
                <w:szCs w:val="20"/>
              </w:rPr>
              <w:fldChar w:fldCharType="end"/>
            </w:r>
          </w:p>
        </w:tc>
        <w:tc>
          <w:tcPr>
            <w:tcW w:w="9720" w:type="dxa"/>
          </w:tcPr>
          <w:p w14:paraId="5A16430F"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persistent pain/tenderness</w:t>
            </w:r>
          </w:p>
        </w:tc>
      </w:tr>
      <w:tr w:rsidR="000B1E62" w:rsidRPr="00753661" w14:paraId="36FBCD65" w14:textId="77777777" w:rsidTr="00091A90">
        <w:trPr>
          <w:trHeight w:val="64"/>
        </w:trPr>
        <w:tc>
          <w:tcPr>
            <w:tcW w:w="2065" w:type="dxa"/>
          </w:tcPr>
          <w:p w14:paraId="4533EE7A" w14:textId="427D9181" w:rsidR="000B1E62" w:rsidRPr="00753661" w:rsidRDefault="000B1E62">
            <w:pPr>
              <w:rPr>
                <w:rFonts w:ascii="Arial" w:hAnsi="Arial" w:cs="Arial"/>
                <w:b/>
                <w:bCs/>
                <w:sz w:val="20"/>
                <w:szCs w:val="20"/>
              </w:rPr>
            </w:pPr>
            <w:r w:rsidRPr="00753661">
              <w:rPr>
                <w:rFonts w:ascii="Arial" w:hAnsi="Arial" w:cs="Arial"/>
                <w:color w:val="000000"/>
                <w:sz w:val="20"/>
                <w:szCs w:val="20"/>
              </w:rPr>
              <w:t>Eklund, 2009</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{"citationID":"ruFD9oJF","properties":{"formattedCitation":"\\super 19\\nosupersub{}","plainCitation":"19","noteIndex":0},"citationItems":[{"id":605,"uris":["http://zotero.org/users/8137403/items/59WYS6VF"],"itemData":{"id":605,"type":"article-journal","abstract":"OBJECTIVES: To compare a laparoscopic (totally extraperitoneal patch (TEP)) and an open technique (Lichtenstein) for inguinal hernia repair regarding recurrence rate and possible risk factors for recurrence.\nSUMMARY BACKGROUND DATA: Laparoscopic hernia repair has been introduced as an alternative to open repair. Short-term follow-up suggests benefits for those patients operated with a laparoscopic approach compared with open techniques; ie, less postoperative pain and a shorter convalescence period. Long-term results, however, are less well known.\nMETHODS: The study was conducted as a multicenter randomized trial with a 5-year follow-up. A total of 1512 men aged 30 to 70 years, with a primary unilateral inguinal hernia, were randomized to either TEP or Lichtenstein repair.\nRESULTS: Overall, 665 patients in the TEP group and 705 patients in the Lichtenstein group were evaluable. The cumulative recurrence rate was 3.5% in the TEP group and 1.2% in the Lichtenstein group (P = 0.008). Test for heterogeneity revealed significant differences between individual surgeons. The exclusion of 1 surgeon, who was responsible for 33% (7 of 21) of all recurrences in the TEP group, lowered the cumulative recurrence rate to 2.4% in this group, which was not statistically different from that of the Lichtenstein group.\nCONCLUSIONS: The recurrence rate for both TEP and Lichtenstein repair was low. A higher cumulative recurrence rate in the TEP group was seen at 5 years. Further analysis revealed that this could be attributable to incorrect surgical technique.","container-title":"Annals of Surgery","DOI":"10.1097/SLA.0b013e31819255d0","ISSN":"1528-1140","issue":"1","journalAbbreviation":"Ann Surg","language":"eng","note":"PMID: 19106673","page":"33-38","source":"PubMed","title":"Low recurrence rate after laparoscopic (TEP) and open (Lichtenstein) inguinal hernia repair: a randomized, multicenter trial with 5-year follow-up","title-short":"Low recurrence rate after laparoscopic (TEP) and open (Lichtenstein) inguinal hernia repair","volume":"249","author":[{"family":"Eklund","given":"Arne S."},{"family":"Montgomery","given":"Agneta K."},{"family":"Rasmussen","given":"Ib C."},{"family":"Sandbue","given":"Rune P."},{"family":"Bergkvist","given":"Leif A."},{"family":"Rudberg","given":"Claes R."}],"issued":{"date-parts":[["2009",1]]}}}],"schema":"https://github.com/citation-style-language/schema/raw/master/csl-citation.json"}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19</w:t>
            </w:r>
            <w:r w:rsidR="0089434D" w:rsidRPr="00753661">
              <w:rPr>
                <w:rFonts w:ascii="Arial" w:hAnsi="Arial" w:cs="Arial"/>
                <w:color w:val="000000"/>
                <w:sz w:val="20"/>
                <w:szCs w:val="20"/>
              </w:rPr>
              <w:fldChar w:fldCharType="end"/>
            </w:r>
          </w:p>
        </w:tc>
        <w:tc>
          <w:tcPr>
            <w:tcW w:w="9720" w:type="dxa"/>
          </w:tcPr>
          <w:p w14:paraId="5A2B34B7"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discomfort that occasionally interferes with daily activities, or more severe</w:t>
            </w:r>
          </w:p>
        </w:tc>
      </w:tr>
      <w:tr w:rsidR="000B1E62" w:rsidRPr="00753661" w14:paraId="72A4459E" w14:textId="77777777" w:rsidTr="00D729B4">
        <w:trPr>
          <w:trHeight w:val="183"/>
        </w:trPr>
        <w:tc>
          <w:tcPr>
            <w:tcW w:w="2065" w:type="dxa"/>
          </w:tcPr>
          <w:p w14:paraId="75037082" w14:textId="0DCEC0E0" w:rsidR="000B1E62" w:rsidRPr="00753661" w:rsidRDefault="000B1E62">
            <w:pPr>
              <w:rPr>
                <w:rFonts w:ascii="Arial" w:hAnsi="Arial" w:cs="Arial"/>
                <w:b/>
                <w:bCs/>
                <w:sz w:val="20"/>
                <w:szCs w:val="20"/>
              </w:rPr>
            </w:pPr>
            <w:r w:rsidRPr="00753661">
              <w:rPr>
                <w:rFonts w:ascii="Arial" w:hAnsi="Arial" w:cs="Arial"/>
                <w:color w:val="000000"/>
                <w:sz w:val="20"/>
                <w:szCs w:val="20"/>
              </w:rPr>
              <w:t>Hamza, 2009</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{"citationID":"KXKB7j4s","properties":{"formattedCitation":"\\super 20\\nosupersub{}","plainCitation":"20","noteIndex":0},"citationItems":[{"id":617,"uris":["http://zotero.org/users/8137403/items/YA8CV2TH"],"itemData":{"id":617,"type":"article-journal","abstract":"AIM: To compare four approaches in primary repair of inguinal hernia as regards operative and postoperative outcome.\nMETHODS: One hundred consecutive patients with primary inguinal hernia Nyhus I-III were randomized into four groups. Group I had open pro-peritoneal repair, group II had Lichtenstein tension-free mesh repair, group III had Transabdominal pro-peritoneal (TAPP) repair while group IV had laparoscopic totally extraperitoneal (TEP) hernia repair.\nRESULTS: Operative time ranged from 10.71 to 120.61 min. Laparoscopic operations were significantly longer than open operations (54.5+13.2, 34.21+23.5 versus 96.12+22.5, 77.4+43.21; t=3.891, p&lt;0.001). Open pro-peritoneal approach had significantly longer operative time compared to Lichtenstein approach (54.5+13.2 versus 34.21+23.5). Postoperative pain was significantly higher in patients who had open repairs (7.067+1.831, 6.5+3.5 versus 5.8+1.568, 4.8+2.33; t=3.424, p=0.002). There was one case of conversion in each of the two laparoscopic groups. Laparoscopic operations were associated with significantly faster return to normal domestic activities and to work.\nCONCLUSION: Laparoscopic hernia repair offers less postoperative pain and faster recovery on the expense of longer operative time. TEP and TAPP laparoscopic techniques gave similar results.","container-title":"International Journal of Surgery (London, England)","DOI":"10.1016/j.ijsu.2009.09.010","ISSN":"1743-9159","issue":"1","journalAbbreviation":"Int J Surg","language":"eng","note":"PMID: 19796714","page":"25-28","source":"PubMed","title":"Four-arm randomized trial comparing laparoscopic and open hernia repairs","volume":"8","author":[{"family":"Hamza","given":"Yasser"},{"family":"Gabr","given":"Esam"},{"family":"Hammadi","given":"Habashi"},{"family":"Khalil","given":"Rafik"}],"issued":{"date-parts":[["2010"]]}}}],"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20</w:t>
            </w:r>
            <w:r w:rsidR="0089434D" w:rsidRPr="00753661">
              <w:rPr>
                <w:rFonts w:ascii="Arial" w:hAnsi="Arial" w:cs="Arial"/>
                <w:color w:val="000000"/>
                <w:sz w:val="20"/>
                <w:szCs w:val="20"/>
              </w:rPr>
              <w:fldChar w:fldCharType="end"/>
            </w:r>
          </w:p>
        </w:tc>
        <w:tc>
          <w:tcPr>
            <w:tcW w:w="9720" w:type="dxa"/>
          </w:tcPr>
          <w:p w14:paraId="28828F8D"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groin pain</w:t>
            </w:r>
          </w:p>
        </w:tc>
      </w:tr>
      <w:tr w:rsidR="000B1E62" w:rsidRPr="00753661" w14:paraId="5C79AA1C" w14:textId="77777777" w:rsidTr="00D729B4">
        <w:trPr>
          <w:trHeight w:val="169"/>
        </w:trPr>
        <w:tc>
          <w:tcPr>
            <w:tcW w:w="2065" w:type="dxa"/>
          </w:tcPr>
          <w:p w14:paraId="230FAB7F" w14:textId="3CA9A1B2" w:rsidR="000B1E62" w:rsidRPr="00753661" w:rsidRDefault="000B1E62">
            <w:pPr>
              <w:rPr>
                <w:rFonts w:ascii="Arial" w:hAnsi="Arial" w:cs="Arial"/>
                <w:b/>
                <w:bCs/>
                <w:sz w:val="20"/>
                <w:szCs w:val="20"/>
              </w:rPr>
            </w:pPr>
            <w:r w:rsidRPr="00753661">
              <w:rPr>
                <w:rFonts w:ascii="Arial" w:hAnsi="Arial" w:cs="Arial"/>
                <w:color w:val="000000"/>
                <w:sz w:val="20"/>
                <w:szCs w:val="20"/>
              </w:rPr>
              <w:t>Langeveld, 2010</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{"citationID":"mAbPYPvZ","properties":{"formattedCitation":"\\super 21\\nosupersub{}","plainCitation":"21","noteIndex":0},"citationItems":[{"id":635,"uris":["http://zotero.org/users/8137403/items/YAH6QCMI"],"itemData":{"id":635,"type":"article-journal","abstract":"BACKGROUND: This randomized controlled trial was designed to compare the most common technique for open mesh repair (Lichtenstein) with the currently preferred minimally invasive technique (total extra peritoneal, TEP) for the surgical correction of inguinal hernia.\nMETHODS: A total of 660 patients were randomized to Lichtenstein or TEP procedure. Primary outcomes were postoperative pain, length of hospital stay, period until complete recovery, and quality of life (QOL). Recurrences, operating time, complications, chronic pain, and costs were secondary endpoints. This study was registered at www.clinicaltrials.gov and carries the ID: NCT00788554.\nRESULTS: About 336 patients were randomized to TEP, and 324 to Lichtenstein repair. TEP was associated with less postoperative pain until 6 weeks postoperatively (P=0.01). Chronic pain was comparable (25% vs. 29%). Less impairment of inguinal sensibility was seen after TEP (7% vs. 30%, P=0.01). Mean operating time for a unilateral hernia with TEP was longer (54 vs. 49 minutes, P=0.03) but comparable for bilateral hernias. Incidence of adverse events during surgery was higher with TEP (5.8% vs. 1.6%, P&lt;0.004), but postoperative complications (33% vs. 33%), hospital stay and QOL were similar. After TEP, patients had a faster recovery of daily activities (ADL) and less absence from work (P=0.01). After a mean follow-up of 49 months, recurrences (3.8% vs. 3.0%, P=0.64) and total costs (euro3.096 vs. euro3.198) were similar.\nCONCLUSION: TEP procedure was associated with more adverse events during surgery but less postoperative pain, faster recovery of daily activities, quicker return to work, and less impairment of sensibility after 1 year. Recurrence rates and chronic pain were comparable. TEP is recommended in experienced hands.","container-title":"Annals of Surgery","DOI":"10.1097/SLA.0b013e3181d96c32","ISSN":"1528-1140","issue":"5","journalAbbreviation":"Ann Surg","language":"eng","note":"PMID: 20395851","page":"819-824","source":"PubMed","title":"Total extraperitoneal inguinal hernia repair compared with Lichtenstein (the LEVEL-Trial): a randomized controlled trial","title-short":"Total extraperitoneal inguinal hernia repair compared with Lichtenstein (the LEVEL-Trial)","volume":"251","author":[{"family":"Langeveld","given":"Hester R."},{"family":"Riet","given":"Martijne","non-dropping-particle":"van't"},{"family":"Weidema","given":"Wibo F."},{"family":"Stassen","given":"Laurents P. S."},{"family":"Steyerberg","given":"Ewout W."},{"family":"Lange","given":"Johan"},{"family":"Bonjer","given":"Hendrik J."},{"family":"Jeekel","given":"Johannes"}],"issued":{"date-parts":[["2010",5]]}}}],"schema":"https://github.com/citation-style-language/schema/raw/master/csl-citation.json"}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21</w:t>
            </w:r>
            <w:r w:rsidR="0089434D" w:rsidRPr="00753661">
              <w:rPr>
                <w:rFonts w:ascii="Arial" w:hAnsi="Arial" w:cs="Arial"/>
                <w:color w:val="000000"/>
                <w:sz w:val="20"/>
                <w:szCs w:val="20"/>
              </w:rPr>
              <w:fldChar w:fldCharType="end"/>
            </w:r>
          </w:p>
        </w:tc>
        <w:tc>
          <w:tcPr>
            <w:tcW w:w="9720" w:type="dxa"/>
          </w:tcPr>
          <w:p w14:paraId="07905DE7"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pain/sensibility after 1 year</w:t>
            </w:r>
          </w:p>
        </w:tc>
      </w:tr>
      <w:tr w:rsidR="000B1E62" w:rsidRPr="00753661" w14:paraId="12785739" w14:textId="77777777" w:rsidTr="00D729B4">
        <w:trPr>
          <w:trHeight w:val="183"/>
        </w:trPr>
        <w:tc>
          <w:tcPr>
            <w:tcW w:w="2065" w:type="dxa"/>
          </w:tcPr>
          <w:p w14:paraId="427FEB28" w14:textId="68EB4754" w:rsidR="000B1E62" w:rsidRPr="00753661" w:rsidRDefault="000B1E62">
            <w:pPr>
              <w:rPr>
                <w:rFonts w:ascii="Arial" w:hAnsi="Arial" w:cs="Arial"/>
                <w:b/>
                <w:bCs/>
                <w:sz w:val="20"/>
                <w:szCs w:val="20"/>
              </w:rPr>
            </w:pPr>
            <w:r w:rsidRPr="00753661">
              <w:rPr>
                <w:rFonts w:ascii="Arial" w:hAnsi="Arial" w:cs="Arial"/>
                <w:color w:val="000000"/>
                <w:sz w:val="20"/>
                <w:szCs w:val="20"/>
              </w:rPr>
              <w:t>Abbas, 2012</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{"citationID":"rraslb1o","properties":{"formattedCitation":"\\super 22\\nosupersub{}","plainCitation":"22","noteIndex":0},"citationItems":[{"id":586,"uris":["http://zotero.org/users/8137403/items/JDXHV6UJ"],"itemData":{"id":586,"type":"article-journal","abstract":"BACKGROUND: Laparoscopic hernia repair accounts for 10% of all hernia surgery. Potential benefits include reduction in postoperative pain, rapid recovery, lower recurrence rate, and fewer complications. The outcomes of health-related quality of life and patient perspective after hernia repair are our aim.\nMETHODS: Consecutive patients treated for unilateral uncomplicated groin hernia were enrolled after evaluation for inclusion. Participants were randomly distributed to receive either laparoscopic transabdominal preperitoneal repair (TAPP) (group I) or Lichtenstein repair (group II). Operative and postoperative complications, operative time, hospital stay, and late complications were assessed early postoperatively, at 4 weeks, and every 6 months thereafter. Quality of life was assessed using Short Form-36 questionnaire in the first visit (after 4 weeks).\nRESULTS: One hundred and eighty-five patients of unilateral uncomplicated groin hernia were included; 88 patients (group I) were treated by TAPP, and 97 patients were treated by Lichtenstein repair (group II) with median follow-up of 17.9 months. Mean hospital stay, mean operative time, operative and postoperative complications were similar in the two groups. Quality of life showed better and significant outcomes in group I for physical function (p ≤ 0.001), role physical (p ≤ 0.011), bodily pain (p ≤ 0.017), general health (p ≤ 0.047), and total physical health (p ≤ 0.008). However, mental health showed no statistical significance in its four scales, but with better outcomes in group I. Total quality outcomes showed significantly better outcomes in group I (p ≤ 0.031).\nCONCLUSIONS: TAPP hernia repair technique is a safe technique with low complication rate, less postoperative body pain, and better quality-of-life outcomes compared with open technique, being well accepted from the patient's perspective for quality of life.","container-title":"Surgical Endoscopy","DOI":"10.1007/s00464-012-2212-9","ISSN":"1432-2218","issue":"9","journalAbbreviation":"Surg Endosc","language":"eng","note":"PMID: 22538670","page":"2465-2470","source":"PubMed","title":"Patient-perspective quality of life after laparoscopic and open hernia repair: a controlled randomized trial","title-short":"Patient-perspective quality of life after laparoscopic and open hernia repair","volume":"26","author":[{"family":"Abbas","given":"Ashraf E."},{"family":"Abd Ellatif","given":"Mohamed E."},{"family":"Noaman","given":"Nashat"},{"family":"Negm","given":"Ahmad"},{"family":"El-Morsy","given":"Gamal"},{"family":"Amin","given":"Mahmoud"},{"family":"Moatamed","given":"Ahmad"}],"issued":{"date-parts":[["2012",9]]}}}],"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22</w:t>
            </w:r>
            <w:r w:rsidR="0089434D" w:rsidRPr="00753661">
              <w:rPr>
                <w:rFonts w:ascii="Arial" w:hAnsi="Arial" w:cs="Arial"/>
                <w:color w:val="000000"/>
                <w:sz w:val="20"/>
                <w:szCs w:val="20"/>
              </w:rPr>
              <w:fldChar w:fldCharType="end"/>
            </w:r>
          </w:p>
        </w:tc>
        <w:tc>
          <w:tcPr>
            <w:tcW w:w="9720" w:type="dxa"/>
          </w:tcPr>
          <w:p w14:paraId="73C792B2"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pain lasting 3 months or more</w:t>
            </w:r>
          </w:p>
        </w:tc>
      </w:tr>
      <w:tr w:rsidR="000B1E62" w:rsidRPr="00753661" w14:paraId="5B895E70" w14:textId="77777777" w:rsidTr="00D729B4">
        <w:trPr>
          <w:trHeight w:val="169"/>
        </w:trPr>
        <w:tc>
          <w:tcPr>
            <w:tcW w:w="2065" w:type="dxa"/>
          </w:tcPr>
          <w:p w14:paraId="2DB6D177" w14:textId="594A39B9" w:rsidR="000B1E62" w:rsidRPr="00753661" w:rsidRDefault="000B1E62">
            <w:pPr>
              <w:rPr>
                <w:rFonts w:ascii="Arial" w:hAnsi="Arial" w:cs="Arial"/>
                <w:b/>
                <w:bCs/>
                <w:sz w:val="20"/>
                <w:szCs w:val="20"/>
              </w:rPr>
            </w:pPr>
            <w:r w:rsidRPr="00753661">
              <w:rPr>
                <w:rFonts w:ascii="Arial" w:hAnsi="Arial" w:cs="Arial"/>
                <w:color w:val="000000"/>
                <w:sz w:val="20"/>
                <w:szCs w:val="20"/>
              </w:rPr>
              <w:t>Eker, 2012</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{"citationID":"92Jzb0zL","properties":{"formattedCitation":"\\super 23\\nosupersub{}","plainCitation":"23","noteIndex":0},"citationItems":[{"id":603,"uris":["http://zotero.org/users/8137403/items/ZXHJGKHW"],"itemData":{"id":603,"type":"article-journal","abstract":"HYPOTHESIS: Mesh repair is generally preferred for surgical correction of inguinal hernia, although the merits of endoscopic techniques over open surgery are still debated. Herein, minimally invasive total extraperitoneal inguinal hernioplasty (TEP) was compared with Lichtenstein repair to determine if one is associated with less postoperative pain, hypoesthesia, and hernia recurrence.\nDESIGN: Prospective multicenter randomized clinical trial.\nSETTING: Academic research.\nPATIENTS: Six hundred sixty patients were randomized to TEP or Lichtenstein repair.\nMAIN OUTCOME MEASURES: The primary outcome was postoperative pain. Secondary end points were hernia recurrence, operative complications, operating time, length of hospital stay, time to complete recovery, quality of life, chronic pain, and operative costs.\nRESULTS: At 5 years after surgery, TEP was associated with less chronic pain (P = .004). Impairment of inguinal sensibility was less frequently seen after TEP vs Lichtenstein repair (1% vs 22%, P &lt; .001). Operative complications were more frequent after TEP vs Lichtenstein repair (6% vs 2%, P &lt; .001), while no difference was noted in length of hospital stay. After TEP, patients had faster time to return to daily activities (P &lt; .002) and less absence from work (P = .001). Although operative costs were higher for TEP, total costs were comparable for the 2 procedures, as were overall hernia recurrences at 5 years after surgery. However, among experienced surgeons, significantly lower hernia recurrence rates were seen after TEP (P &lt; .001).\nCONCLUSIONS: In the short term, TEP was associated with more operative complications, longer operating time, and higher operative costs; however, total costs were comparable for the 2 procedures. Chronic pain and impairment of inguinal sensibility were more frequent after Lichtenstein repair. Although overall hernia recurrence rates were comparable for both procedures, hernia recurrence rates among experienced surgeons were significantly lower after TEP. Patient satisfaction was also significantly higher after TEP. Therefore, TEP should be recommended in experienced hands. Trial Registration  clinicaltrials.gov Identifier: NCT00788554.","container-title":"Archives of Surgery (Chicago, Ill.: 1960)","DOI":"10.1001/archsurg.2011.2023","ISSN":"1538-3644","issue":"3","journalAbbreviation":"Arch Surg","language":"eng","note":"PMID: 22430907","page":"256-260","source":"PubMed","title":"Randomized clinical trial of total extraperitoneal inguinal hernioplasty vs Lichtenstein repair: a long-term follow-up study","title-short":"Randomized clinical trial of total extraperitoneal inguinal hernioplasty vs Lichtenstein repair","volume":"147","author":[{"family":"Eker","given":"Hasan H."},{"family":"Langeveld","given":"Hester R."},{"family":"Klitsie","given":"Pieter J."},{"family":"Riet","given":"Martijne","non-dropping-particle":"van't"},{"family":"Stassen","given":"Laurents P. S."},{"family":"Weidema","given":"Wibo F."},{"family":"Steyerberg","given":"Ewout W."},{"family":"Lange","given":"Johan F."},{"family":"Bonjer","given":"Hendrik J."},{"family":"Jeekel","given":"Johannes"}],"issued":{"date-parts":[["2012",3]]}}}],"schema":"https://github.com/citation-style-language/schema/raw/master/csl-citation.json"}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23</w:t>
            </w:r>
            <w:r w:rsidR="0089434D" w:rsidRPr="00753661">
              <w:rPr>
                <w:rFonts w:ascii="Arial" w:hAnsi="Arial" w:cs="Arial"/>
                <w:color w:val="000000"/>
                <w:sz w:val="20"/>
                <w:szCs w:val="20"/>
              </w:rPr>
              <w:fldChar w:fldCharType="end"/>
            </w:r>
          </w:p>
        </w:tc>
        <w:tc>
          <w:tcPr>
            <w:tcW w:w="9720" w:type="dxa"/>
          </w:tcPr>
          <w:p w14:paraId="77361E00"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sensibility disorder or numbness</w:t>
            </w:r>
          </w:p>
        </w:tc>
      </w:tr>
      <w:tr w:rsidR="000B1E62" w:rsidRPr="00753661" w14:paraId="7DE32598" w14:textId="77777777" w:rsidTr="00D729B4">
        <w:trPr>
          <w:trHeight w:val="183"/>
        </w:trPr>
        <w:tc>
          <w:tcPr>
            <w:tcW w:w="2065" w:type="dxa"/>
          </w:tcPr>
          <w:p w14:paraId="3FF8E3BA" w14:textId="54C49ECC"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Mesci</w:t>
            </w:r>
            <w:proofErr w:type="spellEnd"/>
            <w:r w:rsidRPr="00753661">
              <w:rPr>
                <w:rFonts w:ascii="Arial" w:hAnsi="Arial" w:cs="Arial"/>
                <w:color w:val="000000"/>
                <w:sz w:val="20"/>
                <w:szCs w:val="20"/>
              </w:rPr>
              <w:t>, 2012</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{"citationID":"MX5gYAiA","properties":{"formattedCitation":"\\super 24\\nosupersub{}","plainCitation":"24","noteIndex":0},"citationItems":[{"id":1079,"uris":["http://zotero.org/users/8137403/items/MQ84LLA6"],"itemData":{"id":1079,"type":"article-journal","abstract":"PURPOSE: An inguinal hernia is a common pathology that can be treated using several different surgical procedures. Although there have been many studies comparing the clinical results of these techniques, there has so far been no digital analysis of the alterations developing secondary to pain with regard to the muscle functions of the lower extremities. This prospective randomized trial was designed to compare this aspect for subjects treated using the laparoscopic techniques and those treated using the conventional method.\nMETHODS: A total of 75 patients, 25 of whom who had undergone hernia repair using the total extraperitoneal technique, 25 of whom who had undergone repair using the transabdominal preperitoneal technique, and 25 who had undergone repair using the Prolene mesh graft technique, were evaluated preoperatively and on the third postoperative day by isometric and isokinetic measurements, the visual analog score (VAS), the necessity of postoperative analgesia, complications, and the time that had elapsed before returning to work, and these results were recorded.\nRESULTS: Hernia repair using the conventional method led to an average of 3 times more muscle function loss compared with the laparoscopic techniques, and this difference was shown to be statistically significant. The VAS, postoperative complications, and time elapsed before returning to work were lower for laparoscopic surgeries and also were compatible with the findings described in the previous literature.\nCONCLUSIONS: Use of a digital environment with numerical parameters and measurements recorded using a dynamometer demonstrated that in the early postoperative period and on the third postoperative day, open surgery causes more functional loss in the lower extremities than laparoscopic methods. Therefore, surgeons should use laparoscopic methods whenever possible to reduce both pain and loss of muscle function.","container-title":"Surgery Today","DOI":"10.1007/s00595-011-0017-4","ISSN":"1436-2813","issue":"2","journalAbbreviation":"Surg Today","language":"eng","note":"PMID: 22045231","page":"157-163","source":"PubMed","title":"Digital evaluation of the muscle functions of the lower extremities among inguinal hernia patients treated using three different surgical techniques: a prospective randomized study","title-short":"Digital evaluation of the muscle functions of the lower extremities among inguinal hernia patients treated using three different surgical techniques","volume":"42","author":[{"family":"Mesci","given":"Ayhan"},{"family":"Korkmaz","given":"Burak"},{"family":"Dinckan","given":"Ayhan"},{"family":"Colak","given":"Taner"},{"family":"Balci","given":"Nilüfer"},{"family":"Ogunc","given":"Güner"}],"issued":{"date-parts":[["2012",1]]}}}],"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24</w:t>
            </w:r>
            <w:r w:rsidR="0089434D" w:rsidRPr="00753661">
              <w:rPr>
                <w:rFonts w:ascii="Arial" w:hAnsi="Arial" w:cs="Arial"/>
                <w:color w:val="000000"/>
                <w:sz w:val="20"/>
                <w:szCs w:val="20"/>
              </w:rPr>
              <w:fldChar w:fldCharType="end"/>
            </w:r>
          </w:p>
        </w:tc>
        <w:tc>
          <w:tcPr>
            <w:tcW w:w="9720" w:type="dxa"/>
          </w:tcPr>
          <w:p w14:paraId="569BC57F"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32CFC554" w14:textId="77777777" w:rsidTr="00091A90">
        <w:trPr>
          <w:trHeight w:val="64"/>
        </w:trPr>
        <w:tc>
          <w:tcPr>
            <w:tcW w:w="2065" w:type="dxa"/>
          </w:tcPr>
          <w:p w14:paraId="0E26422A" w14:textId="7A17FBD7" w:rsidR="000B1E62" w:rsidRPr="00753661" w:rsidRDefault="000B1E62">
            <w:pPr>
              <w:rPr>
                <w:rFonts w:ascii="Arial" w:hAnsi="Arial" w:cs="Arial"/>
                <w:b/>
                <w:bCs/>
                <w:sz w:val="20"/>
                <w:szCs w:val="20"/>
              </w:rPr>
            </w:pPr>
            <w:r w:rsidRPr="00753661">
              <w:rPr>
                <w:rFonts w:ascii="Arial" w:hAnsi="Arial" w:cs="Arial"/>
                <w:color w:val="000000"/>
                <w:sz w:val="20"/>
                <w:szCs w:val="20"/>
              </w:rPr>
              <w:t>Dahlstrand, 2013</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{"citationID":"kbtbkmC8","properties":{"formattedCitation":"\\super 25\\nosupersub{}","plainCitation":"25","noteIndex":0},"citationItems":[{"id":599,"uris":["http://zotero.org/users/8137403/items/RRB3EFNP"],"itemData":{"id":599,"type":"article-journal","abstract":"BACKGROUND: Persistent pain is common after inguinal hernia repair. The methods of surgery and anesthesia influence the risk. Local anesthesia and laparoscopic procedures reduce the risk for postoperative pain in different time perspectives. The aim of this study was to compare open Lichtenstein repair under local anesthesia (LLA) with laparoscopic total extraperitoneal repair (TEP) with respect to postoperative pain.\nMETHODS: Between 2006 and 2010, a total of 389 men with a unilateral primary groin hernia were randomized, in an open-label study, to either TEP (n = 194) or LLA (n = 195). One patient in the TEP group and four in the LLA group were excluded due to protocol violation. Details about the procedure and patient and hernia characteristics were registered. Patients completed the Inguinal Pain Questionnaire (IPQ) 6 weeks after surgery. [The study is registered in ClinicalTrials.gov (No. NCT01020058)].\nRESULTS: A total of 378 (98.4 %) patients completed the IPQ. One hundred forty-eight patients (39.1 %) reported some degree of pain, 22 of whom had pain that affected concentration during daily activities. Men in the TEP group had less risk for pain affecting daily activities (6/191 vs. 16/187; odds ratio [OR] 0.35; 95 % CI 0.13-0.91; p = 0.025). Pain prevented participation in sporting activities less frequently after TEP (4.2 vs. 15.5 %; OR 0.24; 95 % CI 0.09-0.56; p &lt; 0.001). Twenty-nine patients (7.7 %) reported sick leave exceeding 1 week due to groin pain, with no difference between the treatment groups.\nCONCLUSIONS: Patients who underwent the laparoscopic TEP procedure suffered less pain 6 weeks after inguinal hernia repair than those who underwent LLA. Groin pain affected the LLA patients' ability to perform strenuous activities such as sports more than TEP patients.","container-title":"Surgical Endoscopy","DOI":"10.1007/s00464-013-2936-1","ISSN":"1432-2218","issue":"10","journalAbbreviation":"Surg Endosc","language":"eng","note":"PMID: 23572220","page":"3632-3638","source":"PubMed","title":"TEP under general anesthesia is superior to Lichtenstein under local anesthesia in terms of pain 6 weeks after surgery: results from a randomized clinical trial","title-short":"TEP under general anesthesia is superior to Lichtenstein under local anesthesia in terms of pain 6 weeks after surgery","volume":"27","author":[{"family":"Dahlstrand","given":"Ursula"},{"family":"Sandblom","given":"Gabriel"},{"family":"Ljungdahl","given":"Mikael"},{"family":"Wollert","given":"Staffan"},{"family":"Gunnarsson","given":"Ulf"}],"issued":{"date-parts":[["2013",10]]}}}],"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25</w:t>
            </w:r>
            <w:r w:rsidR="0089434D" w:rsidRPr="00753661">
              <w:rPr>
                <w:rFonts w:ascii="Arial" w:hAnsi="Arial" w:cs="Arial"/>
                <w:color w:val="000000"/>
                <w:sz w:val="20"/>
                <w:szCs w:val="20"/>
              </w:rPr>
              <w:fldChar w:fldCharType="end"/>
            </w:r>
          </w:p>
        </w:tc>
        <w:tc>
          <w:tcPr>
            <w:tcW w:w="9720" w:type="dxa"/>
          </w:tcPr>
          <w:p w14:paraId="447221C7"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pain in the operated groin interfering with concentration during daily activities</w:t>
            </w:r>
          </w:p>
        </w:tc>
      </w:tr>
      <w:tr w:rsidR="000B1E62" w:rsidRPr="00753661" w14:paraId="674880DC" w14:textId="77777777" w:rsidTr="00D729B4">
        <w:trPr>
          <w:trHeight w:val="183"/>
        </w:trPr>
        <w:tc>
          <w:tcPr>
            <w:tcW w:w="2065" w:type="dxa"/>
          </w:tcPr>
          <w:p w14:paraId="67D2033A" w14:textId="68664B84" w:rsidR="000B1E62" w:rsidRPr="00753661" w:rsidRDefault="000B1E62">
            <w:pPr>
              <w:rPr>
                <w:rFonts w:ascii="Arial" w:hAnsi="Arial" w:cs="Arial"/>
                <w:b/>
                <w:bCs/>
                <w:sz w:val="20"/>
                <w:szCs w:val="20"/>
              </w:rPr>
            </w:pPr>
            <w:r w:rsidRPr="00753661">
              <w:rPr>
                <w:rFonts w:ascii="Arial" w:hAnsi="Arial" w:cs="Arial"/>
                <w:color w:val="000000"/>
                <w:sz w:val="20"/>
                <w:szCs w:val="20"/>
              </w:rPr>
              <w:t>Wang, 2013</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{"citationID":"4S3UrYfU","properties":{"formattedCitation":"\\super 25\\nosupersub{}","plainCitation":"25","dontUpdate":true,"noteIndex":0},"citationItems":[{"id":652,"uris":["http://zotero.org/users/8137403/items/53JSVX4A"],"itemData":{"id":652,"type":"article-journal","abstract":"OBJECTIVE: To compare the effects of laparoscopic inguinal hernia repair (LIHR) and Lichtenstein tension-free inguinal hernia repair and to explore the safety and feasibility of LIHR as well as the advantages and disadvantages of these procedures.\nSUBJECTS AND METHODS: In total, 252 patients with inguinal hernia were equally randomized into the transabdominal preperitoneal (TAPP) repair, totally extraperitoneal (TEP) repair, and Lichtenstein tension-free hernia repair groups (n=84 each). Operating time, postoperative pain scores, postoperative scrotal seroma, postoperative local esthesiodermia, postoperative chronic pains, postoperative long-term hernia relapse, and costs of hospitalization were compared among the three groups.\nRESULTS: All laparoscopic operations were performed smoothly without intraoperative conversion to open surgery. The LIHR groups showed significantly better effects on postoperative pains and hernia recurrence than the Lichtenstein tension-free herniorrhaphy group (P&lt;.05), but with a significantly higher hospitalization cost (P&lt;.05). The occurrence rate of postoperative scrotal seroma or hydrops in the TAPP, TEP, and Lichtenstein groups was 11 (13.10%), 13 (15.48%), and 6 (7.14%), respectively. No significant differences among the operating time, postoperative local esthesiodermia, or postoperative chronic pains of the groups were observed (P&gt;.05).\nCONCLUSIONS: LIHR is a safe and feasible procedure. It has significantly better effects on postoperative pains and hernia relapse than Lichtenstein tension-free hernia repair.","container-title":"Journal of Laparoendoscopic &amp; Advanced Surgical Techniques. Part A","DOI":"10.1089/lap.2012.0217","ISSN":"1557-9034","issue":"4","journalAbbreviation":"J Laparoendosc Adv Surg Tech A","language":"eng","note":"PMID: 23573878","page":"301-305","source":"PubMed","title":"Comparison of the effects of laparoscopic hernia repair and Lichtenstein tension-free hernia repair","volume":"23","author":[{"family":"Wang","given":"Wei-Jun"},{"family":"Chen","given":"Jun-Zhen"},{"family":"Fang","given":"Qian"},{"family":"Li","given":"Jian-Feng"},{"family":"Jin","given":"Peng-Fei"},{"family":"Li","given":"Zhi-Tao"}],"issued":{"date-parts":[["2013",4]]}}}],"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 xml:space="preserve"> </w:t>
            </w:r>
            <w:r w:rsidR="0089434D" w:rsidRPr="00753661">
              <w:rPr>
                <w:rFonts w:ascii="Arial" w:hAnsi="Arial" w:cs="Arial"/>
                <w:color w:val="000000"/>
                <w:sz w:val="20"/>
                <w:szCs w:val="20"/>
              </w:rPr>
              <w:fldChar w:fldCharType="end"/>
            </w:r>
          </w:p>
        </w:tc>
        <w:tc>
          <w:tcPr>
            <w:tcW w:w="9720" w:type="dxa"/>
          </w:tcPr>
          <w:p w14:paraId="1C0347E3"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6A780E4D" w14:textId="77777777" w:rsidTr="00D729B4">
        <w:trPr>
          <w:trHeight w:val="169"/>
        </w:trPr>
        <w:tc>
          <w:tcPr>
            <w:tcW w:w="2065" w:type="dxa"/>
          </w:tcPr>
          <w:p w14:paraId="638456EE" w14:textId="0AD3D5E5" w:rsidR="000B1E62" w:rsidRPr="00753661" w:rsidRDefault="000B1E62">
            <w:pPr>
              <w:rPr>
                <w:rFonts w:ascii="Arial" w:hAnsi="Arial" w:cs="Arial"/>
                <w:b/>
                <w:bCs/>
                <w:sz w:val="20"/>
                <w:szCs w:val="20"/>
              </w:rPr>
            </w:pPr>
            <w:r w:rsidRPr="00753661">
              <w:rPr>
                <w:rFonts w:ascii="Arial" w:hAnsi="Arial" w:cs="Arial"/>
                <w:color w:val="000000"/>
                <w:sz w:val="20"/>
                <w:szCs w:val="20"/>
              </w:rPr>
              <w:t>Dhankhar, 2014</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{"citationID":"vVlXWVHH","properties":{"formattedCitation":"\\super 27\\nosupersub{}","plainCitation":"27","noteIndex":0},"citationItems":[{"id":696,"uris":["http://zotero.org/users/8137403/items/59A5J6IS"],"itemData":{"id":696,"type":"article-journal","abstract":"BACKGROUND: Lichtenstein repair (preferably under local anesthesia) or totally extraperitoneal repair (TEP) are both good options for treating uncomplicated unilateral inguinal hernia. We performed a prospective randomized trial to compare the outcome of TEP repair under general anesthesia versus open Lichtenstein inguinal hernioplasty under local anesthesia.\nMETHODS: Adult men with primary unilateral inguinal hernia without any history of lower abdominal surgery were assessed for inclusion in the study. Of the 194 patients assessed for eligibility for recruitment in the trial, 72 were recruited in the trial and randomized into two groups of 36 patients each. A per-protocol analysis was performed. Patients were followed for a period of 3 months. Pain was assessed by a visual analog scale, and quality of life was assessed by the SF-36 Health Survey Questionnaire, version 2.\nRESULTS: A total of 59 patients were analyzed at the end of the study, 30 in the Lichtenstein group and 29 in the TEP group. The operating time (75.93 ± 13.68 vs. 64.77 ± 12.66 min, p = 0.002) and total operating room time (102.66 ± 15.676 vs. 72.64 ± 12.25 min, p &lt; 0.001) were significantly longer in the TEP group. Postoperative pain scores in the TEP group were lower than the scores in Lichtenstein group, but the difference was not statistically significant. There was significantly more use of analgesics and higher C-reactive protein levels in the Lichtenstein group. Quality of life and patient satisfaction were similar in both groups.\nCONCLUSIONS: Lichtenstein repair under local anesthesia is as good as TEP under general anesthesia. The shorter operating room time, smaller mesh size, and lower cost of local anesthetic drugs all contribute to make Lichtenstein repair the better choice for repair of uncomplicated unilateral inguinal hernia, especially in developing nations with scarce resources.","container-title":"Surgical Endoscopy","DOI":"10.1007/s00464-013-3269-9","ISSN":"1432-2218","issue":"3","journalAbbreviation":"Surg Endosc","language":"eng","note":"PMID: 24196555","page":"996-1002","source":"PubMed","title":"Totally extraperitoneal repair under general anesthesia versus Lichtenstein repair under local anesthesia for unilateral inguinal hernia: a prospective randomized controlled trial","title-short":"Totally extraperitoneal repair under general anesthesia versus Lichtenstein repair under local anesthesia for unilateral inguinal hernia","volume":"28","author":[{"family":"Dhankhar","given":"Devi S."},{"family":"Sharma","given":"Naveen"},{"family":"Mishra","given":"Tushar"},{"family":"Kaur","given":"Navneet"},{"family":"Singh","given":"Seema"},{"family":"Gupta","given":"Sanjay"}],"issued":{"date-parts":[["2014",3]]}}}],"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27</w:t>
            </w:r>
            <w:r w:rsidR="0089434D" w:rsidRPr="00753661">
              <w:rPr>
                <w:rFonts w:ascii="Arial" w:hAnsi="Arial" w:cs="Arial"/>
                <w:color w:val="000000"/>
                <w:sz w:val="20"/>
                <w:szCs w:val="20"/>
              </w:rPr>
              <w:fldChar w:fldCharType="end"/>
            </w:r>
          </w:p>
        </w:tc>
        <w:tc>
          <w:tcPr>
            <w:tcW w:w="9720" w:type="dxa"/>
          </w:tcPr>
          <w:p w14:paraId="71143EF2"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61F9FB11" w14:textId="77777777" w:rsidTr="00D729B4">
        <w:trPr>
          <w:trHeight w:val="183"/>
        </w:trPr>
        <w:tc>
          <w:tcPr>
            <w:tcW w:w="2065" w:type="dxa"/>
          </w:tcPr>
          <w:p w14:paraId="1AC98714" w14:textId="7C3D89F5" w:rsidR="000B1E62" w:rsidRPr="00753661" w:rsidRDefault="000B1E62">
            <w:pPr>
              <w:rPr>
                <w:rFonts w:ascii="Arial" w:hAnsi="Arial" w:cs="Arial"/>
                <w:b/>
                <w:bCs/>
                <w:sz w:val="20"/>
                <w:szCs w:val="20"/>
              </w:rPr>
            </w:pPr>
            <w:r w:rsidRPr="00753661">
              <w:rPr>
                <w:rFonts w:ascii="Arial" w:hAnsi="Arial" w:cs="Arial"/>
                <w:color w:val="000000"/>
                <w:sz w:val="20"/>
                <w:szCs w:val="20"/>
              </w:rPr>
              <w:t>Salma, 2015</w:t>
            </w:r>
            <w:r w:rsidR="0089434D"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{"citationID":"JJPp910w","properties":{"formattedCitation":"\\super 28\\nosupersub{}","plainCitation":"28","noteIndex":0},"citationItems":[{"id":643,"uris":["http://zotero.org/users/8137403/items/5GKASZIG"],"itemData":{"id":643,"type":"article-journal","abstract":"Objective:\nTo compare the open Lichtenstein repair and laparoscopic mesh repair for direct inguinal hernias in terms of immediate post operative pain and length of hospital stay.\n\nMethods:\nThis randomized control trial was conducted at Benazir Bhutto Hospital Rawalpindi from January 2009 to June 2010. All patients presenting in the surgical OPD with direct inguinal hernia, ASA I/II, were randomly divided in two equal groups. Group-I, patients underwent Lichtenstein’s repair and Group-II had hernioplasty by laparoscopic method (TAPP). Post operative pain intensity assessed by VAS and hospital stay measured in hours.\n\nResults:\nA total 60 patients of direct inguinal hernia were studied. The mean age was 61.48±7. The range of postoperative pain experienced was 5.55 as per VAS among all patients. In group-I (open hernioplasty) majority of patients (53.33%, n=16) experience severe type of pain where as in group-II, moderate severity of pain was reported by large number of patients (63.34%, n=19). The mean post operative pain intensity as per VAS was 6.23 in group-I and 4.43 in group-II patients. The mean length of hospital stay was slightly less (35.10 hrs) in group-I as compared to group-II (38.70 hrs).\n\nConclusion:\nThere is definitely less post operative pain after laparoscopic repair but hospital stay is same in both the procedures but laparoscopic procedure does increase the cost.","container-title":"Pakistan Journal of Medical Sciences","DOI":"10.12669/pjms.315.4811","ISSN":"1682-024X","issue":"5","journalAbbreviation":"Pak J Med Sci","note":"PMID: 26648987\nPMCID: PMC4641256","page":"1062-1066","source":"PubMed Central","title":"A comparison of post operative pain and hospital stay between Lichtenstein’s repair and Laparoscopic Transabdominal Preperitoneal (TAPP) repair of inguinal hernia: A randomized controlled trial","title-short":"A comparison of post operative pain and hospital stay between Lichtenstein’s repair and Laparoscopic Transabdominal Preperitoneal (TAPP) repair of inguinal hernia","volume":"31","author":[{"family":"Salma","given":"Umme"},{"family":"Ahmed","given":"Ishtiaq"},{"family":"Ishtiaq","given":"Sundas"}],"issued":{"date-parts":[["2015"]]}}}],"schema":"https://github.com/citation-style-language/schema/raw/master/csl-citation.json"} </w:instrText>
            </w:r>
            <w:r w:rsidR="0089434D"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28</w:t>
            </w:r>
            <w:r w:rsidR="0089434D" w:rsidRPr="00753661">
              <w:rPr>
                <w:rFonts w:ascii="Arial" w:hAnsi="Arial" w:cs="Arial"/>
                <w:color w:val="000000"/>
                <w:sz w:val="20"/>
                <w:szCs w:val="20"/>
              </w:rPr>
              <w:fldChar w:fldCharType="end"/>
            </w:r>
          </w:p>
        </w:tc>
        <w:tc>
          <w:tcPr>
            <w:tcW w:w="9720" w:type="dxa"/>
          </w:tcPr>
          <w:p w14:paraId="1EE1C8E6"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674F1275" w14:textId="77777777" w:rsidTr="00D729B4">
        <w:trPr>
          <w:trHeight w:val="169"/>
        </w:trPr>
        <w:tc>
          <w:tcPr>
            <w:tcW w:w="2065" w:type="dxa"/>
          </w:tcPr>
          <w:p w14:paraId="4E219936" w14:textId="3850B55D" w:rsidR="000B1E62" w:rsidRPr="00753661" w:rsidRDefault="000B1E62">
            <w:pPr>
              <w:rPr>
                <w:rFonts w:ascii="Arial" w:hAnsi="Arial" w:cs="Arial"/>
                <w:b/>
                <w:bCs/>
                <w:sz w:val="20"/>
                <w:szCs w:val="20"/>
              </w:rPr>
            </w:pPr>
            <w:r w:rsidRPr="00753661">
              <w:rPr>
                <w:rFonts w:ascii="Arial" w:hAnsi="Arial" w:cs="Arial"/>
                <w:color w:val="000000"/>
                <w:sz w:val="20"/>
                <w:szCs w:val="20"/>
              </w:rPr>
              <w:t>Westin, 2015</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{"citationID":"qWNxL2wL","properties":{"formattedCitation":"\\super 29\\nosupersub{}","plainCitation":"29","noteIndex":0},"citationItems":[{"id":657,"uris":["http://zotero.org/users/8137403/items/87THGITJ"],"itemData":{"id":657,"type":"article-journal","abstract":"OBJECTIVE: The aim was to compare long-term postoperative pain after inguinal hernia surgery using 2 techniques that have shown favorable long-term outcome in previous randomized studies: Lichtenstein using local anesthesia (LLA) and endoscopic total extra-peritoneal repair (TEP) under general anesthesia.\nBACKGROUND: Patients often experience pain after inguinal hernia surgery. These 2 methods in their optimal state have not yet been sufficiently compared.\nMETHODS: A randomized controlled trial was conducted to detect any difference in long-term postoperative inguinal pain. Altogether 384 patients were randomized and operated using either TEP under general anesthesia (n = 193) or LLA (n = 191). One year postoperatively, patients were examined by an independent surgeon and requested to complete the Inguinal Pain Questionnaire (IPQ), a validated questionnaire for the assessment of postoperative inguinal pain.\nRESULTS: Three hundred seventy-five (97.7%) patients completed follow-up at 1 year. In the TEP group, 39 (20.7%) patients experienced pain, compared with 62 (33.2%) patients in the LLA group (P = 0.007). Severe pain was reported by 4 patients in the TEP group and 6 patients in the LLA group (2.1% and 3.2%, respectively, P = 0.543). Pain in the operated groin limited the ability to exercise for 5 TEP patients and 14 LLA patients (2.7% and 7.5%, respectively, P = 0.034).\nCONCLUSIONS: Patients operated with TEP experienced less long-term postoperative pain and less limitation in their ability to exercise than those operated with LLA. The present data justify recommending TEP as the procedure of choice in the surgical treatment of primary inguinal hernia.","container-title":"Annals of Surgery","DOI":"10.1097/SLA.0000000000001289","ISSN":"1528-1140","issue":"2","journalAbbreviation":"Ann Surg","language":"eng","note":"PMID: 26079901","page":"240-243","source":"PubMed","title":"Less Pain 1 Year After Total Extra-peritoneal Repair Compared With Lichtenstein Using Local Anesthesia: Data From a Randomized Controlled Clinical Trial","title-short":"Less Pain 1 Year After Total Extra-peritoneal Repair Compared With Lichtenstein Using Local Anesthesia","volume":"263","author":[{"family":"Westin","given":"Linn"},{"family":"Wollert","given":"Staffan"},{"family":"Ljungdahl","given":"Mikael"},{"family":"Sandblom","given":"Gabriel"},{"family":"Gunnarsson","given":"Ulf"},{"family":"Dahlstrand","given":"Ursula"}],"issued":{"date-parts":[["2016",2]]}}}],"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29</w:t>
            </w:r>
            <w:r w:rsidR="00653E98" w:rsidRPr="00753661">
              <w:rPr>
                <w:rFonts w:ascii="Arial" w:hAnsi="Arial" w:cs="Arial"/>
                <w:color w:val="000000"/>
                <w:sz w:val="20"/>
                <w:szCs w:val="20"/>
              </w:rPr>
              <w:fldChar w:fldCharType="end"/>
            </w:r>
          </w:p>
        </w:tc>
        <w:tc>
          <w:tcPr>
            <w:tcW w:w="9720" w:type="dxa"/>
          </w:tcPr>
          <w:p w14:paraId="21182E7E"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persistent pain</w:t>
            </w:r>
          </w:p>
        </w:tc>
      </w:tr>
      <w:tr w:rsidR="000B1E62" w:rsidRPr="00753661" w14:paraId="4349952C" w14:textId="77777777" w:rsidTr="00D729B4">
        <w:trPr>
          <w:trHeight w:val="183"/>
        </w:trPr>
        <w:tc>
          <w:tcPr>
            <w:tcW w:w="2065" w:type="dxa"/>
          </w:tcPr>
          <w:p w14:paraId="5F83FD33" w14:textId="1C60F688" w:rsidR="000B1E62" w:rsidRPr="00753661" w:rsidRDefault="000B1E62">
            <w:pPr>
              <w:rPr>
                <w:rFonts w:ascii="Arial" w:hAnsi="Arial" w:cs="Arial"/>
                <w:b/>
                <w:bCs/>
                <w:sz w:val="20"/>
                <w:szCs w:val="20"/>
              </w:rPr>
            </w:pPr>
            <w:r w:rsidRPr="00753661">
              <w:rPr>
                <w:rFonts w:ascii="Arial" w:hAnsi="Arial" w:cs="Arial"/>
                <w:color w:val="000000"/>
                <w:sz w:val="20"/>
                <w:szCs w:val="20"/>
              </w:rPr>
              <w:t>Koju, 2017</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{"citationID":"2NTi59ct","properties":{"formattedCitation":"\\super 30\\nosupersub{}","plainCitation":"30","noteIndex":0},"citationItems":[{"id":624,"uris":["http://zotero.org/users/8137403/items/3ZT7LD9Q"],"itemData":{"id":624,"type":"article-journal","abstract":"BACKGROUND: In the era of minimal invasive surgery, hernia repair has seen a paradigm shift from open to laparoscopic technique. However, superiority of laparoscopic repair over open repair is still controversial. Available literatures have shown laparoscopic technique to be better in term of post-operative pain and early return to work.\nMETHODS: In this prospective study, a total of 102 patients aged 21-78 years with inguinal hernia were recruited and enrolled into two comparative groups, namely Lichtenstein's and Transabdominal pre-peritoneal, and each group containing 51 participants. Hospital ethical committee approval and written informed consent from patients was obtained. Primarily, the duration of operation, post-operative pain and complication, and quality of life after surgery was compared between the two different approaches of hernia repair.\nRESULTS: The study results demonstrated a statistically significant superiority of trans abdominal pre-peritoneal repair over Lichtenstein's hernioplasty in terms of post operative pain (2.00±0.63 vs 3.90±0.74 VAS score, P value&lt;0.001), hospital stay (2.33±0.62 vs 2.96±0.20 days, P value &lt;0.001) and quality of life with early return to normal work (13.39±0.60 vs 17.88±0.86 days, P value &lt;0.001); whereas a prolonged operative time was seen in transabdominal pre-peritoneal repair (96.08±27.08 vs 42.55±5.95 mins, P value &lt;0.001).\nCONCLUSIONS: This study has shown that transabdominal pre-peritoneal repair is better than Lichtenstein's in respect to post-operative pain, quality of life and post-operative complication. However, it has prolonged operative duration than conventional method.","container-title":"Journal of Nepal Health Research Council","DOI":"10.3126/jnhrc.v15i2.18202","ISSN":"1999-6217","issue":"2","journalAbbreviation":"J Nepal Health Res Counc","language":"eng","note":"PMID: 29016583","page":"135-140","source":"PubMed","title":"Transabdominal Pre-peritoneal Mesh Repair versus Lichtenstein's Hernioplasty","volume":"15","author":[{"family":"Koju","given":"Rajan"},{"family":"Koju","given":"Ram Bhakta"},{"family":"Malla","given":"Balaram"},{"family":"Dongol","given":"Yashad"},{"family":"Thapa","given":"Lok Bikram"}],"issued":{"date-parts":[["2017",9,8]]}}}],"schema":"https://github.com/citation-style-language/schema/raw/master/csl-citation.json"}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30</w:t>
            </w:r>
            <w:r w:rsidR="00653E98" w:rsidRPr="00753661">
              <w:rPr>
                <w:rFonts w:ascii="Arial" w:hAnsi="Arial" w:cs="Arial"/>
                <w:color w:val="000000"/>
                <w:sz w:val="20"/>
                <w:szCs w:val="20"/>
              </w:rPr>
              <w:fldChar w:fldCharType="end"/>
            </w:r>
          </w:p>
        </w:tc>
        <w:tc>
          <w:tcPr>
            <w:tcW w:w="9720" w:type="dxa"/>
          </w:tcPr>
          <w:p w14:paraId="46B17FAB"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4042C735" w14:textId="77777777" w:rsidTr="00D729B4">
        <w:trPr>
          <w:trHeight w:val="169"/>
        </w:trPr>
        <w:tc>
          <w:tcPr>
            <w:tcW w:w="2065" w:type="dxa"/>
          </w:tcPr>
          <w:p w14:paraId="78EC8003" w14:textId="191EBD26" w:rsidR="000B1E62" w:rsidRPr="00753661" w:rsidRDefault="000B1E62">
            <w:pPr>
              <w:rPr>
                <w:rFonts w:ascii="Arial" w:hAnsi="Arial" w:cs="Arial"/>
                <w:b/>
                <w:bCs/>
                <w:sz w:val="20"/>
                <w:szCs w:val="20"/>
              </w:rPr>
            </w:pPr>
            <w:r w:rsidRPr="00753661">
              <w:rPr>
                <w:rFonts w:ascii="Arial" w:hAnsi="Arial" w:cs="Arial"/>
                <w:color w:val="000000"/>
                <w:sz w:val="20"/>
                <w:szCs w:val="20"/>
              </w:rPr>
              <w:t>Sawarkar, 2017</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{"citationID":"7CCjSkMN","properties":{"formattedCitation":"\\super 31\\nosupersub{}","plainCitation":"31","noteIndex":0},"citationItems":[{"id":1084,"uris":["http://zotero.org/users/8137403/items/D3KIWSXI"],"itemData":{"id":1084,"type":"article-journal","abstract":"Introduction: \n          Lichtenstein technique is an age-old accepted technique of inguinal hernia repair. However, we have compared it with laparoscopic totally extraperitoneal hernia repair in terms of clinical outcome, quality of life, safety, and effectiveness.\n          Materials and Methods: \n          One-hundred and fifty patients were randomized to TEP group (75 patients – Group 1) or Lichtenstein repair group (75 patients – Group 2); pre-, peri-, and post-operative factors were then recorded.\n          Results: \n          Preoperative factors were similar in both the groups. Chronic pain was more prevalent in Lichtenstein repair than TEP group. Recurrence rates were similar in both the groups. Patients in laparoscopic group returned to work much earlier than open group resulting in more economic savings and decrease in loss of working days. TEP was a expensive procedure.\n          Conclusions: \n          The laparoscopic technique with mesh in the treatment of inguinal hernia in our rural setup is still complimentary to open mesh repair and not an alternative, irrespective of several important clinical aspects, with concomitant improvement in patient satisfaction in terms of early return to work.","container-title":"Journal of Mahatma Gandhi Institute of Medical Sciences","DOI":"10.4103/jmgims.jmgims_47_15","ISSN":"0971-9903","issue":"2","language":"en-US","page":"93","source":"journals.lww.com","title":"Lichtenstein Hernia Repair Versus Totally Extraperitoneal Hernia Repair: Randomized Control Study in Rural Area","title-short":"Lichtenstein Hernia Repair Versus Totally Extraperitoneal Hernia Repair","volume":"22","author":[{"family":"Sawarkar","given":"Prashant"},{"family":"Agrawal","given":"Aditi"},{"family":"Zade","given":"Ranjana"},{"family":"Mehera","given":"Bhupendra"},{"family":"Gupta","given":"Dilip"}],"issued":{"date-parts":[["2017",12]]}}}],"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31</w:t>
            </w:r>
            <w:r w:rsidR="00653E98" w:rsidRPr="00753661">
              <w:rPr>
                <w:rFonts w:ascii="Arial" w:hAnsi="Arial" w:cs="Arial"/>
                <w:color w:val="000000"/>
                <w:sz w:val="20"/>
                <w:szCs w:val="20"/>
              </w:rPr>
              <w:fldChar w:fldCharType="end"/>
            </w:r>
          </w:p>
        </w:tc>
        <w:tc>
          <w:tcPr>
            <w:tcW w:w="9720" w:type="dxa"/>
          </w:tcPr>
          <w:p w14:paraId="77203F73"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3320CF89" w14:textId="77777777" w:rsidTr="00D729B4">
        <w:trPr>
          <w:trHeight w:val="183"/>
        </w:trPr>
        <w:tc>
          <w:tcPr>
            <w:tcW w:w="2065" w:type="dxa"/>
          </w:tcPr>
          <w:p w14:paraId="5CE11006" w14:textId="3CB15925" w:rsidR="000B1E62" w:rsidRPr="00753661" w:rsidRDefault="000B1E62">
            <w:pPr>
              <w:rPr>
                <w:rFonts w:ascii="Arial" w:hAnsi="Arial" w:cs="Arial"/>
                <w:b/>
                <w:bCs/>
                <w:sz w:val="20"/>
                <w:szCs w:val="20"/>
              </w:rPr>
            </w:pPr>
            <w:r w:rsidRPr="00753661">
              <w:rPr>
                <w:rFonts w:ascii="Arial" w:hAnsi="Arial" w:cs="Arial"/>
                <w:color w:val="000000"/>
                <w:sz w:val="20"/>
                <w:szCs w:val="20"/>
              </w:rPr>
              <w:t>Yen, 2017</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{"citationID":"iB1TWzt9","properties":{"formattedCitation":"\\super 32\\nosupersub{}","plainCitation":"32","noteIndex":0},"citationItems":[{"id":1705,"uris":["http://zotero.org/users/8137403/items/ZGS6DJLB"],"itemData":{"id":1705,"type":"article-journal","abstract":"The optimal technique for inguinal hernia repair remains contentious. Laparoscopic surgery has emerged as a new treatment modality for inguinal hernia repair recently and it creates controversy because its benefits are debatable. Endoscopic totally extraperitoneal inguinal hemioplasty (TEP) has been gaining popularity in recent years with plentiful evidence regarding its use for primary inguinal hernia, but there is a paucity of literature concerning its outcome and little data to support the superiority of TEP over open repair. The aims of this study were to determine the suitability and safety of carrying out elective laparoscopic hernia repair compared to open hernia repair for primary uncomplicated unilateral inguinal hernia within a randomized clinical trial. Other specific parameters such as perioperative results and post operation complications between these 2 methods were also included in this study. This was a prospective randomized clinical trial with a total of 86 consecutive patients with primary inguinal hernia Nyhus I to III were randomized to either totally extraperitonal inguinal hemioplasty or open Lichtenstein inguinal hemiopasty between 1 st March 2012 till 1st September 2012 in Hospital Selayang. There were a total of 86 patients enrolled in this study, with 42 patients in the TEP group and 44 patients in open group respectively. However 2 patients from TEP group were converted to transabdominai preperitoneal repair (TAPP) due to breach of peritoneum intraoperatively and they were excluded from the study. Mean operation duration in the open group (62.27 minutes, SD 17.70) was slightly shorter compared to the laparoscopic group (62.50 minutes, SD 14.16) with a mean difference of 0.23 minutes (Ci -7.23, 6.78). Mean length of return to work in the open group (8.91 days, SD 4.64) was significantly longer compared to the laparoscopic group (6.75 days, SD 2.78) with a mean difference of 2.16 days (CI 0.48, 3.84) with p=0.012. There was no statistical significance between 2 groups in concerning to post operation pain scales within 6 hours, 1 day, 1 week, 6 weeks and 6 months. Laparoscopic repair was associated with significantly fewer postoperative complications which were wound infection (p=0.013) and chronic groin pain (p=O.O32). Conclusion: This study proved that TEP conferred significant early postoperative benefits, including faster return to work, a lower wound morbidity rate and reduced postoperative chronic groin pain at 1 week. It showed that TEP was acceptably suitable and safer to be performed compared to open repair for primary uncomplicated unilateral inguinal hernia.","language":"other","source":"erepo.usm.my","title":"Laparoscopic total extraperitoneal approach versus open lichtenstein repair of primary unilateral uncomplicated inguinal hernia: a prospective randomised controlled trial in Hospital Selayang, selangor.","title-short":"Laparoscopic total extraperitoneal approach versus open lichtenstein repair of primary unilateral uncomplicated inguinal hernia","URL":"https://erepo.usm.my/handle/123456789/19543","author":[{"family":"Yen","given":"Fong Voon"}],"accessed":{"date-parts":[["2026",3,9]]},"issued":{"date-parts":[["2013"]]}}}],"schema":"https://github.com/citation-style-language/schema/raw/master/csl-citation.json"}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32</w:t>
            </w:r>
            <w:r w:rsidR="00653E98" w:rsidRPr="00753661">
              <w:rPr>
                <w:rFonts w:ascii="Arial" w:hAnsi="Arial" w:cs="Arial"/>
                <w:color w:val="000000"/>
                <w:sz w:val="20"/>
                <w:szCs w:val="20"/>
              </w:rPr>
              <w:fldChar w:fldCharType="end"/>
            </w:r>
          </w:p>
        </w:tc>
        <w:tc>
          <w:tcPr>
            <w:tcW w:w="9720" w:type="dxa"/>
          </w:tcPr>
          <w:p w14:paraId="36EF4DF8"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groin pain at 6 months</w:t>
            </w:r>
          </w:p>
        </w:tc>
      </w:tr>
      <w:tr w:rsidR="000B1E62" w:rsidRPr="00753661" w14:paraId="299B0EEB" w14:textId="77777777" w:rsidTr="00091A90">
        <w:trPr>
          <w:trHeight w:val="64"/>
        </w:trPr>
        <w:tc>
          <w:tcPr>
            <w:tcW w:w="2065" w:type="dxa"/>
          </w:tcPr>
          <w:p w14:paraId="0CC69A28" w14:textId="3673C1EA"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Gutlic</w:t>
            </w:r>
            <w:proofErr w:type="spellEnd"/>
            <w:r w:rsidRPr="00753661">
              <w:rPr>
                <w:rFonts w:ascii="Arial" w:hAnsi="Arial" w:cs="Arial"/>
                <w:color w:val="000000"/>
                <w:sz w:val="20"/>
                <w:szCs w:val="20"/>
              </w:rPr>
              <w:t>, 2019</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{"citationID":"p4J0rzBq","properties":{"formattedCitation":"\\super 33\\nosupersub{}","plainCitation":"33","noteIndex":0},"citationItems":[{"id":613,"uris":["http://zotero.org/users/8137403/items/VLZPTGJ9"],"itemData":{"id":613,"type":"article-journal","abstract":"BACKGROUND: Chronic pain is reported after 10-35 per cent of inguinal hernia operations. The aim was to compare quality of life (QoL) after total extraperitoneal (TEP) and Lichtenstein hernia repairs in the setting of an RCT with operations performed by department-certified hernia surgeons.\nMETHODS: Men aged 30-75 years with an ASA grade I-II primary inguinal hernia were randomized to TEP or Lichtenstein repair. Primary endpoint was pain at 1 year assessed with the Inguinal Pain Questionnaire (IPQ). Clinical examination, IPQ, SF-36® and study-specific questions were recorded before surgery, and at 1 and 3 years.\nRESULTS: Some 416 patients (202 TEP and 214 Lichtenstein) had surgery; 95·2 per cent completed 1-year and 89·9 per cent 3-year follow-up. At 1 year 'pain during last week' was reported by 6·9 per cent after TEP and by 9·8 per cent after Lichtenstein repair (P = 0·303), and 'pain right now' by 3·7 and 5·9 per cent respectively (P = 0·315). Favourable outcomes for TEP were duration of operation, 30-day complications, time to full recovery, foreign body sensation and sick leave. Groin sensory changes diminished after TEP but increased after Lichtenstein repair. Preoperative QoL was affected, especially in the physical subscales, but was restored to normal after surgery. At 1 and 3 years, 98·3 and 97·4 per cent respectively of the patients were satisfied; 1·6 per cent (6 of 374) suffered a recurrence at 3 years, four after TEP and two after Lichtenstein repair.\nCONCLUSION: In the medium term, both TEP and Lichtenstein hernia repair had similar outcomes after 1 year, with high rates of patient satisfaction and low rates of chronic pain and recurrence. There were short-term advantages for pain and recovery rate after TEP repair. Registration number: NCT00803985 ( www.clinicaltrials.gov).","container-title":"The British Journal of Surgery","DOI":"10.1002/bjs.11230","ISSN":"1365-2168","issue":"7","journalAbbreviation":"Br J Surg","language":"eng","note":"PMID: 31162663","page":"845-855","source":"PubMed","title":"Randomized clinical trial comparing total extraperitoneal with Lichtenstein inguinal hernia repair (TEPLICH trial)","volume":"106","author":[{"family":"Gutlic","given":"N."},{"family":"Gutlic","given":"A."},{"family":"Petersson","given":"U."},{"family":"Rogmark","given":"P."},{"family":"Montgomery","given":"A."}],"issued":{"date-parts":[["2019",6]]}}}],"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33</w:t>
            </w:r>
            <w:r w:rsidR="00653E98" w:rsidRPr="00753661">
              <w:rPr>
                <w:rFonts w:ascii="Arial" w:hAnsi="Arial" w:cs="Arial"/>
                <w:color w:val="000000"/>
                <w:sz w:val="20"/>
                <w:szCs w:val="20"/>
              </w:rPr>
              <w:fldChar w:fldCharType="end"/>
            </w:r>
          </w:p>
        </w:tc>
        <w:tc>
          <w:tcPr>
            <w:tcW w:w="9720" w:type="dxa"/>
          </w:tcPr>
          <w:p w14:paraId="5D04B6C7"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non-ignorable pain in the last week</w:t>
            </w:r>
          </w:p>
        </w:tc>
      </w:tr>
      <w:tr w:rsidR="000B1E62" w:rsidRPr="00753661" w14:paraId="6212E432" w14:textId="77777777" w:rsidTr="00091A90">
        <w:trPr>
          <w:trHeight w:val="64"/>
        </w:trPr>
        <w:tc>
          <w:tcPr>
            <w:tcW w:w="2065" w:type="dxa"/>
          </w:tcPr>
          <w:p w14:paraId="3C98098A" w14:textId="74F8CC37" w:rsidR="000B1E62" w:rsidRPr="00753661" w:rsidRDefault="000B1E62">
            <w:pPr>
              <w:rPr>
                <w:rFonts w:ascii="Arial" w:hAnsi="Arial" w:cs="Arial"/>
                <w:b/>
                <w:bCs/>
                <w:sz w:val="20"/>
                <w:szCs w:val="20"/>
              </w:rPr>
            </w:pPr>
            <w:proofErr w:type="spellStart"/>
            <w:r w:rsidRPr="00753661">
              <w:rPr>
                <w:rFonts w:ascii="Arial" w:hAnsi="Arial" w:cs="Arial"/>
                <w:color w:val="000000"/>
                <w:sz w:val="20"/>
                <w:szCs w:val="20"/>
              </w:rPr>
              <w:t>Sevlinc</w:t>
            </w:r>
            <w:proofErr w:type="spellEnd"/>
            <w:r w:rsidRPr="00753661">
              <w:rPr>
                <w:rFonts w:ascii="Arial" w:hAnsi="Arial" w:cs="Arial"/>
                <w:color w:val="000000"/>
                <w:sz w:val="20"/>
                <w:szCs w:val="20"/>
              </w:rPr>
              <w:t>, 2019</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{"citationID":"cIpQT891","properties":{"formattedCitation":"\\super 34\\nosupersub{}","plainCitation":"34","noteIndex":0},"citationItems":[{"id":649,"uris":["http://zotero.org/users/8137403/items/PZUA38AB"],"itemData":{"id":649,"type":"article-journal","abstract":"BACKGROUND/AIM: Inguinal hernia repair is one of the most common surgical procedures worldwide. There is still controversy over which method has the best postoperative results. The aim of this study was to compare early and late postoperative results of laparoscopic totally extraperitoneal herniorrhaphy (TEP) and open Lichtenstein herniorrhaphy (OLR).\nMATERIALS AND METHODS: The study was conducted in a randomized prospective manner and it was concluded with 302 patients (147 cases in TEP group and 155 cases in OLR group). All procedures were performed by two experienced surgeons in both open and laparoscopic inguinal hernia repair.\nRESULTS: The groups were similar in terms of age, sex, and types of inguinal hernia according to Nyhuss classification. The mean operation time was shorter in TEP group with 49.2 ± 15.5 min vs 54.3 ± 14.6 min in OLR group (P = 0.004). The mean length of hospital stay was significantly shorter in TEP group (P = 0.001). The mean postoperative visual analogue scale score was significantly lower in TEP group. With a mean follow-up of 40.95 months, the recurrence rates were similar in both groups with a rate of 4.3%. In terms of chronic pain, TEP group has better results than OLR with 3.4% vs 25.2%, respectively (P = 0.001).\nCONCLUSION: In experienced hands, TEP procedure has better early and late postoperative results than OLR, whereas recurrence rates are similar.","container-title":"Turkish Journal of Medical Sciences","DOI":"10.3906/sag-1803-94","ISSN":"1303-6165","issue":"1","journalAbbreviation":"Turk J Med Sci","language":"eng","note":"PMID: 30761846\nPMCID: PMC7350797","page":"38-41","source":"PubMed","title":"Comparison of early and long term outcomes of open Lichtenstein repair and totally extraperitoneal herniorrhaphy for primary inguinal hernias","volume":"49","author":[{"family":"Sevinç","given":"Barış"},{"family":"Damburacı","given":"Nurullah"},{"family":"Güner","given":"Murat"},{"family":"Karahan","given":"Ömer"}],"issued":{"date-parts":[["2019",2,11]]}}}],"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34</w:t>
            </w:r>
            <w:r w:rsidR="00653E98" w:rsidRPr="00753661">
              <w:rPr>
                <w:rFonts w:ascii="Arial" w:hAnsi="Arial" w:cs="Arial"/>
                <w:color w:val="000000"/>
                <w:sz w:val="20"/>
                <w:szCs w:val="20"/>
              </w:rPr>
              <w:fldChar w:fldCharType="end"/>
            </w:r>
          </w:p>
        </w:tc>
        <w:tc>
          <w:tcPr>
            <w:tcW w:w="9720" w:type="dxa"/>
          </w:tcPr>
          <w:p w14:paraId="397F7F5B"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pain lasting more than 3 months after surgery</w:t>
            </w:r>
          </w:p>
        </w:tc>
      </w:tr>
      <w:tr w:rsidR="000B1E62" w:rsidRPr="00753661" w14:paraId="3A4CE308" w14:textId="77777777" w:rsidTr="00D729B4">
        <w:trPr>
          <w:trHeight w:val="183"/>
        </w:trPr>
        <w:tc>
          <w:tcPr>
            <w:tcW w:w="2065" w:type="dxa"/>
          </w:tcPr>
          <w:p w14:paraId="09C94BC7" w14:textId="6C201EA7" w:rsidR="000B1E62" w:rsidRPr="00753661" w:rsidRDefault="000B1E62">
            <w:pPr>
              <w:rPr>
                <w:rFonts w:ascii="Arial" w:hAnsi="Arial" w:cs="Arial"/>
                <w:b/>
                <w:bCs/>
                <w:sz w:val="20"/>
                <w:szCs w:val="20"/>
              </w:rPr>
            </w:pPr>
            <w:r w:rsidRPr="00753661">
              <w:rPr>
                <w:rFonts w:ascii="Arial" w:hAnsi="Arial" w:cs="Arial"/>
                <w:color w:val="000000"/>
                <w:sz w:val="20"/>
                <w:szCs w:val="20"/>
              </w:rPr>
              <w:t>Matkainen, 2021</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{"citationID":"ckG3SwQu","properties":{"formattedCitation":"\\super 35\\nosupersub{}","plainCitation":"35","noteIndex":0},"citationItems":[{"id":1010,"uris":["http://zotero.org/users/8137403/items/RUCQC8BN"],"itemData":{"id":1010,"type":"article-journal","abstract":"BACKGROUND: This was a prospective, multicentre, non-blinded, randomized clinical trial involving two parallel groups of patients.\nMETHODS: Adult patients with symptomatic unilateral primary inguinal hernia were included in this study. Patients were enrolled and treated in five Finnish hospitals. Eligible patients were randomized by use of a computer-based program to receiving either open anterior repair (modified Lichtenstein) with glue mesh fixation or totally extraperitoneal (TEP) repair. The primary aims were to compare 30-day patient-reported pain scores and return to work after surgery between the two groups.\nRESULTS: A total of 202 patients were randomized: 98 patients to TEP repair and 104 patients to open repair. All randomized patients received their allocated treatment. A total of 86 patients (88 per cent) in the TEP group and 94 patients (90 per cent) in the Lichtenstein group completed the 30-day follow-up. Patients experienced less early pain (P &lt; 0.001) and used less analgesics after TEP repair, compared to those who had modified Lichtenstein repair. Two patients in the TEP group and five in the Lichtenstein group developed superficial wound infection (P = 0</w:instrText>
            </w:r>
            <w:r w:rsidR="00653E98" w:rsidRPr="00753661">
              <w:rPr>
                <w:rFonts w:ascii="Cambria Math" w:hAnsi="Cambria Math" w:cs="Cambria Math"/>
                <w:color w:val="000000"/>
                <w:sz w:val="20"/>
                <w:szCs w:val="20"/>
              </w:rPr>
              <w:instrText>⋅</w:instrText>
            </w:r>
            <w:r w:rsidR="00653E98" w:rsidRPr="00753661">
              <w:rPr>
                <w:rFonts w:ascii="Arial" w:hAnsi="Arial" w:cs="Arial"/>
                <w:color w:val="000000"/>
                <w:sz w:val="20"/>
                <w:szCs w:val="20"/>
              </w:rPr>
              <w:instrText xml:space="preserve">446). Only one reoperation was performed in the Lichtenstein group due to haematoma.\nCONCLUSION: TEP inguinal hernia repair is associated with less early postoperative pain compared to the open glue mesh fixation technique.\nTRIAL REGISTRATION: NCT03566433 (http://www.clinicaltrials.gov).","container-title":"The British Journal of Surgery","DOI":"10.1093/bjs/znab354","ISSN":"1365-2168","issue":"12","journalAbbreviation":"Br J Surg","language":"eng","note":"PMID: 34791044\nPMCID: PMC10364913","page":"1433-1437","source":"PubMed","title":"A randomized clinical trial comparing early patient-reported pain after open anterior mesh repair versus totally extraperitoneal repair of inguinal hernia","volume":"108","author":[{"family":"Matikainen","given":"Markku"},{"family":"Vironen","given":"Jaana Hellevi"},{"family":"Silvasti","given":"Seppo"},{"family":"Ilves","given":"Imre"},{"family":"Kössi","given":"Jyrki"},{"family":"Kivivuori","given":"Antti"},{"family":"Paajanen","given":"Hannu"}],"issued":{"date-parts":[["2021",12,1]]}}}],"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35</w:t>
            </w:r>
            <w:r w:rsidR="00653E98" w:rsidRPr="00753661">
              <w:rPr>
                <w:rFonts w:ascii="Arial" w:hAnsi="Arial" w:cs="Arial"/>
                <w:color w:val="000000"/>
                <w:sz w:val="20"/>
                <w:szCs w:val="20"/>
              </w:rPr>
              <w:fldChar w:fldCharType="end"/>
            </w:r>
          </w:p>
        </w:tc>
        <w:tc>
          <w:tcPr>
            <w:tcW w:w="9720" w:type="dxa"/>
          </w:tcPr>
          <w:p w14:paraId="5C3A6284"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5EE569F7" w14:textId="77777777" w:rsidTr="00D729B4">
        <w:trPr>
          <w:trHeight w:val="183"/>
        </w:trPr>
        <w:tc>
          <w:tcPr>
            <w:tcW w:w="2065" w:type="dxa"/>
          </w:tcPr>
          <w:p w14:paraId="32AE8279" w14:textId="5A9934FA" w:rsidR="000B1E62" w:rsidRPr="00753661" w:rsidRDefault="000B1E62">
            <w:pPr>
              <w:rPr>
                <w:rFonts w:ascii="Arial" w:hAnsi="Arial" w:cs="Arial"/>
                <w:b/>
                <w:bCs/>
                <w:sz w:val="20"/>
                <w:szCs w:val="20"/>
              </w:rPr>
            </w:pPr>
            <w:r w:rsidRPr="00753661">
              <w:rPr>
                <w:rFonts w:ascii="Arial" w:hAnsi="Arial" w:cs="Arial"/>
                <w:color w:val="000000"/>
                <w:sz w:val="20"/>
                <w:szCs w:val="20"/>
              </w:rPr>
              <w:t>Shah, 2022</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{"citationID":"lc16BE9H","properties":{"formattedCitation":"\\super 36\\nosupersub{}","plainCitation":"36","noteIndex":0},"citationItems":[{"id":992,"uris":["http://zotero.org/users/8137403/items/4BK7NRMD"],"itemData":{"id":992,"type":"article-journal","abstract":"Inguinal hernia repair is one of the most frequently performed surgery. The ideal procedure for inguinal hernia repair remains controversial. Open Lichtenstein tension-free mesh repair (LMR) is one of the most preferred open techniques with satisfactory outcomes. Laparoscopic approach in inguinal hernia surgery remains controversial, especially in comparison with open procedures. In this study, we have reported a comparison of laparoscopic total extraperitoneal (TEP) inguinal hernia repair with LMR. Postoperative pain, operative time, complications like seroma, wound infection, chronic groin pain, and recurrence rate were parameters to evaluate the outcome.\n          One hundred seventy-four patients were included in the study by consecutive randomized prospective sampling. The patients were divided into 2 groups: group A, laparoscopic TEP inguinal hernia repair, and group B, LMR. The procedures were performed by experienced surgeons. The primary outcomes were evaluated based on postoperative pain and recurrence rate. Secondary outcomes considered for evaluation were operative time, complications like seroma, infection, and chronic groin pain.\n          Severe pain was reported in group A (7.9%) compared to group B (15.1%), which was statistically significant (P &lt; .001). Moderate pain was reported more in group B (70.9%) compared to group A (29.5%) (P &lt; .001). The mean operative time in group A was 84.6 ± 32.2, which was significantly higher than that in group B, 59.2 ± 14.8. There was no major complication in both groups. The chronic pain postoperatively was significantly in higher number of patients in group B vs group A (22.09% vs 3.4%). The postoperative hospital stay period was significantly lesser for group A vs for group B (2.68 ± 1.52 vs 3.86 ± 6.16). Time duration taken to resume normal activities was significantly lower in group A (13.6 ± 6.8) vs (19.8 ± 4.6) in group B (P &lt; .001).\n          Although there is definite evidence of longer operative time and learning curve, laparoscopic TEP has added advantages like less postoperative pain, early resumption of normal activities, less chronic groin pain, and comparable recurrence rate compared to open Lichtenstein repair. Laparoscopic TEP can be performed with acceptable outcomes and less postoperative complications if performed by experienced hands.","container-title":"Medicine","DOI":"10.1097/MD.0000000000029746","issue":"26","language":"en-US","page":"e29746","source":"journals.lww.com","title":"Surgical outcomes of laparoscopic total extraperitoneal (TEP) inguinal hernia repair compared with Lichtenstein tension-free open mesh inguinal hernia repair: A prospective randomized study","title-short":"Surgical outcomes of laparoscopic total extraperitoneal (TEP) inguinal hernia repair compared with Lichtenstein tension-free open mesh inguinal hernia repair","volume":"101","author":[{"family":"Shah","given":"Mohammed Yunus"},{"family":"Raut","given":"Pratik"},{"family":"Wilkinson","given":"T. R. V."},{"family":"Agrawal","given":"Vijay"}],"issued":{"date-parts":[["2022",7,1]]}}}],"schema":"https://github.com/citation-style-language/schema/raw/master/csl-citation.json"}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36</w:t>
            </w:r>
            <w:r w:rsidR="00653E98" w:rsidRPr="00753661">
              <w:rPr>
                <w:rFonts w:ascii="Arial" w:hAnsi="Arial" w:cs="Arial"/>
                <w:color w:val="000000"/>
                <w:sz w:val="20"/>
                <w:szCs w:val="20"/>
              </w:rPr>
              <w:fldChar w:fldCharType="end"/>
            </w:r>
          </w:p>
        </w:tc>
        <w:tc>
          <w:tcPr>
            <w:tcW w:w="9720" w:type="dxa"/>
          </w:tcPr>
          <w:p w14:paraId="63C35345"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presence of postoperative pain</w:t>
            </w:r>
          </w:p>
        </w:tc>
      </w:tr>
      <w:tr w:rsidR="000B1E62" w:rsidRPr="00753661" w14:paraId="717B167D" w14:textId="77777777" w:rsidTr="00D729B4">
        <w:trPr>
          <w:trHeight w:val="169"/>
        </w:trPr>
        <w:tc>
          <w:tcPr>
            <w:tcW w:w="2065" w:type="dxa"/>
          </w:tcPr>
          <w:p w14:paraId="221F09FE" w14:textId="3EC5102F" w:rsidR="000B1E62" w:rsidRPr="00753661" w:rsidRDefault="000B1E62">
            <w:pPr>
              <w:rPr>
                <w:rFonts w:ascii="Arial" w:hAnsi="Arial" w:cs="Arial"/>
                <w:b/>
                <w:bCs/>
                <w:sz w:val="20"/>
                <w:szCs w:val="20"/>
              </w:rPr>
            </w:pPr>
            <w:r w:rsidRPr="00753661">
              <w:rPr>
                <w:rFonts w:ascii="Arial" w:hAnsi="Arial" w:cs="Arial"/>
                <w:color w:val="000000"/>
                <w:sz w:val="20"/>
                <w:szCs w:val="20"/>
              </w:rPr>
              <w:t>Sultan, 2022</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{"citationID":"idrYBuSw","properties":{"formattedCitation":"\\super 37\\nosupersub{}","plainCitation":"37","noteIndex":0},"citationItems":[{"id":1703,"uris":["http://zotero.org/users/8137403/items/WIVJVQBY"],"itemData":{"id":1703,"type":"article-journal","abstract":"BACKGROUND: The repair of inguinal hernia is still one of the most prevalent surgical procedures done worldwide. Among all repair techniques, open Lichtenstein repair is the most globally conducted. In the past few decades, laparoscopic technique for inguinal hernia repair has increased technical demand. Trans-abdominal pre-peritoneal (TAPP) technique is the main approach, which is featured by less postoperative pain and early recovery.\nOBJECTIVE: The current work is a short-term study to make a comparison between open Lichtenstein repair of inguinal hernia as well as laparoscopic trans-abdominal preperitoneal repair of inguinal hernia (TAPP) for unilateral non recurrent hernia regarding intraoperative, postoperative complications and hospital stay.\nPATIENTS AND METHODS: The present prospective randomized study recruited 100 male subjects from General Surgery Department of Al-Azhar University Hospitals and Ain Shams university hospitals suffering from oblique inguinal hernia (unilateral non recurrent hernia) with an age above 18 years and good overall health, who were randomized into two groups: Group A: 49 cases were subjected to laparoscopic trans-abdominal pre-peritoneal repair (TAPP). Group B: 51 cases were subjected to open Lichtenstein repair.\nRESULTS: This study detected less post-operative pain day 0, day 1, day 7 and 1 month postoperatively. There was no significant difference at 6 months post-operatively.\nCONCLUSION: Finally, we concluded that TAPP repair for inguinal hernia (unilateral non recurrent hernia) safer with less early post-operative pain. Also, it has fewer complications, with a significantly longer operative time.","container-title":"Annals of Medicine and Surgery","DOI":"10.1016/j.amsu.2022.103428","ISSN":"2049-0801","journalAbbreviation":"Ann Med Surg (Lond)","language":"eng","note":"publisher-place: 2012\nPMID: 35345792\nPMCID: PMC8957018","page":"103428","source":"PubMed","title":"Lichtenstein versus transabdominal preperitoneal (TAPP) inguinal hernia repair for unilateral non recurrent hernia: A multicenter short term randomized comparative study of clinical outcomes","title-short":"Lichtenstein versus transabdominal preperitoneal (TAPP) inguinal hernia repair for unilateral non recurrent hernia","volume":"76","author":[{"family":"Sultan","given":"Ahmed Abd El Aal"},{"family":"Abo Elazm","given":"Hossam Attia"},{"family":"Omran","given":"Hisham"}],"issued":{"date-parts":[["2022",4]]}}}],"schema":"https://github.com/citation-style-language/schema/raw/master/csl-citation.json"}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37</w:t>
            </w:r>
            <w:r w:rsidR="00653E98" w:rsidRPr="00753661">
              <w:rPr>
                <w:rFonts w:ascii="Arial" w:hAnsi="Arial" w:cs="Arial"/>
                <w:color w:val="000000"/>
                <w:sz w:val="20"/>
                <w:szCs w:val="20"/>
              </w:rPr>
              <w:fldChar w:fldCharType="end"/>
            </w:r>
          </w:p>
        </w:tc>
        <w:tc>
          <w:tcPr>
            <w:tcW w:w="9720" w:type="dxa"/>
          </w:tcPr>
          <w:p w14:paraId="3EEF347B"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575D04BD" w14:textId="77777777" w:rsidTr="00D729B4">
        <w:trPr>
          <w:trHeight w:val="183"/>
        </w:trPr>
        <w:tc>
          <w:tcPr>
            <w:tcW w:w="2065" w:type="dxa"/>
          </w:tcPr>
          <w:p w14:paraId="1A1AA17D" w14:textId="319CC015" w:rsidR="000B1E62" w:rsidRPr="00753661" w:rsidRDefault="000B1E62">
            <w:pPr>
              <w:rPr>
                <w:rFonts w:ascii="Arial" w:hAnsi="Arial" w:cs="Arial"/>
                <w:b/>
                <w:bCs/>
                <w:sz w:val="20"/>
                <w:szCs w:val="20"/>
              </w:rPr>
            </w:pPr>
            <w:r w:rsidRPr="00753661">
              <w:rPr>
                <w:rFonts w:ascii="Arial" w:hAnsi="Arial" w:cs="Arial"/>
                <w:color w:val="000000"/>
                <w:sz w:val="20"/>
                <w:szCs w:val="20"/>
              </w:rPr>
              <w:t>Andersson, 2023</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{"citationID":"eqFSIsJ7","properties":{"formattedCitation":"\\super 38\\nosupersub{}","plainCitation":"38","noteIndex":0},"citationItems":[{"id":719,"uris":["http://zotero.org/users/8137403/items/LLXN4NCE"],"itemData":{"id":719,"type":"article-journal","abstract":"BACKGROUND: This study was designed to compare an open tension-free technique (Lichtenstein repair) with a laparoscopic totally extraperitoneal hernia repair (TEP).\nMETHODS: One hundred sixty-eight men aged 30 to 65 years with primary or recurrent inguinal hernia were randomized to TEP or open mesh technique in the manner of Lichtenstein. Follow-up was after 1 and 6 weeks, and 1 year.\nRESULTS: Eighty-one patients were randomized to TEP, and 87 to open repair. For 1 patient in each group, the operation was converted to a different type of repair. No difference was seen in overall complications between the 2 groups. However, 1 patient in the TEP group underwent operation for small bowel obstruction after surgery. A higher frequency of postoperative hematomas was seen in the open group (P &lt;.05). Patients in the TEP group consumed less analgesic after surgery (P &lt;.001), returned to work earlier (P &lt;.01), and had a shorter time to full recovery (P &lt;.01). Two recurrences occurred in the TEP group 1 year after surgery.\nCONCLUSION: The TEP technique was associated with less postoperative pain, a shorter time to full recovery, and an earlier return to work compared with the open tension-free repair. No difference was seen in overall complications. However, 2 recurrences did occur after 1 year in the TEP group.","container-title":"Surgery","DOI":"10.1067/msy.2003.98","ISSN":"0039-6060","issue":"5","journalAbbreviation":"Surgery","language":"eng","note":"PMID: 12773973","page":"464-472","source":"PubMed","title":"Laparoscopic extraperitoneal inguinal hernia repair versus open mesh repair: a prospective randomized controlled trial","title-short":"Laparoscopic extraperitoneal inguinal hernia repair versus open mesh repair","volume":"133","author":[{"family":"Andersson","given":"Bodil"},{"family":"Hallén","given":"Magnus"},{"family":"Leveau","given":"Per"},{"family":"Bergenfelz","given":"Anders"},{"family":"Westerdahl","given":"Johan"}],"issued":{"date-parts":[["2003",5]]}}}],"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38</w:t>
            </w:r>
            <w:r w:rsidR="00653E98" w:rsidRPr="00753661">
              <w:rPr>
                <w:rFonts w:ascii="Arial" w:hAnsi="Arial" w:cs="Arial"/>
                <w:color w:val="000000"/>
                <w:sz w:val="20"/>
                <w:szCs w:val="20"/>
              </w:rPr>
              <w:fldChar w:fldCharType="end"/>
            </w:r>
          </w:p>
        </w:tc>
        <w:tc>
          <w:tcPr>
            <w:tcW w:w="9720" w:type="dxa"/>
          </w:tcPr>
          <w:p w14:paraId="721C49BF"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no definition provided</w:t>
            </w:r>
          </w:p>
        </w:tc>
      </w:tr>
      <w:tr w:rsidR="000B1E62" w:rsidRPr="00753661" w14:paraId="11768070" w14:textId="77777777" w:rsidTr="00091A90">
        <w:trPr>
          <w:trHeight w:val="64"/>
        </w:trPr>
        <w:tc>
          <w:tcPr>
            <w:tcW w:w="2065" w:type="dxa"/>
          </w:tcPr>
          <w:p w14:paraId="268BA5AC" w14:textId="51E4F9D8" w:rsidR="000B1E62" w:rsidRPr="00753661" w:rsidRDefault="000B1E62">
            <w:pPr>
              <w:rPr>
                <w:rFonts w:ascii="Arial" w:hAnsi="Arial" w:cs="Arial"/>
                <w:b/>
                <w:bCs/>
                <w:sz w:val="20"/>
                <w:szCs w:val="20"/>
              </w:rPr>
            </w:pPr>
            <w:r w:rsidRPr="00753661">
              <w:rPr>
                <w:rFonts w:ascii="Arial" w:hAnsi="Arial" w:cs="Arial"/>
                <w:color w:val="000000"/>
                <w:sz w:val="20"/>
                <w:szCs w:val="20"/>
              </w:rPr>
              <w:t>Sinha, 2023</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{"citationID":"vclQ2YsE","properties":{"formattedCitation":"\\super 39\\nosupersub{}","plainCitation":"39","noteIndex":0},"citationItems":[{"id":990,"uris":["http://zotero.org/users/8137403/items/A7IU557B"],"itemData":{"id":990,"type":"article-journal","abstract":"Background and Objectives:\nModified anterior preperitoneal (mAPP) repair for inguinal hernia (IH) was compared with Lichtenstein repair (LR) and laparoscopic transabdominal preperitoneal (TAPP) repairs.\n\nMethods:\nIH patients, after exclusions and subsequent matching for age, type, and extent of hernia, were assigned randomly for mAPP, LR or TAPP repair. The same surgical team performed all operations. Data of predefined endpoints for all the three groups were statistically compared.\n\nResults:\nOne hundred thirty-five patients underwent mAPP, 91 patients LR, and 181 patients TAPP. The operating time for both unilateral and bilateral hernias in the mAPP group was significantly shorter than in LR and TAPP groups. mAPP patients were discharged in significantly less time than LR patients but later than TAPP patients. Postoperative visual analog scale (VAS) score at 24 hours in the mAPP patients was significantly less than LR but at 48 hours the difference was equivocal. But VAS score after mAPP at 24 and 48 hrs was more than in TAPP patients. However, the pain score across all the three groups was similar at 7 days. There was no surgical site infection (SSI) or mesh infection in any patient. Chronic postoperative inguinal pain was seen less often after mAPP than after LR but was least in TAPP patients. Recurrence across all the three groups was not much different.\n\nConclusion:\nmAPP appears to be a better choice for open IH repair than LR and matches the advantages of Laparoscopic repairs.","container-title":"JSLS : Journal of the Society of Laparoscopic &amp; Robotic Surgeons","DOI":"10.4293/JSLS.2023.00044","ISSN":"1086-8089","issue":"4","journalAbbreviation":"JSLS","note":"PMID: 38045818\nPMCID: PMC10690483","page":"e2023.00044","source":"PubMed Central","title":"Modified Open Anterior Preperitoneal Repair","volume":"27","author":[{"family":"Sinha","given":"Rajeev"},{"family":"Yadav","given":"Albail S."},{"family":"Sharma","given":"Yasharth"},{"family":"Chanda","given":"Swarnava"},{"family":"Sharma","given":"Om Kumar"},{"family":"Srivastava","given":"Nalin"}],"issued":{"date-parts":[["2023"]]}}}],"schema":"https://github.com/citation-style-language/schema/raw/master/csl-citation.json"}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39</w:t>
            </w:r>
            <w:r w:rsidR="00653E98" w:rsidRPr="00753661">
              <w:rPr>
                <w:rFonts w:ascii="Arial" w:hAnsi="Arial" w:cs="Arial"/>
                <w:color w:val="000000"/>
                <w:sz w:val="20"/>
                <w:szCs w:val="20"/>
              </w:rPr>
              <w:fldChar w:fldCharType="end"/>
            </w:r>
          </w:p>
        </w:tc>
        <w:tc>
          <w:tcPr>
            <w:tcW w:w="9720" w:type="dxa"/>
          </w:tcPr>
          <w:p w14:paraId="70F57F67"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chronic post operative inguinal pain persisting for 3 or more months</w:t>
            </w:r>
          </w:p>
        </w:tc>
      </w:tr>
      <w:tr w:rsidR="000B1E62" w:rsidRPr="00753661" w14:paraId="2586CAA9" w14:textId="77777777" w:rsidTr="00D729B4">
        <w:trPr>
          <w:trHeight w:val="169"/>
        </w:trPr>
        <w:tc>
          <w:tcPr>
            <w:tcW w:w="2065" w:type="dxa"/>
          </w:tcPr>
          <w:p w14:paraId="0A2A071B" w14:textId="405B9824" w:rsidR="000B1E62" w:rsidRPr="00753661" w:rsidRDefault="000B1E62">
            <w:pPr>
              <w:rPr>
                <w:rFonts w:ascii="Arial" w:hAnsi="Arial" w:cs="Arial"/>
                <w:b/>
                <w:bCs/>
                <w:sz w:val="20"/>
                <w:szCs w:val="20"/>
              </w:rPr>
            </w:pPr>
            <w:r w:rsidRPr="00753661">
              <w:rPr>
                <w:rFonts w:ascii="Arial" w:hAnsi="Arial" w:cs="Arial"/>
                <w:color w:val="000000"/>
                <w:sz w:val="20"/>
                <w:szCs w:val="20"/>
              </w:rPr>
              <w:t>Dumitrescu, 2023</w:t>
            </w:r>
            <w:r w:rsidR="00653E98" w:rsidRPr="00753661">
              <w:rPr>
                <w:rFonts w:ascii="Arial" w:hAnsi="Arial" w:cs="Arial"/>
                <w:color w:val="000000"/>
                <w:sz w:val="20"/>
                <w:szCs w:val="20"/>
              </w:rPr>
              <w:fldChar w:fldCharType="begin"/>
            </w:r>
            <w:r w:rsidR="00653E98" w:rsidRPr="00753661">
              <w:rPr>
                <w:rFonts w:ascii="Arial" w:hAnsi="Arial" w:cs="Arial"/>
                <w:color w:val="000000"/>
                <w:sz w:val="20"/>
                <w:szCs w:val="20"/>
              </w:rPr>
              <w:instrText xml:space="preserve"> ADDIN ZOTERO_ITEM CSL_CITATION {"citationID":"hybgGPwg","properties":{"formattedCitation":"\\super 40\\nosupersub{}","plainCitation":"40","noteIndex":0},"citationItems":[{"id":1086,"uris":["http://zotero.org/users/8137403/items/H994GPGG"],"itemData":{"id":1086,"type":"article-journal","abstract":"Inguinal hernia repairs are one of the most common procedures in general surgery. In addition to classical open surgery, laparoscopic techniques, such as transabdominal preperitoneal (TAPP) and total extraperitoneal (TEP) hernia repair, have gained ...","container-title":"Cureus","DOI":"10.7759/cureus.41886","issue":"7","language":"en","note":"PMID: 37581138","page":"e41886","source":"pmc.ncbi.nlm.nih.gov","title":"Transabdominal Preperitoneal Versus Lichtenstein Procedure for Inguinal Hernia Repair in Adults: A Comparative Evaluation of the Early Postoperative Pain and Outcomes","title-short":"Transabdominal Preperitoneal Versus Lichtenstein Procedure for Inguinal Hernia Repair in Adults","volume":"15","author":[{"family":"Dumitrescu","given":"Victor"},{"family":"Serban","given":"Dragos"},{"family":"Costea","given":"Daniel Ovidiu"},{"family":"Dumitrescu","given":"Dan"},{"family":"Bobirca","given":"Florin"},{"family":"Geavlete","given":"Bogdan"},{"family":"Bratu","given":"Dan Georgian"},{"family":"Tribus","given":"Laura"},{"family":"Serboiu","given":"Crenguta"},{"family":"Alius","given":"Catalin"},{"family":"Tudor","given":"Corneliu"},{"family":"Dascalu","given":"Ana Maria"},{"family":"Tudosie","given":"Mihail Silviu"},{"family":"Serban","given":"Bogdan"},{"family":"Moga","given":"Doru Florian"}],"issued":{"date-parts":[["2023",7,14]]}}}],"schema":"https://github.com/citation-style-language/schema/raw/master/csl-citation.json"} </w:instrText>
            </w:r>
            <w:r w:rsidR="00653E98" w:rsidRPr="00753661">
              <w:rPr>
                <w:rFonts w:ascii="Arial" w:hAnsi="Arial" w:cs="Arial"/>
                <w:color w:val="000000"/>
                <w:sz w:val="20"/>
                <w:szCs w:val="20"/>
              </w:rPr>
              <w:fldChar w:fldCharType="separate"/>
            </w:r>
            <w:r w:rsidR="00653E98" w:rsidRPr="00753661">
              <w:rPr>
                <w:rFonts w:ascii="Arial" w:hAnsi="Arial" w:cs="Arial"/>
                <w:color w:val="000000"/>
                <w:sz w:val="20"/>
                <w:szCs w:val="20"/>
                <w:vertAlign w:val="superscript"/>
              </w:rPr>
              <w:t>40</w:t>
            </w:r>
            <w:r w:rsidR="00653E98" w:rsidRPr="00753661">
              <w:rPr>
                <w:rFonts w:ascii="Arial" w:hAnsi="Arial" w:cs="Arial"/>
                <w:color w:val="000000"/>
                <w:sz w:val="20"/>
                <w:szCs w:val="20"/>
              </w:rPr>
              <w:fldChar w:fldCharType="end"/>
            </w:r>
          </w:p>
        </w:tc>
        <w:tc>
          <w:tcPr>
            <w:tcW w:w="9720" w:type="dxa"/>
          </w:tcPr>
          <w:p w14:paraId="72765EE5" w14:textId="77777777" w:rsidR="000B1E62" w:rsidRPr="00753661" w:rsidRDefault="000B1E62">
            <w:pPr>
              <w:rPr>
                <w:rFonts w:ascii="Arial" w:hAnsi="Arial" w:cs="Arial"/>
                <w:b/>
                <w:bCs/>
                <w:sz w:val="20"/>
                <w:szCs w:val="20"/>
              </w:rPr>
            </w:pPr>
            <w:r w:rsidRPr="00753661">
              <w:rPr>
                <w:rFonts w:ascii="Arial" w:hAnsi="Arial" w:cs="Arial"/>
                <w:color w:val="000000"/>
                <w:sz w:val="20"/>
                <w:szCs w:val="20"/>
              </w:rPr>
              <w:t>postoperative inguinodynia</w:t>
            </w:r>
          </w:p>
        </w:tc>
      </w:tr>
    </w:tbl>
    <w:p w14:paraId="21CAAE97" w14:textId="12B60679" w:rsidR="003F5BD1" w:rsidRPr="00753661" w:rsidRDefault="000B1E62" w:rsidP="00753661">
      <w:pPr>
        <w:spacing w:line="480" w:lineRule="auto"/>
        <w:rPr>
          <w:rFonts w:ascii="Arial" w:hAnsi="Arial" w:cs="Arial"/>
          <w:b/>
          <w:bCs/>
          <w:sz w:val="20"/>
          <w:szCs w:val="20"/>
        </w:rPr>
      </w:pPr>
      <w:r w:rsidRPr="00753661">
        <w:rPr>
          <w:rFonts w:ascii="Arial" w:hAnsi="Arial" w:cs="Arial"/>
          <w:sz w:val="20"/>
          <w:szCs w:val="20"/>
        </w:rPr>
        <w:br w:type="page"/>
      </w:r>
      <w:r w:rsidR="003F5BD1" w:rsidRPr="00753661">
        <w:rPr>
          <w:rFonts w:ascii="Arial" w:hAnsi="Arial" w:cs="Arial"/>
          <w:b/>
          <w:bCs/>
          <w:sz w:val="20"/>
          <w:szCs w:val="20"/>
        </w:rPr>
        <w:lastRenderedPageBreak/>
        <w:t>References</w:t>
      </w:r>
    </w:p>
    <w:p w14:paraId="5DC291C2" w14:textId="77777777" w:rsidR="00753661" w:rsidRPr="00753661" w:rsidRDefault="00753661" w:rsidP="003F5BD1">
      <w:pPr>
        <w:rPr>
          <w:rFonts w:ascii="Arial" w:hAnsi="Arial" w:cs="Arial"/>
          <w:b/>
          <w:bCs/>
          <w:sz w:val="20"/>
          <w:szCs w:val="20"/>
        </w:rPr>
      </w:pPr>
    </w:p>
    <w:p w14:paraId="0197F528" w14:textId="53996251"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Johansson B, </w:t>
      </w:r>
      <w:proofErr w:type="spellStart"/>
      <w:r w:rsidRPr="00753661">
        <w:rPr>
          <w:rFonts w:ascii="Arial" w:hAnsi="Arial" w:cs="Arial"/>
          <w:sz w:val="20"/>
          <w:szCs w:val="20"/>
        </w:rPr>
        <w:t>Hallerbäck</w:t>
      </w:r>
      <w:proofErr w:type="spellEnd"/>
      <w:r w:rsidRPr="00753661">
        <w:rPr>
          <w:rFonts w:ascii="Arial" w:hAnsi="Arial" w:cs="Arial"/>
          <w:sz w:val="20"/>
          <w:szCs w:val="20"/>
        </w:rPr>
        <w:t xml:space="preserve"> B, Glise H, </w:t>
      </w:r>
      <w:proofErr w:type="spellStart"/>
      <w:r w:rsidRPr="00753661">
        <w:rPr>
          <w:rFonts w:ascii="Arial" w:hAnsi="Arial" w:cs="Arial"/>
          <w:sz w:val="20"/>
          <w:szCs w:val="20"/>
        </w:rPr>
        <w:t>Anesten</w:t>
      </w:r>
      <w:proofErr w:type="spellEnd"/>
      <w:r w:rsidRPr="00753661">
        <w:rPr>
          <w:rFonts w:ascii="Arial" w:hAnsi="Arial" w:cs="Arial"/>
          <w:sz w:val="20"/>
          <w:szCs w:val="20"/>
        </w:rPr>
        <w:t xml:space="preserve"> B, Smedberg S, Román J (1999) Laparoscopic Mesh Versus Open Preperitoneal Mesh Versus Conventional Technique for Inguinal Hernia Repair. Ann Surg. 230(2):225. </w:t>
      </w:r>
    </w:p>
    <w:p w14:paraId="3DA4B195" w14:textId="339995A0"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Heikkinen TJ, </w:t>
      </w:r>
      <w:proofErr w:type="spellStart"/>
      <w:r w:rsidRPr="00753661">
        <w:rPr>
          <w:rFonts w:ascii="Arial" w:hAnsi="Arial" w:cs="Arial"/>
          <w:sz w:val="20"/>
          <w:szCs w:val="20"/>
        </w:rPr>
        <w:t>Haukipuro</w:t>
      </w:r>
      <w:proofErr w:type="spellEnd"/>
      <w:r w:rsidRPr="00753661">
        <w:rPr>
          <w:rFonts w:ascii="Arial" w:hAnsi="Arial" w:cs="Arial"/>
          <w:sz w:val="20"/>
          <w:szCs w:val="20"/>
        </w:rPr>
        <w:t xml:space="preserve"> K, Koivukangas P, </w:t>
      </w:r>
      <w:proofErr w:type="spellStart"/>
      <w:r w:rsidRPr="00753661">
        <w:rPr>
          <w:rFonts w:ascii="Arial" w:hAnsi="Arial" w:cs="Arial"/>
          <w:sz w:val="20"/>
          <w:szCs w:val="20"/>
        </w:rPr>
        <w:t>Hulkko</w:t>
      </w:r>
      <w:proofErr w:type="spellEnd"/>
      <w:r w:rsidRPr="00753661">
        <w:rPr>
          <w:rFonts w:ascii="Arial" w:hAnsi="Arial" w:cs="Arial"/>
          <w:sz w:val="20"/>
          <w:szCs w:val="20"/>
        </w:rPr>
        <w:t xml:space="preserve"> A (1998) A prospective randomized outcome and cost comparison of totally extraperitoneal endoscopic hernioplasty versus Lichtenstein hernia operation among employed patients. Surg </w:t>
      </w:r>
      <w:proofErr w:type="spellStart"/>
      <w:r w:rsidRPr="00753661">
        <w:rPr>
          <w:rFonts w:ascii="Arial" w:hAnsi="Arial" w:cs="Arial"/>
          <w:sz w:val="20"/>
          <w:szCs w:val="20"/>
        </w:rPr>
        <w:t>Laparosc</w:t>
      </w:r>
      <w:proofErr w:type="spellEnd"/>
      <w:r w:rsidRPr="00753661">
        <w:rPr>
          <w:rFonts w:ascii="Arial" w:hAnsi="Arial" w:cs="Arial"/>
          <w:sz w:val="20"/>
          <w:szCs w:val="20"/>
        </w:rPr>
        <w:t xml:space="preserve">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8(5):338-344. </w:t>
      </w:r>
    </w:p>
    <w:p w14:paraId="723D87DB" w14:textId="2277815A"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Heikkinen TJ, </w:t>
      </w:r>
      <w:proofErr w:type="spellStart"/>
      <w:r w:rsidRPr="00753661">
        <w:rPr>
          <w:rFonts w:ascii="Arial" w:hAnsi="Arial" w:cs="Arial"/>
          <w:sz w:val="20"/>
          <w:szCs w:val="20"/>
        </w:rPr>
        <w:t>Haukipuro</w:t>
      </w:r>
      <w:proofErr w:type="spellEnd"/>
      <w:r w:rsidRPr="00753661">
        <w:rPr>
          <w:rFonts w:ascii="Arial" w:hAnsi="Arial" w:cs="Arial"/>
          <w:sz w:val="20"/>
          <w:szCs w:val="20"/>
        </w:rPr>
        <w:t xml:space="preserve"> K, </w:t>
      </w:r>
      <w:proofErr w:type="spellStart"/>
      <w:r w:rsidRPr="00753661">
        <w:rPr>
          <w:rFonts w:ascii="Arial" w:hAnsi="Arial" w:cs="Arial"/>
          <w:sz w:val="20"/>
          <w:szCs w:val="20"/>
        </w:rPr>
        <w:t>Hulkko</w:t>
      </w:r>
      <w:proofErr w:type="spellEnd"/>
      <w:r w:rsidRPr="00753661">
        <w:rPr>
          <w:rFonts w:ascii="Arial" w:hAnsi="Arial" w:cs="Arial"/>
          <w:sz w:val="20"/>
          <w:szCs w:val="20"/>
        </w:rPr>
        <w:t xml:space="preserve"> A (1998) A cost and outcome comparison between laparoscopic and Lichtenstein hernia operations in a day-case unit. A randomized prospective study. Surg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12(10):1199-1203. doi:10.1007/s004649900820 </w:t>
      </w:r>
    </w:p>
    <w:p w14:paraId="3D91C2FC" w14:textId="67E92B2C"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Wellwood J, </w:t>
      </w:r>
      <w:proofErr w:type="spellStart"/>
      <w:r w:rsidRPr="00753661">
        <w:rPr>
          <w:rFonts w:ascii="Arial" w:hAnsi="Arial" w:cs="Arial"/>
          <w:sz w:val="20"/>
          <w:szCs w:val="20"/>
        </w:rPr>
        <w:t>Sculpher</w:t>
      </w:r>
      <w:proofErr w:type="spellEnd"/>
      <w:r w:rsidRPr="00753661">
        <w:rPr>
          <w:rFonts w:ascii="Arial" w:hAnsi="Arial" w:cs="Arial"/>
          <w:sz w:val="20"/>
          <w:szCs w:val="20"/>
        </w:rPr>
        <w:t xml:space="preserve"> MJ, Stoker D, et al (1998) </w:t>
      </w:r>
      <w:proofErr w:type="spellStart"/>
      <w:r w:rsidRPr="00753661">
        <w:rPr>
          <w:rFonts w:ascii="Arial" w:hAnsi="Arial" w:cs="Arial"/>
          <w:sz w:val="20"/>
          <w:szCs w:val="20"/>
        </w:rPr>
        <w:t>Randomised</w:t>
      </w:r>
      <w:proofErr w:type="spellEnd"/>
      <w:r w:rsidRPr="00753661">
        <w:rPr>
          <w:rFonts w:ascii="Arial" w:hAnsi="Arial" w:cs="Arial"/>
          <w:sz w:val="20"/>
          <w:szCs w:val="20"/>
        </w:rPr>
        <w:t xml:space="preserve"> controlled trial of laparoscopic versus open mesh repair for inguinal hernia: outcome and cost. BMJ. 317(7151):103-110. doi:10.1136/bmj.317.7151.103 </w:t>
      </w:r>
    </w:p>
    <w:p w14:paraId="1BF22314" w14:textId="424C6503" w:rsidR="00753661" w:rsidRPr="00753661" w:rsidRDefault="00753661" w:rsidP="00753661">
      <w:pPr>
        <w:pStyle w:val="ListParagraph"/>
        <w:numPr>
          <w:ilvl w:val="0"/>
          <w:numId w:val="15"/>
        </w:numPr>
        <w:rPr>
          <w:rFonts w:ascii="Arial" w:hAnsi="Arial" w:cs="Arial"/>
          <w:sz w:val="20"/>
          <w:szCs w:val="20"/>
        </w:rPr>
      </w:pPr>
      <w:proofErr w:type="spellStart"/>
      <w:r w:rsidRPr="00753661">
        <w:rPr>
          <w:rFonts w:ascii="Arial" w:hAnsi="Arial" w:cs="Arial"/>
          <w:sz w:val="20"/>
          <w:szCs w:val="20"/>
        </w:rPr>
        <w:t>Köninger</w:t>
      </w:r>
      <w:proofErr w:type="spellEnd"/>
      <w:r w:rsidRPr="00753661">
        <w:rPr>
          <w:rFonts w:ascii="Arial" w:hAnsi="Arial" w:cs="Arial"/>
          <w:sz w:val="20"/>
          <w:szCs w:val="20"/>
        </w:rPr>
        <w:t xml:space="preserve"> JS, Oster M, Butters M (1998) [Management of inguinal hernia--a comparison of current methods]. Chir Z Alle Geb Oper </w:t>
      </w:r>
      <w:proofErr w:type="spellStart"/>
      <w:r w:rsidRPr="00753661">
        <w:rPr>
          <w:rFonts w:ascii="Arial" w:hAnsi="Arial" w:cs="Arial"/>
          <w:sz w:val="20"/>
          <w:szCs w:val="20"/>
        </w:rPr>
        <w:t>Medizen</w:t>
      </w:r>
      <w:proofErr w:type="spellEnd"/>
      <w:r w:rsidRPr="00753661">
        <w:rPr>
          <w:rFonts w:ascii="Arial" w:hAnsi="Arial" w:cs="Arial"/>
          <w:sz w:val="20"/>
          <w:szCs w:val="20"/>
        </w:rPr>
        <w:t xml:space="preserve">. 69(12):1340-1344. doi:10.1007/s001040050581 </w:t>
      </w:r>
    </w:p>
    <w:p w14:paraId="33386E77" w14:textId="22F7746A" w:rsidR="00753661" w:rsidRPr="00753661" w:rsidRDefault="00753661" w:rsidP="00753661">
      <w:pPr>
        <w:pStyle w:val="ListParagraph"/>
        <w:numPr>
          <w:ilvl w:val="0"/>
          <w:numId w:val="15"/>
        </w:numPr>
        <w:rPr>
          <w:rFonts w:ascii="Arial" w:hAnsi="Arial" w:cs="Arial"/>
          <w:sz w:val="20"/>
          <w:szCs w:val="20"/>
        </w:rPr>
      </w:pPr>
      <w:proofErr w:type="spellStart"/>
      <w:r w:rsidRPr="00753661">
        <w:rPr>
          <w:rFonts w:ascii="Arial" w:hAnsi="Arial" w:cs="Arial"/>
          <w:sz w:val="20"/>
          <w:szCs w:val="20"/>
        </w:rPr>
        <w:t>Picchio</w:t>
      </w:r>
      <w:proofErr w:type="spellEnd"/>
      <w:r w:rsidRPr="00753661">
        <w:rPr>
          <w:rFonts w:ascii="Arial" w:hAnsi="Arial" w:cs="Arial"/>
          <w:sz w:val="20"/>
          <w:szCs w:val="20"/>
        </w:rPr>
        <w:t xml:space="preserve"> M, Lombardi A, </w:t>
      </w:r>
      <w:proofErr w:type="spellStart"/>
      <w:r w:rsidRPr="00753661">
        <w:rPr>
          <w:rFonts w:ascii="Arial" w:hAnsi="Arial" w:cs="Arial"/>
          <w:sz w:val="20"/>
          <w:szCs w:val="20"/>
        </w:rPr>
        <w:t>Zolovkins</w:t>
      </w:r>
      <w:proofErr w:type="spellEnd"/>
      <w:r w:rsidRPr="00753661">
        <w:rPr>
          <w:rFonts w:ascii="Arial" w:hAnsi="Arial" w:cs="Arial"/>
          <w:sz w:val="20"/>
          <w:szCs w:val="20"/>
        </w:rPr>
        <w:t xml:space="preserve"> A, </w:t>
      </w:r>
      <w:proofErr w:type="spellStart"/>
      <w:r w:rsidRPr="00753661">
        <w:rPr>
          <w:rFonts w:ascii="Arial" w:hAnsi="Arial" w:cs="Arial"/>
          <w:sz w:val="20"/>
          <w:szCs w:val="20"/>
        </w:rPr>
        <w:t>Mihelsons</w:t>
      </w:r>
      <w:proofErr w:type="spellEnd"/>
      <w:r w:rsidRPr="00753661">
        <w:rPr>
          <w:rFonts w:ascii="Arial" w:hAnsi="Arial" w:cs="Arial"/>
          <w:sz w:val="20"/>
          <w:szCs w:val="20"/>
        </w:rPr>
        <w:t xml:space="preserve"> M, La Torre G (1999) Tension-free laparoscopic and open hernia repair: randomized controlled trial of early results. World J Surg. 23(10):1004-1007; discussion 1008-1009. doi:10.1007/s002689900615 </w:t>
      </w:r>
    </w:p>
    <w:p w14:paraId="16F2878D" w14:textId="6AFB61E5"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Bringman S, Ramel S, Heikkinen TJ, Englund T, Westman B, Anderberg B (2003) Tension-Free Inguinal Hernia Repair: TEP Versus Mesh-Plug Versus Lichtenstein. Ann Surg. 237(1):142-147. </w:t>
      </w:r>
    </w:p>
    <w:p w14:paraId="7146E82A" w14:textId="157E16DB"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Colak T, </w:t>
      </w:r>
      <w:proofErr w:type="spellStart"/>
      <w:r w:rsidRPr="00753661">
        <w:rPr>
          <w:rFonts w:ascii="Arial" w:hAnsi="Arial" w:cs="Arial"/>
          <w:sz w:val="20"/>
          <w:szCs w:val="20"/>
        </w:rPr>
        <w:t>Akca</w:t>
      </w:r>
      <w:proofErr w:type="spellEnd"/>
      <w:r w:rsidRPr="00753661">
        <w:rPr>
          <w:rFonts w:ascii="Arial" w:hAnsi="Arial" w:cs="Arial"/>
          <w:sz w:val="20"/>
          <w:szCs w:val="20"/>
        </w:rPr>
        <w:t xml:space="preserve"> T, Kanik A, Aydin S (2003) Randomized clinical trial comparing laparoscopic totally extraperitoneal approach with open mesh repair in inguinal hernia. Surg </w:t>
      </w:r>
      <w:proofErr w:type="spellStart"/>
      <w:r w:rsidRPr="00753661">
        <w:rPr>
          <w:rFonts w:ascii="Arial" w:hAnsi="Arial" w:cs="Arial"/>
          <w:sz w:val="20"/>
          <w:szCs w:val="20"/>
        </w:rPr>
        <w:t>Laparosc</w:t>
      </w:r>
      <w:proofErr w:type="spellEnd"/>
      <w:r w:rsidRPr="00753661">
        <w:rPr>
          <w:rFonts w:ascii="Arial" w:hAnsi="Arial" w:cs="Arial"/>
          <w:sz w:val="20"/>
          <w:szCs w:val="20"/>
        </w:rPr>
        <w:t xml:space="preserve">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w:t>
      </w:r>
      <w:proofErr w:type="spellStart"/>
      <w:r w:rsidRPr="00753661">
        <w:rPr>
          <w:rFonts w:ascii="Arial" w:hAnsi="Arial" w:cs="Arial"/>
          <w:sz w:val="20"/>
          <w:szCs w:val="20"/>
        </w:rPr>
        <w:t>Percutan</w:t>
      </w:r>
      <w:proofErr w:type="spellEnd"/>
      <w:r w:rsidRPr="00753661">
        <w:rPr>
          <w:rFonts w:ascii="Arial" w:hAnsi="Arial" w:cs="Arial"/>
          <w:sz w:val="20"/>
          <w:szCs w:val="20"/>
        </w:rPr>
        <w:t xml:space="preserve"> Tech. 13(3):191-195. doi:10.1097/00129689-200306000-00010 </w:t>
      </w:r>
    </w:p>
    <w:p w14:paraId="48457916" w14:textId="12A13D6E"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Gokalp A, Inal M, </w:t>
      </w:r>
      <w:proofErr w:type="spellStart"/>
      <w:r w:rsidRPr="00753661">
        <w:rPr>
          <w:rFonts w:ascii="Arial" w:hAnsi="Arial" w:cs="Arial"/>
          <w:sz w:val="20"/>
          <w:szCs w:val="20"/>
        </w:rPr>
        <w:t>Maralcan</w:t>
      </w:r>
      <w:proofErr w:type="spellEnd"/>
      <w:r w:rsidRPr="00753661">
        <w:rPr>
          <w:rFonts w:ascii="Arial" w:hAnsi="Arial" w:cs="Arial"/>
          <w:sz w:val="20"/>
          <w:szCs w:val="20"/>
        </w:rPr>
        <w:t xml:space="preserve"> G, </w:t>
      </w:r>
      <w:proofErr w:type="spellStart"/>
      <w:r w:rsidRPr="00753661">
        <w:rPr>
          <w:rFonts w:ascii="Arial" w:hAnsi="Arial" w:cs="Arial"/>
          <w:sz w:val="20"/>
          <w:szCs w:val="20"/>
        </w:rPr>
        <w:t>Baskonus</w:t>
      </w:r>
      <w:proofErr w:type="spellEnd"/>
      <w:r w:rsidRPr="00753661">
        <w:rPr>
          <w:rFonts w:ascii="Arial" w:hAnsi="Arial" w:cs="Arial"/>
          <w:sz w:val="20"/>
          <w:szCs w:val="20"/>
        </w:rPr>
        <w:t xml:space="preserve"> I (2003) A prospective randomized study of Lichtenstein open tension-free versus laparoscopic totally extraperitoneal techniques for inguinal hernia repair. Acta Chir Belg. 103(5):502-506. doi:10.1080/00015458.2003.11679476 </w:t>
      </w:r>
    </w:p>
    <w:p w14:paraId="2C431523" w14:textId="0B782A5D"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Lal P, Kajla RK, Chander J, Saha R, Ramteke VK (2003) Randomized controlled study of laparoscopic total extraperitoneal versus open Lichtenstein inguinal hernia repair. Surg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17(6):850-856. doi:10.1007/s00464-002-8575-6 </w:t>
      </w:r>
    </w:p>
    <w:p w14:paraId="248EB8E2" w14:textId="4DD4A475" w:rsidR="00753661" w:rsidRPr="00753661" w:rsidRDefault="00753661" w:rsidP="00753661">
      <w:pPr>
        <w:pStyle w:val="ListParagraph"/>
        <w:numPr>
          <w:ilvl w:val="0"/>
          <w:numId w:val="15"/>
        </w:numPr>
        <w:rPr>
          <w:rFonts w:ascii="Arial" w:hAnsi="Arial" w:cs="Arial"/>
          <w:sz w:val="20"/>
          <w:szCs w:val="20"/>
        </w:rPr>
      </w:pPr>
      <w:proofErr w:type="spellStart"/>
      <w:r w:rsidRPr="00753661">
        <w:rPr>
          <w:rFonts w:ascii="Arial" w:hAnsi="Arial" w:cs="Arial"/>
          <w:sz w:val="20"/>
          <w:szCs w:val="20"/>
        </w:rPr>
        <w:t>Anadol</w:t>
      </w:r>
      <w:proofErr w:type="spellEnd"/>
      <w:r w:rsidRPr="00753661">
        <w:rPr>
          <w:rFonts w:ascii="Arial" w:hAnsi="Arial" w:cs="Arial"/>
          <w:sz w:val="20"/>
          <w:szCs w:val="20"/>
        </w:rPr>
        <w:t xml:space="preserve"> ZA, Ersoy E, </w:t>
      </w:r>
      <w:proofErr w:type="spellStart"/>
      <w:r w:rsidRPr="00753661">
        <w:rPr>
          <w:rFonts w:ascii="Arial" w:hAnsi="Arial" w:cs="Arial"/>
          <w:sz w:val="20"/>
          <w:szCs w:val="20"/>
        </w:rPr>
        <w:t>Taneri</w:t>
      </w:r>
      <w:proofErr w:type="spellEnd"/>
      <w:r w:rsidRPr="00753661">
        <w:rPr>
          <w:rFonts w:ascii="Arial" w:hAnsi="Arial" w:cs="Arial"/>
          <w:sz w:val="20"/>
          <w:szCs w:val="20"/>
        </w:rPr>
        <w:t xml:space="preserve"> F, Tekin E (2004) Outcome and cost comparison of laparoscopic transabdominal preperitoneal hernia repair versus Open Lichtenstein technique. J Laparoendosc Adv Surg Tech A. 14(3):159-163. doi:10.1089/1092642041255414 </w:t>
      </w:r>
    </w:p>
    <w:p w14:paraId="12576F6D" w14:textId="58162016"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Neumayer L, </w:t>
      </w:r>
      <w:proofErr w:type="spellStart"/>
      <w:r w:rsidRPr="00753661">
        <w:rPr>
          <w:rFonts w:ascii="Arial" w:hAnsi="Arial" w:cs="Arial"/>
          <w:sz w:val="20"/>
          <w:szCs w:val="20"/>
        </w:rPr>
        <w:t>Giobbie</w:t>
      </w:r>
      <w:proofErr w:type="spellEnd"/>
      <w:r w:rsidRPr="00753661">
        <w:rPr>
          <w:rFonts w:ascii="Arial" w:hAnsi="Arial" w:cs="Arial"/>
          <w:sz w:val="20"/>
          <w:szCs w:val="20"/>
        </w:rPr>
        <w:t xml:space="preserve">-Hurder A, Jonasson O, et al (2004) Open mesh versus laparoscopic mesh repair of inguinal hernia. N Engl J Med. 350(18):1819-1827. doi:10.1056/NEJMoa040093 </w:t>
      </w:r>
    </w:p>
    <w:p w14:paraId="3F5A5A5A" w14:textId="2D412B1A" w:rsidR="00753661" w:rsidRPr="00753661" w:rsidRDefault="00753661" w:rsidP="00753661">
      <w:pPr>
        <w:pStyle w:val="ListParagraph"/>
        <w:numPr>
          <w:ilvl w:val="0"/>
          <w:numId w:val="15"/>
        </w:numPr>
        <w:rPr>
          <w:rFonts w:ascii="Arial" w:hAnsi="Arial" w:cs="Arial"/>
          <w:sz w:val="20"/>
          <w:szCs w:val="20"/>
        </w:rPr>
      </w:pPr>
      <w:proofErr w:type="spellStart"/>
      <w:r w:rsidRPr="00753661">
        <w:rPr>
          <w:rFonts w:ascii="Arial" w:hAnsi="Arial" w:cs="Arial"/>
          <w:sz w:val="20"/>
          <w:szCs w:val="20"/>
        </w:rPr>
        <w:t>Dedemadi</w:t>
      </w:r>
      <w:proofErr w:type="spellEnd"/>
      <w:r w:rsidRPr="00753661">
        <w:rPr>
          <w:rFonts w:ascii="Arial" w:hAnsi="Arial" w:cs="Arial"/>
          <w:sz w:val="20"/>
          <w:szCs w:val="20"/>
        </w:rPr>
        <w:t xml:space="preserve"> G, </w:t>
      </w:r>
      <w:proofErr w:type="spellStart"/>
      <w:r w:rsidRPr="00753661">
        <w:rPr>
          <w:rFonts w:ascii="Arial" w:hAnsi="Arial" w:cs="Arial"/>
          <w:sz w:val="20"/>
          <w:szCs w:val="20"/>
        </w:rPr>
        <w:t>Sgourakis</w:t>
      </w:r>
      <w:proofErr w:type="spellEnd"/>
      <w:r w:rsidRPr="00753661">
        <w:rPr>
          <w:rFonts w:ascii="Arial" w:hAnsi="Arial" w:cs="Arial"/>
          <w:sz w:val="20"/>
          <w:szCs w:val="20"/>
        </w:rPr>
        <w:t xml:space="preserve"> G, </w:t>
      </w:r>
      <w:proofErr w:type="spellStart"/>
      <w:r w:rsidRPr="00753661">
        <w:rPr>
          <w:rFonts w:ascii="Arial" w:hAnsi="Arial" w:cs="Arial"/>
          <w:sz w:val="20"/>
          <w:szCs w:val="20"/>
        </w:rPr>
        <w:t>Karaliotas</w:t>
      </w:r>
      <w:proofErr w:type="spellEnd"/>
      <w:r w:rsidRPr="00753661">
        <w:rPr>
          <w:rFonts w:ascii="Arial" w:hAnsi="Arial" w:cs="Arial"/>
          <w:sz w:val="20"/>
          <w:szCs w:val="20"/>
        </w:rPr>
        <w:t xml:space="preserve"> C, </w:t>
      </w:r>
      <w:proofErr w:type="spellStart"/>
      <w:r w:rsidRPr="00753661">
        <w:rPr>
          <w:rFonts w:ascii="Arial" w:hAnsi="Arial" w:cs="Arial"/>
          <w:sz w:val="20"/>
          <w:szCs w:val="20"/>
        </w:rPr>
        <w:t>Christofides</w:t>
      </w:r>
      <w:proofErr w:type="spellEnd"/>
      <w:r w:rsidRPr="00753661">
        <w:rPr>
          <w:rFonts w:ascii="Arial" w:hAnsi="Arial" w:cs="Arial"/>
          <w:sz w:val="20"/>
          <w:szCs w:val="20"/>
        </w:rPr>
        <w:t xml:space="preserve"> T, </w:t>
      </w:r>
      <w:proofErr w:type="spellStart"/>
      <w:r w:rsidRPr="00753661">
        <w:rPr>
          <w:rFonts w:ascii="Arial" w:hAnsi="Arial" w:cs="Arial"/>
          <w:sz w:val="20"/>
          <w:szCs w:val="20"/>
        </w:rPr>
        <w:t>Kouraklis</w:t>
      </w:r>
      <w:proofErr w:type="spellEnd"/>
      <w:r w:rsidRPr="00753661">
        <w:rPr>
          <w:rFonts w:ascii="Arial" w:hAnsi="Arial" w:cs="Arial"/>
          <w:sz w:val="20"/>
          <w:szCs w:val="20"/>
        </w:rPr>
        <w:t xml:space="preserve"> G, </w:t>
      </w:r>
      <w:proofErr w:type="spellStart"/>
      <w:r w:rsidRPr="00753661">
        <w:rPr>
          <w:rFonts w:ascii="Arial" w:hAnsi="Arial" w:cs="Arial"/>
          <w:sz w:val="20"/>
          <w:szCs w:val="20"/>
        </w:rPr>
        <w:t>Karaliotas</w:t>
      </w:r>
      <w:proofErr w:type="spellEnd"/>
      <w:r w:rsidRPr="00753661">
        <w:rPr>
          <w:rFonts w:ascii="Arial" w:hAnsi="Arial" w:cs="Arial"/>
          <w:sz w:val="20"/>
          <w:szCs w:val="20"/>
        </w:rPr>
        <w:t xml:space="preserve"> C (2006) Comparison of laparoscopic and open tension-free repair of recurrent inguinal hernias: a prospective randomized study. Surg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20(7):1099-1104. doi:10.1007/s00464-005-0621-8 </w:t>
      </w:r>
    </w:p>
    <w:p w14:paraId="0848F98D" w14:textId="141D95C8"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Butler RE, Burke R, Schneider JJ, Brar H, Lucha PA (2007) The economic impact of laparoscopic inguinal hernia repair: results of a double-blinded, prospective, randomized trial. Surg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21(3):387-390. doi:10.1007/s00464-006-9123-6 </w:t>
      </w:r>
    </w:p>
    <w:p w14:paraId="729A5B4E" w14:textId="1D261D05"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Butters M, </w:t>
      </w:r>
      <w:proofErr w:type="spellStart"/>
      <w:r w:rsidRPr="00753661">
        <w:rPr>
          <w:rFonts w:ascii="Arial" w:hAnsi="Arial" w:cs="Arial"/>
          <w:sz w:val="20"/>
          <w:szCs w:val="20"/>
        </w:rPr>
        <w:t>Redecke</w:t>
      </w:r>
      <w:proofErr w:type="spellEnd"/>
      <w:r w:rsidRPr="00753661">
        <w:rPr>
          <w:rFonts w:ascii="Arial" w:hAnsi="Arial" w:cs="Arial"/>
          <w:sz w:val="20"/>
          <w:szCs w:val="20"/>
        </w:rPr>
        <w:t xml:space="preserve"> J, </w:t>
      </w:r>
      <w:proofErr w:type="spellStart"/>
      <w:r w:rsidRPr="00753661">
        <w:rPr>
          <w:rFonts w:ascii="Arial" w:hAnsi="Arial" w:cs="Arial"/>
          <w:sz w:val="20"/>
          <w:szCs w:val="20"/>
        </w:rPr>
        <w:t>Köninger</w:t>
      </w:r>
      <w:proofErr w:type="spellEnd"/>
      <w:r w:rsidRPr="00753661">
        <w:rPr>
          <w:rFonts w:ascii="Arial" w:hAnsi="Arial" w:cs="Arial"/>
          <w:sz w:val="20"/>
          <w:szCs w:val="20"/>
        </w:rPr>
        <w:t xml:space="preserve"> J (2007) Long-term results of a randomized clinical trial of Shouldice, Lichtenstein and transabdominal preperitoneal hernia repairs. Br J Surg. 94(5):562-565. doi:10.1002/bjs.5733 </w:t>
      </w:r>
    </w:p>
    <w:p w14:paraId="26ADAB4F" w14:textId="7B193C71"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Günal O, Ozer S, </w:t>
      </w:r>
      <w:proofErr w:type="spellStart"/>
      <w:r w:rsidRPr="00753661">
        <w:rPr>
          <w:rFonts w:ascii="Arial" w:hAnsi="Arial" w:cs="Arial"/>
          <w:sz w:val="20"/>
          <w:szCs w:val="20"/>
        </w:rPr>
        <w:t>Gürleyik</w:t>
      </w:r>
      <w:proofErr w:type="spellEnd"/>
      <w:r w:rsidRPr="00753661">
        <w:rPr>
          <w:rFonts w:ascii="Arial" w:hAnsi="Arial" w:cs="Arial"/>
          <w:sz w:val="20"/>
          <w:szCs w:val="20"/>
        </w:rPr>
        <w:t xml:space="preserve"> E, </w:t>
      </w:r>
      <w:proofErr w:type="spellStart"/>
      <w:r w:rsidRPr="00753661">
        <w:rPr>
          <w:rFonts w:ascii="Arial" w:hAnsi="Arial" w:cs="Arial"/>
          <w:sz w:val="20"/>
          <w:szCs w:val="20"/>
        </w:rPr>
        <w:t>Bahçebaşi</w:t>
      </w:r>
      <w:proofErr w:type="spellEnd"/>
      <w:r w:rsidRPr="00753661">
        <w:rPr>
          <w:rFonts w:ascii="Arial" w:hAnsi="Arial" w:cs="Arial"/>
          <w:sz w:val="20"/>
          <w:szCs w:val="20"/>
        </w:rPr>
        <w:t xml:space="preserve"> T (2007) Does the approach to the groin make a difference in hernia repair? Hernia J Hernias Abdom Wall Surg. 11(5):429-434. doi:10.1007/s10029-007-0252-1 </w:t>
      </w:r>
    </w:p>
    <w:p w14:paraId="6F91C5CC" w14:textId="78674EBE"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Hallén M, </w:t>
      </w:r>
      <w:proofErr w:type="spellStart"/>
      <w:r w:rsidRPr="00753661">
        <w:rPr>
          <w:rFonts w:ascii="Arial" w:hAnsi="Arial" w:cs="Arial"/>
          <w:sz w:val="20"/>
          <w:szCs w:val="20"/>
        </w:rPr>
        <w:t>Bergenfelz</w:t>
      </w:r>
      <w:proofErr w:type="spellEnd"/>
      <w:r w:rsidRPr="00753661">
        <w:rPr>
          <w:rFonts w:ascii="Arial" w:hAnsi="Arial" w:cs="Arial"/>
          <w:sz w:val="20"/>
          <w:szCs w:val="20"/>
        </w:rPr>
        <w:t xml:space="preserve"> A, Westerdahl J (2008) Laparoscopic extraperitoneal inguinal hernia repair versus open mesh repair: long-term follow-up of a randomized controlled trial. Surgery. 143(3):313-317. doi:10.1016/j.surg.2007.09.028 </w:t>
      </w:r>
    </w:p>
    <w:p w14:paraId="465E039E" w14:textId="6C4C9940"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Pokorny H, Klingler A, Schmid T, et al (2008) Recurrence and complications after laparoscopic versus open inguinal hernia repair: results of a prospective randomized multicenter trial. Hernia J Hernias Abdom Wall Surg. 12(4):385-389. doi:10.1007/s10029-008-0357-1 </w:t>
      </w:r>
    </w:p>
    <w:p w14:paraId="1FBD9C71" w14:textId="762EABE0"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Eklund AS, Montgomery AK, Rasmussen IC, </w:t>
      </w:r>
      <w:proofErr w:type="spellStart"/>
      <w:r w:rsidRPr="00753661">
        <w:rPr>
          <w:rFonts w:ascii="Arial" w:hAnsi="Arial" w:cs="Arial"/>
          <w:sz w:val="20"/>
          <w:szCs w:val="20"/>
        </w:rPr>
        <w:t>Sandbue</w:t>
      </w:r>
      <w:proofErr w:type="spellEnd"/>
      <w:r w:rsidRPr="00753661">
        <w:rPr>
          <w:rFonts w:ascii="Arial" w:hAnsi="Arial" w:cs="Arial"/>
          <w:sz w:val="20"/>
          <w:szCs w:val="20"/>
        </w:rPr>
        <w:t xml:space="preserve"> RP, Bergkvist LA, Rudberg CR (2009) Low recurrence rate after laparoscopic (TEP) and open (Lichtenstein) inguinal hernia repair: a </w:t>
      </w:r>
      <w:r w:rsidRPr="00753661">
        <w:rPr>
          <w:rFonts w:ascii="Arial" w:hAnsi="Arial" w:cs="Arial"/>
          <w:sz w:val="20"/>
          <w:szCs w:val="20"/>
        </w:rPr>
        <w:lastRenderedPageBreak/>
        <w:t xml:space="preserve">randomized, multicenter trial with 5-year follow-up. Ann Surg. 249(1):33-38. doi:10.1097/SLA.0b013e31819255d0 </w:t>
      </w:r>
    </w:p>
    <w:p w14:paraId="48275EF0" w14:textId="3FB5CFBF"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Hamza Y, Gabr E, Hammadi H, Khalil R (2010) Four-arm randomized trial comparing laparoscopic and open hernia repairs. Int J Surg Lond Engl. 8(1):25-28. doi:10.1016/j.ijsu.2009.09.010 </w:t>
      </w:r>
    </w:p>
    <w:p w14:paraId="2971E665" w14:textId="30426F2B"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Langeveld HR, </w:t>
      </w:r>
      <w:proofErr w:type="spellStart"/>
      <w:r w:rsidRPr="00753661">
        <w:rPr>
          <w:rFonts w:ascii="Arial" w:hAnsi="Arial" w:cs="Arial"/>
          <w:sz w:val="20"/>
          <w:szCs w:val="20"/>
        </w:rPr>
        <w:t>van't</w:t>
      </w:r>
      <w:proofErr w:type="spellEnd"/>
      <w:r w:rsidRPr="00753661">
        <w:rPr>
          <w:rFonts w:ascii="Arial" w:hAnsi="Arial" w:cs="Arial"/>
          <w:sz w:val="20"/>
          <w:szCs w:val="20"/>
        </w:rPr>
        <w:t xml:space="preserve"> Riet M, Weidema WF, et al (2010) Total extraperitoneal inguinal hernia repair compared with Lichtenstein (the LEVEL-Trial): a randomized controlled trial. Ann Surg. 251(5):819-824. doi:10.1097/SLA.0b013e3181d96c32 </w:t>
      </w:r>
    </w:p>
    <w:p w14:paraId="11A075EE" w14:textId="0DD03018"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Abbas AE, Abd Ellatif ME, Noaman N, et al (2012) Patient-perspective quality of life after laparoscopic and open hernia repair: a controlled randomized trial. Surg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26(9):2465-2470. doi:10.1007/s00464-012-2212-9 </w:t>
      </w:r>
    </w:p>
    <w:p w14:paraId="53D8D8A4" w14:textId="7D7ACEC0"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Eker HH, Langeveld HR, </w:t>
      </w:r>
      <w:proofErr w:type="spellStart"/>
      <w:r w:rsidRPr="00753661">
        <w:rPr>
          <w:rFonts w:ascii="Arial" w:hAnsi="Arial" w:cs="Arial"/>
          <w:sz w:val="20"/>
          <w:szCs w:val="20"/>
        </w:rPr>
        <w:t>Klitsie</w:t>
      </w:r>
      <w:proofErr w:type="spellEnd"/>
      <w:r w:rsidRPr="00753661">
        <w:rPr>
          <w:rFonts w:ascii="Arial" w:hAnsi="Arial" w:cs="Arial"/>
          <w:sz w:val="20"/>
          <w:szCs w:val="20"/>
        </w:rPr>
        <w:t xml:space="preserve"> PJ, et al (2012) Randomized clinical trial of total extraperitoneal inguinal hernioplasty vs Lichtenstein repair: a long-term follow-up study. Arch Surg Chic Ill 1960. 147(3):256-260. doi:10.1001/archsurg.2011.2023 </w:t>
      </w:r>
    </w:p>
    <w:p w14:paraId="40FBF9B9" w14:textId="465BAE00" w:rsidR="00753661" w:rsidRPr="00753661" w:rsidRDefault="00753661" w:rsidP="00753661">
      <w:pPr>
        <w:pStyle w:val="ListParagraph"/>
        <w:numPr>
          <w:ilvl w:val="0"/>
          <w:numId w:val="15"/>
        </w:numPr>
        <w:rPr>
          <w:rFonts w:ascii="Arial" w:hAnsi="Arial" w:cs="Arial"/>
          <w:sz w:val="20"/>
          <w:szCs w:val="20"/>
        </w:rPr>
      </w:pPr>
      <w:proofErr w:type="spellStart"/>
      <w:r w:rsidRPr="00753661">
        <w:rPr>
          <w:rFonts w:ascii="Arial" w:hAnsi="Arial" w:cs="Arial"/>
          <w:sz w:val="20"/>
          <w:szCs w:val="20"/>
        </w:rPr>
        <w:t>Mesci</w:t>
      </w:r>
      <w:proofErr w:type="spellEnd"/>
      <w:r w:rsidRPr="00753661">
        <w:rPr>
          <w:rFonts w:ascii="Arial" w:hAnsi="Arial" w:cs="Arial"/>
          <w:sz w:val="20"/>
          <w:szCs w:val="20"/>
        </w:rPr>
        <w:t xml:space="preserve"> A, Korkmaz B, </w:t>
      </w:r>
      <w:proofErr w:type="spellStart"/>
      <w:r w:rsidRPr="00753661">
        <w:rPr>
          <w:rFonts w:ascii="Arial" w:hAnsi="Arial" w:cs="Arial"/>
          <w:sz w:val="20"/>
          <w:szCs w:val="20"/>
        </w:rPr>
        <w:t>Dinckan</w:t>
      </w:r>
      <w:proofErr w:type="spellEnd"/>
      <w:r w:rsidRPr="00753661">
        <w:rPr>
          <w:rFonts w:ascii="Arial" w:hAnsi="Arial" w:cs="Arial"/>
          <w:sz w:val="20"/>
          <w:szCs w:val="20"/>
        </w:rPr>
        <w:t xml:space="preserve"> A, Colak T, Balci N, </w:t>
      </w:r>
      <w:proofErr w:type="spellStart"/>
      <w:r w:rsidRPr="00753661">
        <w:rPr>
          <w:rFonts w:ascii="Arial" w:hAnsi="Arial" w:cs="Arial"/>
          <w:sz w:val="20"/>
          <w:szCs w:val="20"/>
        </w:rPr>
        <w:t>Ogunc</w:t>
      </w:r>
      <w:proofErr w:type="spellEnd"/>
      <w:r w:rsidRPr="00753661">
        <w:rPr>
          <w:rFonts w:ascii="Arial" w:hAnsi="Arial" w:cs="Arial"/>
          <w:sz w:val="20"/>
          <w:szCs w:val="20"/>
        </w:rPr>
        <w:t xml:space="preserve"> G (2012) Digital evaluation of the muscle functions of the lower extremities among inguinal hernia patients treated using three different surgical techniques: a prospective randomized study. Surg Today. 42(2):157-163. doi:10.1007/s00595-011-0017-4 </w:t>
      </w:r>
    </w:p>
    <w:p w14:paraId="1DA8087F" w14:textId="3C1B1A1B"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Dahlstrand U, Sandblom G, Ljungdahl M, Wollert S, Gunnarsson U (2013) TEP under general anesthesia is superior to Lichtenstein under local anesthesia in terms of pain 6 weeks after surgery: results from a randomized clinical trial. Surg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27(10):3632-3638. doi:10.1007/s00464-013-2936-1 </w:t>
      </w:r>
    </w:p>
    <w:p w14:paraId="525AC541" w14:textId="74B0B310"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Wang WJ, Chen JZ, Fang Q, Li JF, Jin PF, Li ZT (2013) Comparison of the effects of laparoscopic hernia repair and Lichtenstein tension-free hernia repair. J Laparoendosc Adv Surg Tech A. 23(4):301-305. doi:10.1089/lap.2012.0217 </w:t>
      </w:r>
    </w:p>
    <w:p w14:paraId="7F4E35A3" w14:textId="3A0A6AA1"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Dhankhar DS, Sharma N, Mishra T, Kaur N, Singh S, Gupta S (2014) Totally extraperitoneal repair under general anesthesia versus Lichtenstein repair under local anesthesia for unilateral inguinal hernia: a prospective randomized controlled trial. Surg </w:t>
      </w:r>
      <w:proofErr w:type="spellStart"/>
      <w:r w:rsidRPr="00753661">
        <w:rPr>
          <w:rFonts w:ascii="Arial" w:hAnsi="Arial" w:cs="Arial"/>
          <w:sz w:val="20"/>
          <w:szCs w:val="20"/>
        </w:rPr>
        <w:t>Endosc</w:t>
      </w:r>
      <w:proofErr w:type="spellEnd"/>
      <w:r w:rsidRPr="00753661">
        <w:rPr>
          <w:rFonts w:ascii="Arial" w:hAnsi="Arial" w:cs="Arial"/>
          <w:sz w:val="20"/>
          <w:szCs w:val="20"/>
        </w:rPr>
        <w:t xml:space="preserve">. 28(3):996-1002. doi:10.1007/s00464-013-3269-9 </w:t>
      </w:r>
    </w:p>
    <w:p w14:paraId="766CA50C" w14:textId="61F3356F"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Salma U, Ahmed I, Ishtiaq S (2015) A comparison of post operative pain and hospital stay between Lichtenstein's repair and Laparoscopic Transabdominal Preperitoneal (TAPP) repair of inguinal hernia: A randomized controlled trial. Pak J Med Sci. 31(5):1062-1066. doi:10.12669/pjms.315.4811 </w:t>
      </w:r>
    </w:p>
    <w:p w14:paraId="4104C0B5" w14:textId="55A90D50"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Westin L, Wollert S, Ljungdahl M, Sandblom G, Gunnarsson U, Dahlstrand U (2016) Less Pain 1 Year After Total Extra-peritoneal Repair Compared With Lichtenstein Using Local Anesthesia: Data From a Randomized Controlled Clinical Trial. Ann Surg. 263(2):240-243. doi:10.1097/SLA.0000000000001289 </w:t>
      </w:r>
    </w:p>
    <w:p w14:paraId="6E61C9A0" w14:textId="26914395"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Koju R, Koju RB, Malla B, </w:t>
      </w:r>
      <w:proofErr w:type="spellStart"/>
      <w:r w:rsidRPr="00753661">
        <w:rPr>
          <w:rFonts w:ascii="Arial" w:hAnsi="Arial" w:cs="Arial"/>
          <w:sz w:val="20"/>
          <w:szCs w:val="20"/>
        </w:rPr>
        <w:t>Dongol</w:t>
      </w:r>
      <w:proofErr w:type="spellEnd"/>
      <w:r w:rsidRPr="00753661">
        <w:rPr>
          <w:rFonts w:ascii="Arial" w:hAnsi="Arial" w:cs="Arial"/>
          <w:sz w:val="20"/>
          <w:szCs w:val="20"/>
        </w:rPr>
        <w:t xml:space="preserve"> Y, Thapa LB (2017) Transabdominal Pre-peritoneal Mesh Repair versus Lichtenstein's Hernioplasty. J Nepal Health Res </w:t>
      </w:r>
      <w:proofErr w:type="spellStart"/>
      <w:r w:rsidRPr="00753661">
        <w:rPr>
          <w:rFonts w:ascii="Arial" w:hAnsi="Arial" w:cs="Arial"/>
          <w:sz w:val="20"/>
          <w:szCs w:val="20"/>
        </w:rPr>
        <w:t>Counc</w:t>
      </w:r>
      <w:proofErr w:type="spellEnd"/>
      <w:r w:rsidRPr="00753661">
        <w:rPr>
          <w:rFonts w:ascii="Arial" w:hAnsi="Arial" w:cs="Arial"/>
          <w:sz w:val="20"/>
          <w:szCs w:val="20"/>
        </w:rPr>
        <w:t xml:space="preserve">. 15(2):135-140. doi:10.3126/jnhrc.v15i2.18202 </w:t>
      </w:r>
    </w:p>
    <w:p w14:paraId="3880F237" w14:textId="5A23CAA6"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Sawarkar P, Agrawal A, Zade R, </w:t>
      </w:r>
      <w:proofErr w:type="spellStart"/>
      <w:r w:rsidRPr="00753661">
        <w:rPr>
          <w:rFonts w:ascii="Arial" w:hAnsi="Arial" w:cs="Arial"/>
          <w:sz w:val="20"/>
          <w:szCs w:val="20"/>
        </w:rPr>
        <w:t>Mehera</w:t>
      </w:r>
      <w:proofErr w:type="spellEnd"/>
      <w:r w:rsidRPr="00753661">
        <w:rPr>
          <w:rFonts w:ascii="Arial" w:hAnsi="Arial" w:cs="Arial"/>
          <w:sz w:val="20"/>
          <w:szCs w:val="20"/>
        </w:rPr>
        <w:t xml:space="preserve"> B, Gupta D (2017) Lichtenstein Hernia Repair Versus Totally Extraperitoneal Hernia Repair: Randomized Control Study in Rural Area. J Mahatma Gandhi Inst Med Sci. 22(2):93. doi:10.4103/jmgims.jmgims_47_15 </w:t>
      </w:r>
    </w:p>
    <w:p w14:paraId="45D901D2" w14:textId="1E923C01"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Yen FV (2013) Laparoscopic total extraperitoneal approach versus open </w:t>
      </w:r>
      <w:proofErr w:type="spellStart"/>
      <w:r w:rsidRPr="00753661">
        <w:rPr>
          <w:rFonts w:ascii="Arial" w:hAnsi="Arial" w:cs="Arial"/>
          <w:sz w:val="20"/>
          <w:szCs w:val="20"/>
        </w:rPr>
        <w:t>lichtenstein</w:t>
      </w:r>
      <w:proofErr w:type="spellEnd"/>
      <w:r w:rsidRPr="00753661">
        <w:rPr>
          <w:rFonts w:ascii="Arial" w:hAnsi="Arial" w:cs="Arial"/>
          <w:sz w:val="20"/>
          <w:szCs w:val="20"/>
        </w:rPr>
        <w:t xml:space="preserve"> repair of primary unilateral uncomplicated inguinal hernia: a prospective </w:t>
      </w:r>
      <w:proofErr w:type="spellStart"/>
      <w:r w:rsidRPr="00753661">
        <w:rPr>
          <w:rFonts w:ascii="Arial" w:hAnsi="Arial" w:cs="Arial"/>
          <w:sz w:val="20"/>
          <w:szCs w:val="20"/>
        </w:rPr>
        <w:t>randomised</w:t>
      </w:r>
      <w:proofErr w:type="spellEnd"/>
      <w:r w:rsidRPr="00753661">
        <w:rPr>
          <w:rFonts w:ascii="Arial" w:hAnsi="Arial" w:cs="Arial"/>
          <w:sz w:val="20"/>
          <w:szCs w:val="20"/>
        </w:rPr>
        <w:t xml:space="preserve"> controlled trial in Hospital Selayang, </w:t>
      </w:r>
      <w:proofErr w:type="spellStart"/>
      <w:r w:rsidRPr="00753661">
        <w:rPr>
          <w:rFonts w:ascii="Arial" w:hAnsi="Arial" w:cs="Arial"/>
          <w:sz w:val="20"/>
          <w:szCs w:val="20"/>
        </w:rPr>
        <w:t>selangor</w:t>
      </w:r>
      <w:proofErr w:type="spellEnd"/>
      <w:r w:rsidRPr="00753661">
        <w:rPr>
          <w:rFonts w:ascii="Arial" w:hAnsi="Arial" w:cs="Arial"/>
          <w:sz w:val="20"/>
          <w:szCs w:val="20"/>
        </w:rPr>
        <w:t xml:space="preserve">. Accessed March 9, 2026. </w:t>
      </w:r>
      <w:hyperlink r:id="rId7" w:history="1">
        <w:r w:rsidRPr="00753661">
          <w:rPr>
            <w:rStyle w:val="Hyperlink"/>
            <w:rFonts w:ascii="Arial" w:hAnsi="Arial" w:cs="Arial"/>
            <w:sz w:val="20"/>
            <w:szCs w:val="20"/>
          </w:rPr>
          <w:t>https://erepo.usm.my/handle/123456789/19543</w:t>
        </w:r>
      </w:hyperlink>
      <w:r w:rsidRPr="00753661">
        <w:rPr>
          <w:rFonts w:ascii="Arial" w:hAnsi="Arial" w:cs="Arial"/>
          <w:sz w:val="20"/>
          <w:szCs w:val="20"/>
        </w:rPr>
        <w:t xml:space="preserve"> </w:t>
      </w:r>
    </w:p>
    <w:p w14:paraId="3127A6F6" w14:textId="7CB07D88" w:rsidR="00753661" w:rsidRPr="00753661" w:rsidRDefault="00753661" w:rsidP="00753661">
      <w:pPr>
        <w:pStyle w:val="ListParagraph"/>
        <w:numPr>
          <w:ilvl w:val="0"/>
          <w:numId w:val="15"/>
        </w:numPr>
        <w:rPr>
          <w:rFonts w:ascii="Arial" w:hAnsi="Arial" w:cs="Arial"/>
          <w:sz w:val="20"/>
          <w:szCs w:val="20"/>
        </w:rPr>
      </w:pPr>
      <w:proofErr w:type="spellStart"/>
      <w:r w:rsidRPr="00753661">
        <w:rPr>
          <w:rFonts w:ascii="Arial" w:hAnsi="Arial" w:cs="Arial"/>
          <w:sz w:val="20"/>
          <w:szCs w:val="20"/>
        </w:rPr>
        <w:t>Gutlic</w:t>
      </w:r>
      <w:proofErr w:type="spellEnd"/>
      <w:r w:rsidRPr="00753661">
        <w:rPr>
          <w:rFonts w:ascii="Arial" w:hAnsi="Arial" w:cs="Arial"/>
          <w:sz w:val="20"/>
          <w:szCs w:val="20"/>
        </w:rPr>
        <w:t xml:space="preserve"> N, </w:t>
      </w:r>
      <w:proofErr w:type="spellStart"/>
      <w:r w:rsidRPr="00753661">
        <w:rPr>
          <w:rFonts w:ascii="Arial" w:hAnsi="Arial" w:cs="Arial"/>
          <w:sz w:val="20"/>
          <w:szCs w:val="20"/>
        </w:rPr>
        <w:t>Gutlic</w:t>
      </w:r>
      <w:proofErr w:type="spellEnd"/>
      <w:r w:rsidRPr="00753661">
        <w:rPr>
          <w:rFonts w:ascii="Arial" w:hAnsi="Arial" w:cs="Arial"/>
          <w:sz w:val="20"/>
          <w:szCs w:val="20"/>
        </w:rPr>
        <w:t xml:space="preserve"> A, Petersson U, </w:t>
      </w:r>
      <w:proofErr w:type="spellStart"/>
      <w:r w:rsidRPr="00753661">
        <w:rPr>
          <w:rFonts w:ascii="Arial" w:hAnsi="Arial" w:cs="Arial"/>
          <w:sz w:val="20"/>
          <w:szCs w:val="20"/>
        </w:rPr>
        <w:t>Rogmark</w:t>
      </w:r>
      <w:proofErr w:type="spellEnd"/>
      <w:r w:rsidRPr="00753661">
        <w:rPr>
          <w:rFonts w:ascii="Arial" w:hAnsi="Arial" w:cs="Arial"/>
          <w:sz w:val="20"/>
          <w:szCs w:val="20"/>
        </w:rPr>
        <w:t xml:space="preserve"> P, Montgomery A (2019) Randomized clinical trial comparing total extraperitoneal with Lichtenstein inguinal hernia repair (TEPLICH trial). Br J Surg. 106(7):845-855. doi:10.1002/bjs.11230 </w:t>
      </w:r>
    </w:p>
    <w:p w14:paraId="593D04C1" w14:textId="728DF7AF"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Sevinç B, </w:t>
      </w:r>
      <w:proofErr w:type="spellStart"/>
      <w:r w:rsidRPr="00753661">
        <w:rPr>
          <w:rFonts w:ascii="Arial" w:hAnsi="Arial" w:cs="Arial"/>
          <w:sz w:val="20"/>
          <w:szCs w:val="20"/>
        </w:rPr>
        <w:t>Damburacı</w:t>
      </w:r>
      <w:proofErr w:type="spellEnd"/>
      <w:r w:rsidRPr="00753661">
        <w:rPr>
          <w:rFonts w:ascii="Arial" w:hAnsi="Arial" w:cs="Arial"/>
          <w:sz w:val="20"/>
          <w:szCs w:val="20"/>
        </w:rPr>
        <w:t xml:space="preserve"> N, Güner M, Karahan Ö (2019) Comparison of early and long term outcomes of open Lichtenstein repair and totally extraperitoneal herniorrhaphy for primary inguinal hernias. Turk J Med Sci. 49(1):38-41. doi:10.3906/sag-1803-94 </w:t>
      </w:r>
    </w:p>
    <w:p w14:paraId="14EC54B4" w14:textId="7E1FC9AB"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Matikainen M, </w:t>
      </w:r>
      <w:proofErr w:type="spellStart"/>
      <w:r w:rsidRPr="00753661">
        <w:rPr>
          <w:rFonts w:ascii="Arial" w:hAnsi="Arial" w:cs="Arial"/>
          <w:sz w:val="20"/>
          <w:szCs w:val="20"/>
        </w:rPr>
        <w:t>Vironen</w:t>
      </w:r>
      <w:proofErr w:type="spellEnd"/>
      <w:r w:rsidRPr="00753661">
        <w:rPr>
          <w:rFonts w:ascii="Arial" w:hAnsi="Arial" w:cs="Arial"/>
          <w:sz w:val="20"/>
          <w:szCs w:val="20"/>
        </w:rPr>
        <w:t xml:space="preserve"> JH, </w:t>
      </w:r>
      <w:proofErr w:type="spellStart"/>
      <w:r w:rsidRPr="00753661">
        <w:rPr>
          <w:rFonts w:ascii="Arial" w:hAnsi="Arial" w:cs="Arial"/>
          <w:sz w:val="20"/>
          <w:szCs w:val="20"/>
        </w:rPr>
        <w:t>Silvasti</w:t>
      </w:r>
      <w:proofErr w:type="spellEnd"/>
      <w:r w:rsidRPr="00753661">
        <w:rPr>
          <w:rFonts w:ascii="Arial" w:hAnsi="Arial" w:cs="Arial"/>
          <w:sz w:val="20"/>
          <w:szCs w:val="20"/>
        </w:rPr>
        <w:t xml:space="preserve"> S, et al (2021) A randomized clinical trial comparing early patient-reported pain after open anterior mesh repair versus totally extraperitoneal repair of inguinal hernia. Br J Surg. 108(12):1433-1437. doi:10.1093/</w:t>
      </w:r>
      <w:proofErr w:type="spellStart"/>
      <w:r w:rsidRPr="00753661">
        <w:rPr>
          <w:rFonts w:ascii="Arial" w:hAnsi="Arial" w:cs="Arial"/>
          <w:sz w:val="20"/>
          <w:szCs w:val="20"/>
        </w:rPr>
        <w:t>bjs</w:t>
      </w:r>
      <w:proofErr w:type="spellEnd"/>
      <w:r w:rsidRPr="00753661">
        <w:rPr>
          <w:rFonts w:ascii="Arial" w:hAnsi="Arial" w:cs="Arial"/>
          <w:sz w:val="20"/>
          <w:szCs w:val="20"/>
        </w:rPr>
        <w:t xml:space="preserve">/znab354 </w:t>
      </w:r>
    </w:p>
    <w:p w14:paraId="497A4925" w14:textId="6FE28EB1"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lastRenderedPageBreak/>
        <w:t xml:space="preserve">Shah MY, Raut P, Wilkinson TRV, Agrawal V (2022) Surgical outcomes of laparoscopic total extraperitoneal (TEP) inguinal hernia repair compared with Lichtenstein tension-free open mesh inguinal hernia repair: A prospective randomized study. Medicine (Baltimore). 101(26):e29746. doi:10.1097/MD.0000000000029746 </w:t>
      </w:r>
    </w:p>
    <w:p w14:paraId="7354DC6A" w14:textId="628BFDF1"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Sultan AAEA, Abo </w:t>
      </w:r>
      <w:proofErr w:type="spellStart"/>
      <w:r w:rsidRPr="00753661">
        <w:rPr>
          <w:rFonts w:ascii="Arial" w:hAnsi="Arial" w:cs="Arial"/>
          <w:sz w:val="20"/>
          <w:szCs w:val="20"/>
        </w:rPr>
        <w:t>Elazm</w:t>
      </w:r>
      <w:proofErr w:type="spellEnd"/>
      <w:r w:rsidRPr="00753661">
        <w:rPr>
          <w:rFonts w:ascii="Arial" w:hAnsi="Arial" w:cs="Arial"/>
          <w:sz w:val="20"/>
          <w:szCs w:val="20"/>
        </w:rPr>
        <w:t xml:space="preserve"> HA, Omran H (2022) Lichtenstein versus transabdominal preperitoneal (TAPP) inguinal hernia repair for unilateral non recurrent hernia: A multicenter short term randomized comparative study of clinical outcomes. Ann Med Surg. 76:103428. doi:10.1016/j.amsu.2022.103428 </w:t>
      </w:r>
    </w:p>
    <w:p w14:paraId="1998D5C2" w14:textId="7B8C0CAB"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Andersson B, Hallén M, Leveau P, </w:t>
      </w:r>
      <w:proofErr w:type="spellStart"/>
      <w:r w:rsidRPr="00753661">
        <w:rPr>
          <w:rFonts w:ascii="Arial" w:hAnsi="Arial" w:cs="Arial"/>
          <w:sz w:val="20"/>
          <w:szCs w:val="20"/>
        </w:rPr>
        <w:t>Bergenfelz</w:t>
      </w:r>
      <w:proofErr w:type="spellEnd"/>
      <w:r w:rsidRPr="00753661">
        <w:rPr>
          <w:rFonts w:ascii="Arial" w:hAnsi="Arial" w:cs="Arial"/>
          <w:sz w:val="20"/>
          <w:szCs w:val="20"/>
        </w:rPr>
        <w:t xml:space="preserve"> A, Westerdahl J (2003) Laparoscopic extraperitoneal inguinal hernia repair versus open mesh repair: a prospective randomized controlled trial. Surgery. 133(5):464-472. doi:10.1067/msy.2003.98 </w:t>
      </w:r>
    </w:p>
    <w:p w14:paraId="174D21B6" w14:textId="4F4FE5EE"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 xml:space="preserve">Sinha R, Yadav AS, Sharma Y, Chanda S, Sharma OK, Srivastava N (2023) Modified Open Anterior Preperitoneal Repair. JSLS J Soc </w:t>
      </w:r>
      <w:proofErr w:type="spellStart"/>
      <w:r w:rsidRPr="00753661">
        <w:rPr>
          <w:rFonts w:ascii="Arial" w:hAnsi="Arial" w:cs="Arial"/>
          <w:sz w:val="20"/>
          <w:szCs w:val="20"/>
        </w:rPr>
        <w:t>Laparosc</w:t>
      </w:r>
      <w:proofErr w:type="spellEnd"/>
      <w:r w:rsidRPr="00753661">
        <w:rPr>
          <w:rFonts w:ascii="Arial" w:hAnsi="Arial" w:cs="Arial"/>
          <w:sz w:val="20"/>
          <w:szCs w:val="20"/>
        </w:rPr>
        <w:t xml:space="preserve"> Robot Surg. 27(4):e2023.00044. doi:10.4293/JSLS.2023.00044 </w:t>
      </w:r>
    </w:p>
    <w:p w14:paraId="26882EF1" w14:textId="4BCED816" w:rsidR="00753661" w:rsidRPr="00753661" w:rsidRDefault="00753661" w:rsidP="00753661">
      <w:pPr>
        <w:pStyle w:val="ListParagraph"/>
        <w:numPr>
          <w:ilvl w:val="0"/>
          <w:numId w:val="15"/>
        </w:numPr>
        <w:rPr>
          <w:rFonts w:ascii="Arial" w:hAnsi="Arial" w:cs="Arial"/>
          <w:sz w:val="20"/>
          <w:szCs w:val="20"/>
        </w:rPr>
      </w:pPr>
      <w:r w:rsidRPr="00753661">
        <w:rPr>
          <w:rFonts w:ascii="Arial" w:hAnsi="Arial" w:cs="Arial"/>
          <w:sz w:val="20"/>
          <w:szCs w:val="20"/>
        </w:rPr>
        <w:t>Dumitrescu V, Serban D, Costea DO, et al (2023) Transabdominal Preperitoneal Versus Lichtenstein Procedure for Inguinal Hernia Repair in Adults: A Comparative Evaluation of the Early Postoperative Pain and Outcomes. Cureus. 15(7):e41886. doi:10.7759/cureus.41886</w:t>
      </w:r>
    </w:p>
    <w:p w14:paraId="6A18A512" w14:textId="77777777" w:rsidR="00753661" w:rsidRPr="00753661" w:rsidRDefault="00753661" w:rsidP="00753661">
      <w:pPr>
        <w:rPr>
          <w:rFonts w:ascii="Arial" w:hAnsi="Arial" w:cs="Arial"/>
          <w:b/>
          <w:bCs/>
          <w:sz w:val="20"/>
          <w:szCs w:val="20"/>
        </w:rPr>
      </w:pPr>
    </w:p>
    <w:p w14:paraId="7798AB26" w14:textId="77777777" w:rsidR="003F5BD1" w:rsidRPr="00753661" w:rsidRDefault="003F5BD1" w:rsidP="003F5BD1">
      <w:pPr>
        <w:rPr>
          <w:rFonts w:ascii="Arial" w:hAnsi="Arial" w:cs="Arial"/>
          <w:b/>
          <w:bCs/>
          <w:sz w:val="20"/>
          <w:szCs w:val="20"/>
        </w:rPr>
      </w:pPr>
    </w:p>
    <w:p w14:paraId="19A89C79" w14:textId="3FDE0D76" w:rsidR="003F5BD1" w:rsidRPr="00753661" w:rsidRDefault="003F5BD1" w:rsidP="003F5BD1">
      <w:pPr>
        <w:rPr>
          <w:rFonts w:ascii="Arial" w:hAnsi="Arial" w:cs="Arial"/>
          <w:b/>
          <w:bCs/>
          <w:sz w:val="20"/>
          <w:szCs w:val="20"/>
        </w:rPr>
        <w:sectPr w:rsidR="003F5BD1" w:rsidRPr="00753661" w:rsidSect="003F5BD1">
          <w:headerReference w:type="default" r:id="rId8"/>
          <w:footerReference w:type="default" r:id="rId9"/>
          <w:pgSz w:w="12240" w:h="15840"/>
          <w:pgMar w:top="1440" w:right="1440" w:bottom="1440" w:left="1440" w:header="720" w:footer="720" w:gutter="0"/>
          <w:cols w:space="720"/>
          <w:docGrid w:linePitch="360"/>
        </w:sectPr>
      </w:pPr>
    </w:p>
    <w:p w14:paraId="20AA0A4D" w14:textId="15D7DC2A" w:rsidR="0074735A" w:rsidRDefault="457B398F" w:rsidP="003F5BD1">
      <w:pPr>
        <w:rPr>
          <w:rFonts w:ascii="Arial" w:hAnsi="Arial" w:cs="Arial"/>
          <w:b/>
          <w:bCs/>
          <w:sz w:val="20"/>
          <w:szCs w:val="20"/>
        </w:rPr>
      </w:pPr>
      <w:r w:rsidRPr="457B398F">
        <w:rPr>
          <w:rFonts w:ascii="Arial" w:hAnsi="Arial" w:cs="Arial"/>
          <w:b/>
          <w:bCs/>
          <w:sz w:val="20"/>
          <w:szCs w:val="20"/>
        </w:rPr>
        <w:lastRenderedPageBreak/>
        <w:t xml:space="preserve">Figure </w:t>
      </w:r>
      <w:r w:rsidR="005D78AF">
        <w:rPr>
          <w:rFonts w:ascii="Arial" w:hAnsi="Arial" w:cs="Arial"/>
          <w:b/>
          <w:bCs/>
          <w:sz w:val="20"/>
          <w:szCs w:val="20"/>
        </w:rPr>
        <w:t>6</w:t>
      </w:r>
      <w:r w:rsidRPr="457B398F">
        <w:rPr>
          <w:rFonts w:ascii="Arial" w:hAnsi="Arial" w:cs="Arial"/>
          <w:b/>
          <w:bCs/>
          <w:sz w:val="20"/>
          <w:szCs w:val="20"/>
        </w:rPr>
        <w:t xml:space="preserve">: </w:t>
      </w:r>
      <w:r w:rsidR="004572F5" w:rsidRPr="457B398F">
        <w:rPr>
          <w:rFonts w:ascii="Arial" w:hAnsi="Arial" w:cs="Arial"/>
          <w:b/>
          <w:bCs/>
          <w:sz w:val="20"/>
          <w:szCs w:val="20"/>
        </w:rPr>
        <w:t xml:space="preserve">Cumulative </w:t>
      </w:r>
      <w:r w:rsidR="004572F5">
        <w:rPr>
          <w:rFonts w:ascii="Arial" w:hAnsi="Arial" w:cs="Arial"/>
          <w:b/>
          <w:bCs/>
          <w:sz w:val="20"/>
          <w:szCs w:val="20"/>
        </w:rPr>
        <w:t>Sensitivity Analysis</w:t>
      </w:r>
      <w:r w:rsidR="004572F5" w:rsidRPr="457B398F">
        <w:rPr>
          <w:rFonts w:ascii="Arial" w:hAnsi="Arial" w:cs="Arial"/>
          <w:b/>
          <w:bCs/>
          <w:sz w:val="20"/>
          <w:szCs w:val="20"/>
        </w:rPr>
        <w:t xml:space="preserve"> </w:t>
      </w:r>
      <w:r w:rsidRPr="457B398F">
        <w:rPr>
          <w:rFonts w:ascii="Arial" w:hAnsi="Arial" w:cs="Arial"/>
          <w:b/>
          <w:bCs/>
          <w:sz w:val="20"/>
          <w:szCs w:val="20"/>
        </w:rPr>
        <w:t>for Wound Infection after Minimally Invasive versus Open Surgery for Unilateral Elective Inguinal Hernia Repair</w:t>
      </w:r>
    </w:p>
    <w:p w14:paraId="7A998B3D" w14:textId="4184ACC0" w:rsidR="00256C5D" w:rsidRDefault="0021482D" w:rsidP="0074735A">
      <w:r>
        <w:rPr>
          <w:noProof/>
        </w:rPr>
        <w:drawing>
          <wp:inline distT="0" distB="0" distL="0" distR="0" wp14:anchorId="4BDB50BE" wp14:editId="78185825">
            <wp:extent cx="8229600" cy="4419600"/>
            <wp:effectExtent l="0" t="0" r="0" b="0"/>
            <wp:docPr id="20667646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64681" name=""/>
                    <pic:cNvPicPr/>
                  </pic:nvPicPr>
                  <pic:blipFill>
                    <a:blip r:embed="rId10">
                      <a:extLst>
                        <a:ext uri="{28A0092B-C50C-407E-A947-70E740481C1C}">
                          <a14:useLocalDpi xmlns:a14="http://schemas.microsoft.com/office/drawing/2010/main" val="0"/>
                        </a:ext>
                      </a:extLst>
                    </a:blip>
                    <a:stretch>
                      <a:fillRect/>
                    </a:stretch>
                  </pic:blipFill>
                  <pic:spPr>
                    <a:xfrm>
                      <a:off x="0" y="0"/>
                      <a:ext cx="8229600" cy="4419600"/>
                    </a:xfrm>
                    <a:prstGeom prst="rect">
                      <a:avLst/>
                    </a:prstGeom>
                  </pic:spPr>
                </pic:pic>
              </a:graphicData>
            </a:graphic>
          </wp:inline>
        </w:drawing>
      </w:r>
    </w:p>
    <w:p w14:paraId="49F3D883" w14:textId="01A98074" w:rsidR="457B398F" w:rsidRDefault="457B398F" w:rsidP="457B398F">
      <w:pPr>
        <w:spacing w:line="259" w:lineRule="auto"/>
        <w:rPr>
          <w:rFonts w:ascii="Arial" w:hAnsi="Arial" w:cs="Arial"/>
          <w:sz w:val="16"/>
          <w:szCs w:val="16"/>
        </w:rPr>
      </w:pPr>
      <w:r w:rsidRPr="457B398F">
        <w:rPr>
          <w:rFonts w:ascii="Arial" w:hAnsi="Arial" w:cs="Arial"/>
          <w:sz w:val="16"/>
          <w:szCs w:val="16"/>
        </w:rPr>
        <w:t>NOTES: RIR = robustness of inference to replacement. MIS = minimally invasive surgery. *An RIR cannot be calculated for an odds ratio of 0.</w:t>
      </w:r>
    </w:p>
    <w:p w14:paraId="169A728D" w14:textId="77777777" w:rsidR="0074735A" w:rsidRDefault="0074735A" w:rsidP="00CF683D">
      <w:pPr>
        <w:rPr>
          <w:rFonts w:ascii="Arial" w:hAnsi="Arial" w:cs="Arial"/>
          <w:sz w:val="20"/>
          <w:szCs w:val="20"/>
        </w:rPr>
      </w:pPr>
    </w:p>
    <w:p w14:paraId="6A4AB32D" w14:textId="77777777" w:rsidR="0021482D" w:rsidRDefault="0021482D" w:rsidP="0074735A">
      <w:pPr>
        <w:rPr>
          <w:rFonts w:ascii="Arial" w:hAnsi="Arial" w:cs="Arial"/>
          <w:b/>
          <w:bCs/>
          <w:sz w:val="20"/>
          <w:szCs w:val="20"/>
        </w:rPr>
        <w:sectPr w:rsidR="0021482D" w:rsidSect="00265490">
          <w:pgSz w:w="15840" w:h="12240" w:orient="landscape"/>
          <w:pgMar w:top="1440" w:right="1440" w:bottom="1440" w:left="1440" w:header="720" w:footer="720" w:gutter="0"/>
          <w:cols w:space="720"/>
          <w:docGrid w:linePitch="360"/>
        </w:sectPr>
      </w:pPr>
    </w:p>
    <w:p w14:paraId="1B3D51F0" w14:textId="6E09592B" w:rsidR="0074735A" w:rsidRDefault="457B398F" w:rsidP="0074735A">
      <w:pPr>
        <w:rPr>
          <w:rFonts w:ascii="Arial" w:hAnsi="Arial" w:cs="Arial"/>
          <w:b/>
          <w:bCs/>
          <w:sz w:val="20"/>
          <w:szCs w:val="20"/>
        </w:rPr>
      </w:pPr>
      <w:r w:rsidRPr="457B398F">
        <w:rPr>
          <w:rFonts w:ascii="Arial" w:hAnsi="Arial" w:cs="Arial"/>
          <w:b/>
          <w:bCs/>
          <w:sz w:val="20"/>
          <w:szCs w:val="20"/>
        </w:rPr>
        <w:lastRenderedPageBreak/>
        <w:t xml:space="preserve">Figure </w:t>
      </w:r>
      <w:r w:rsidR="005D78AF">
        <w:rPr>
          <w:rFonts w:ascii="Arial" w:hAnsi="Arial" w:cs="Arial"/>
          <w:b/>
          <w:bCs/>
          <w:sz w:val="20"/>
          <w:szCs w:val="20"/>
        </w:rPr>
        <w:t>7</w:t>
      </w:r>
      <w:r w:rsidRPr="457B398F">
        <w:rPr>
          <w:rFonts w:ascii="Arial" w:hAnsi="Arial" w:cs="Arial"/>
          <w:b/>
          <w:bCs/>
          <w:sz w:val="20"/>
          <w:szCs w:val="20"/>
        </w:rPr>
        <w:t xml:space="preserve">: </w:t>
      </w:r>
      <w:r w:rsidR="004572F5" w:rsidRPr="457B398F">
        <w:rPr>
          <w:rFonts w:ascii="Arial" w:hAnsi="Arial" w:cs="Arial"/>
          <w:b/>
          <w:bCs/>
          <w:sz w:val="20"/>
          <w:szCs w:val="20"/>
        </w:rPr>
        <w:t xml:space="preserve">Cumulative </w:t>
      </w:r>
      <w:r w:rsidR="004572F5">
        <w:rPr>
          <w:rFonts w:ascii="Arial" w:hAnsi="Arial" w:cs="Arial"/>
          <w:b/>
          <w:bCs/>
          <w:sz w:val="20"/>
          <w:szCs w:val="20"/>
        </w:rPr>
        <w:t>Sensitivity Analysis</w:t>
      </w:r>
      <w:r w:rsidR="004572F5" w:rsidRPr="457B398F">
        <w:rPr>
          <w:rFonts w:ascii="Arial" w:hAnsi="Arial" w:cs="Arial"/>
          <w:b/>
          <w:bCs/>
          <w:sz w:val="20"/>
          <w:szCs w:val="20"/>
        </w:rPr>
        <w:t xml:space="preserve"> </w:t>
      </w:r>
      <w:r w:rsidRPr="457B398F">
        <w:rPr>
          <w:rFonts w:ascii="Arial" w:hAnsi="Arial" w:cs="Arial"/>
          <w:b/>
          <w:bCs/>
          <w:sz w:val="20"/>
          <w:szCs w:val="20"/>
        </w:rPr>
        <w:t>for Hematoma/Seroma after Minimally Invasive versus Open Surgery for Unilateral Elective Inguinal Hernia Repair</w:t>
      </w:r>
    </w:p>
    <w:p w14:paraId="2BD2FC8C" w14:textId="250D0678" w:rsidR="00097A43" w:rsidRDefault="00097A43" w:rsidP="0074735A">
      <w:r>
        <w:rPr>
          <w:noProof/>
        </w:rPr>
        <w:drawing>
          <wp:inline distT="0" distB="0" distL="0" distR="0" wp14:anchorId="4B307542" wp14:editId="47939BDF">
            <wp:extent cx="7950200" cy="5235721"/>
            <wp:effectExtent l="0" t="0" r="0" b="0"/>
            <wp:docPr id="15280343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34355" name=""/>
                    <pic:cNvPicPr/>
                  </pic:nvPicPr>
                  <pic:blipFill>
                    <a:blip r:embed="rId11">
                      <a:extLst>
                        <a:ext uri="{28A0092B-C50C-407E-A947-70E740481C1C}">
                          <a14:useLocalDpi xmlns:a14="http://schemas.microsoft.com/office/drawing/2010/main"/>
                        </a:ext>
                      </a:extLst>
                    </a:blip>
                    <a:stretch>
                      <a:fillRect/>
                    </a:stretch>
                  </pic:blipFill>
                  <pic:spPr>
                    <a:xfrm>
                      <a:off x="0" y="0"/>
                      <a:ext cx="7977539" cy="5253726"/>
                    </a:xfrm>
                    <a:prstGeom prst="rect">
                      <a:avLst/>
                    </a:prstGeom>
                  </pic:spPr>
                </pic:pic>
              </a:graphicData>
            </a:graphic>
          </wp:inline>
        </w:drawing>
      </w:r>
    </w:p>
    <w:p w14:paraId="33B54FBB" w14:textId="38DFA311" w:rsidR="0074735A" w:rsidRDefault="415FC425" w:rsidP="457B398F">
      <w:pPr>
        <w:rPr>
          <w:rFonts w:ascii="Arial" w:hAnsi="Arial" w:cs="Arial"/>
          <w:b/>
          <w:bCs/>
        </w:rPr>
      </w:pPr>
      <w:r w:rsidRPr="415FC425">
        <w:rPr>
          <w:rFonts w:ascii="Arial" w:hAnsi="Arial" w:cs="Arial"/>
          <w:sz w:val="16"/>
          <w:szCs w:val="16"/>
        </w:rPr>
        <w:t>NOTES: RIR = robustness of inference to replacement. MIS = minimally invasive surgery.</w:t>
      </w:r>
    </w:p>
    <w:p w14:paraId="7DF9F8C6" w14:textId="01DF6744" w:rsidR="08C634CE" w:rsidRDefault="08C634CE">
      <w:r>
        <w:br w:type="page"/>
      </w:r>
    </w:p>
    <w:p w14:paraId="4C216DBE" w14:textId="05AFAE2E" w:rsidR="0074735A" w:rsidRDefault="457B398F" w:rsidP="0074735A">
      <w:pPr>
        <w:rPr>
          <w:rFonts w:ascii="Arial" w:hAnsi="Arial" w:cs="Arial"/>
          <w:b/>
          <w:bCs/>
          <w:sz w:val="20"/>
          <w:szCs w:val="20"/>
        </w:rPr>
      </w:pPr>
      <w:r w:rsidRPr="457B398F">
        <w:rPr>
          <w:rFonts w:ascii="Arial" w:hAnsi="Arial" w:cs="Arial"/>
          <w:b/>
          <w:bCs/>
          <w:sz w:val="20"/>
          <w:szCs w:val="20"/>
        </w:rPr>
        <w:lastRenderedPageBreak/>
        <w:t xml:space="preserve">Figure </w:t>
      </w:r>
      <w:r w:rsidR="005D78AF">
        <w:rPr>
          <w:rFonts w:ascii="Arial" w:hAnsi="Arial" w:cs="Arial"/>
          <w:b/>
          <w:bCs/>
          <w:sz w:val="20"/>
          <w:szCs w:val="20"/>
        </w:rPr>
        <w:t>8</w:t>
      </w:r>
      <w:r w:rsidRPr="457B398F">
        <w:rPr>
          <w:rFonts w:ascii="Arial" w:hAnsi="Arial" w:cs="Arial"/>
          <w:b/>
          <w:bCs/>
          <w:sz w:val="20"/>
          <w:szCs w:val="20"/>
        </w:rPr>
        <w:t xml:space="preserve">: </w:t>
      </w:r>
      <w:r w:rsidR="004572F5" w:rsidRPr="457B398F">
        <w:rPr>
          <w:rFonts w:ascii="Arial" w:hAnsi="Arial" w:cs="Arial"/>
          <w:b/>
          <w:bCs/>
          <w:sz w:val="20"/>
          <w:szCs w:val="20"/>
        </w:rPr>
        <w:t xml:space="preserve">Cumulative </w:t>
      </w:r>
      <w:r w:rsidR="004572F5">
        <w:rPr>
          <w:rFonts w:ascii="Arial" w:hAnsi="Arial" w:cs="Arial"/>
          <w:b/>
          <w:bCs/>
          <w:sz w:val="20"/>
          <w:szCs w:val="20"/>
        </w:rPr>
        <w:t>Sensitivity Analysis</w:t>
      </w:r>
      <w:r w:rsidR="004572F5" w:rsidRPr="457B398F">
        <w:rPr>
          <w:rFonts w:ascii="Arial" w:hAnsi="Arial" w:cs="Arial"/>
          <w:b/>
          <w:bCs/>
          <w:sz w:val="20"/>
          <w:szCs w:val="20"/>
        </w:rPr>
        <w:t xml:space="preserve"> </w:t>
      </w:r>
      <w:r w:rsidRPr="457B398F">
        <w:rPr>
          <w:rFonts w:ascii="Arial" w:hAnsi="Arial" w:cs="Arial"/>
          <w:b/>
          <w:bCs/>
          <w:sz w:val="20"/>
          <w:szCs w:val="20"/>
        </w:rPr>
        <w:t>for Urinary Retention after Minimally Invasive versus Open Surgery for Unilateral Elective Inguinal Hernia Repair</w:t>
      </w:r>
    </w:p>
    <w:p w14:paraId="50D5C3E9" w14:textId="3FE4B180" w:rsidR="008116F1" w:rsidRDefault="008116F1" w:rsidP="0074735A">
      <w:r>
        <w:rPr>
          <w:noProof/>
        </w:rPr>
        <w:drawing>
          <wp:inline distT="0" distB="0" distL="0" distR="0" wp14:anchorId="5C1FF053" wp14:editId="47654AC0">
            <wp:extent cx="8229600" cy="3476625"/>
            <wp:effectExtent l="0" t="0" r="0" b="0"/>
            <wp:docPr id="594813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13878" name=""/>
                    <pic:cNvPicPr/>
                  </pic:nvPicPr>
                  <pic:blipFill>
                    <a:blip r:embed="rId12">
                      <a:extLst>
                        <a:ext uri="{28A0092B-C50C-407E-A947-70E740481C1C}">
                          <a14:useLocalDpi xmlns:a14="http://schemas.microsoft.com/office/drawing/2010/main" val="0"/>
                        </a:ext>
                      </a:extLst>
                    </a:blip>
                    <a:stretch>
                      <a:fillRect/>
                    </a:stretch>
                  </pic:blipFill>
                  <pic:spPr>
                    <a:xfrm>
                      <a:off x="0" y="0"/>
                      <a:ext cx="8229600" cy="3476625"/>
                    </a:xfrm>
                    <a:prstGeom prst="rect">
                      <a:avLst/>
                    </a:prstGeom>
                  </pic:spPr>
                </pic:pic>
              </a:graphicData>
            </a:graphic>
          </wp:inline>
        </w:drawing>
      </w:r>
    </w:p>
    <w:p w14:paraId="256FD8F1" w14:textId="0C910C44" w:rsidR="0074735A" w:rsidRDefault="457B398F" w:rsidP="457B398F">
      <w:pPr>
        <w:rPr>
          <w:rFonts w:ascii="Arial" w:hAnsi="Arial" w:cs="Arial"/>
          <w:b/>
          <w:bCs/>
        </w:rPr>
      </w:pPr>
      <w:r w:rsidRPr="457B398F">
        <w:rPr>
          <w:rFonts w:ascii="Arial" w:hAnsi="Arial" w:cs="Arial"/>
          <w:sz w:val="16"/>
          <w:szCs w:val="16"/>
        </w:rPr>
        <w:t xml:space="preserve">NOTES: RIR = robustness of inference to replacement. MIS = minimally invasive surgery. *For the second set of replacements, the patients in the published study need to be replaced with patients who experienced the same probability of experiencing the outcome as the entire study population (versus </w:t>
      </w:r>
      <w:r w:rsidRPr="457B398F">
        <w:rPr>
          <w:rFonts w:ascii="Arial" w:hAnsi="Arial" w:cs="Arial"/>
          <w:i/>
          <w:iCs/>
          <w:sz w:val="16"/>
          <w:szCs w:val="16"/>
        </w:rPr>
        <w:t xml:space="preserve">not </w:t>
      </w:r>
      <w:r w:rsidRPr="457B398F">
        <w:rPr>
          <w:rFonts w:ascii="Arial" w:hAnsi="Arial" w:cs="Arial"/>
          <w:sz w:val="16"/>
          <w:szCs w:val="16"/>
        </w:rPr>
        <w:t>experiencing the outcome as was the case for the other replacements.)</w:t>
      </w:r>
    </w:p>
    <w:p w14:paraId="7453F1D0" w14:textId="77777777" w:rsidR="008116F1" w:rsidRDefault="008116F1" w:rsidP="0074735A">
      <w:pPr>
        <w:rPr>
          <w:rFonts w:ascii="Arial" w:hAnsi="Arial" w:cs="Arial"/>
          <w:b/>
          <w:bCs/>
          <w:sz w:val="20"/>
          <w:szCs w:val="20"/>
        </w:rPr>
        <w:sectPr w:rsidR="008116F1" w:rsidSect="00265490">
          <w:pgSz w:w="15840" w:h="12240" w:orient="landscape"/>
          <w:pgMar w:top="1440" w:right="1440" w:bottom="1440" w:left="1440" w:header="720" w:footer="720" w:gutter="0"/>
          <w:cols w:space="720"/>
          <w:docGrid w:linePitch="360"/>
        </w:sectPr>
      </w:pPr>
    </w:p>
    <w:p w14:paraId="7D6AAD67" w14:textId="57C006BE" w:rsidR="0074735A" w:rsidRDefault="457B398F" w:rsidP="0074735A">
      <w:pPr>
        <w:rPr>
          <w:rFonts w:ascii="Arial" w:hAnsi="Arial" w:cs="Arial"/>
          <w:b/>
          <w:bCs/>
          <w:sz w:val="20"/>
          <w:szCs w:val="20"/>
        </w:rPr>
      </w:pPr>
      <w:r w:rsidRPr="457B398F">
        <w:rPr>
          <w:rFonts w:ascii="Arial" w:hAnsi="Arial" w:cs="Arial"/>
          <w:b/>
          <w:bCs/>
          <w:sz w:val="20"/>
          <w:szCs w:val="20"/>
        </w:rPr>
        <w:lastRenderedPageBreak/>
        <w:t xml:space="preserve">Figure </w:t>
      </w:r>
      <w:r w:rsidR="005D78AF">
        <w:rPr>
          <w:rFonts w:ascii="Arial" w:hAnsi="Arial" w:cs="Arial"/>
          <w:b/>
          <w:bCs/>
          <w:sz w:val="20"/>
          <w:szCs w:val="20"/>
        </w:rPr>
        <w:t>9</w:t>
      </w:r>
      <w:r w:rsidRPr="457B398F">
        <w:rPr>
          <w:rFonts w:ascii="Arial" w:hAnsi="Arial" w:cs="Arial"/>
          <w:b/>
          <w:bCs/>
          <w:sz w:val="20"/>
          <w:szCs w:val="20"/>
        </w:rPr>
        <w:t xml:space="preserve">: </w:t>
      </w:r>
      <w:r w:rsidR="004572F5" w:rsidRPr="457B398F">
        <w:rPr>
          <w:rFonts w:ascii="Arial" w:hAnsi="Arial" w:cs="Arial"/>
          <w:b/>
          <w:bCs/>
          <w:sz w:val="20"/>
          <w:szCs w:val="20"/>
        </w:rPr>
        <w:t xml:space="preserve">Cumulative </w:t>
      </w:r>
      <w:r w:rsidR="004572F5">
        <w:rPr>
          <w:rFonts w:ascii="Arial" w:hAnsi="Arial" w:cs="Arial"/>
          <w:b/>
          <w:bCs/>
          <w:sz w:val="20"/>
          <w:szCs w:val="20"/>
        </w:rPr>
        <w:t>Sensitivity Analysis</w:t>
      </w:r>
      <w:r w:rsidR="004572F5" w:rsidRPr="457B398F">
        <w:rPr>
          <w:rFonts w:ascii="Arial" w:hAnsi="Arial" w:cs="Arial"/>
          <w:b/>
          <w:bCs/>
          <w:sz w:val="20"/>
          <w:szCs w:val="20"/>
        </w:rPr>
        <w:t xml:space="preserve"> </w:t>
      </w:r>
      <w:r w:rsidRPr="457B398F">
        <w:rPr>
          <w:rFonts w:ascii="Arial" w:hAnsi="Arial" w:cs="Arial"/>
          <w:b/>
          <w:bCs/>
          <w:sz w:val="20"/>
          <w:szCs w:val="20"/>
        </w:rPr>
        <w:t>for Overall Morbidity after Minimally Invasive versus Open Surgery for Unilateral Elective Inguinal Hernia Repair</w:t>
      </w:r>
    </w:p>
    <w:p w14:paraId="5E41E462" w14:textId="57A12BEE" w:rsidR="0074735A" w:rsidRPr="0074735A" w:rsidRDefault="008116F1" w:rsidP="00CF683D">
      <w:r>
        <w:rPr>
          <w:noProof/>
        </w:rPr>
        <w:drawing>
          <wp:inline distT="0" distB="0" distL="0" distR="0" wp14:anchorId="25E6FC22" wp14:editId="3EC8C199">
            <wp:extent cx="8229600" cy="3990975"/>
            <wp:effectExtent l="0" t="0" r="0" b="0"/>
            <wp:docPr id="14086102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10250" name=""/>
                    <pic:cNvPicPr/>
                  </pic:nvPicPr>
                  <pic:blipFill>
                    <a:blip r:embed="rId13">
                      <a:extLst>
                        <a:ext uri="{28A0092B-C50C-407E-A947-70E740481C1C}">
                          <a14:useLocalDpi xmlns:a14="http://schemas.microsoft.com/office/drawing/2010/main" val="0"/>
                        </a:ext>
                      </a:extLst>
                    </a:blip>
                    <a:stretch>
                      <a:fillRect/>
                    </a:stretch>
                  </pic:blipFill>
                  <pic:spPr>
                    <a:xfrm>
                      <a:off x="0" y="0"/>
                      <a:ext cx="8229600" cy="3990975"/>
                    </a:xfrm>
                    <a:prstGeom prst="rect">
                      <a:avLst/>
                    </a:prstGeom>
                  </pic:spPr>
                </pic:pic>
              </a:graphicData>
            </a:graphic>
          </wp:inline>
        </w:drawing>
      </w:r>
    </w:p>
    <w:p w14:paraId="4A5FAA00" w14:textId="74B2F969" w:rsidR="0074735A" w:rsidRDefault="457B398F" w:rsidP="457B398F">
      <w:pPr>
        <w:rPr>
          <w:rFonts w:ascii="Arial" w:hAnsi="Arial" w:cs="Arial"/>
          <w:b/>
          <w:bCs/>
        </w:rPr>
      </w:pPr>
      <w:r w:rsidRPr="457B398F">
        <w:rPr>
          <w:rFonts w:ascii="Arial" w:hAnsi="Arial" w:cs="Arial"/>
          <w:sz w:val="16"/>
          <w:szCs w:val="16"/>
        </w:rPr>
        <w:t>NOTES: RIR = robustness of inference to replacement. MIS = minimally invasive surgery.</w:t>
      </w:r>
    </w:p>
    <w:p w14:paraId="516812E7" w14:textId="51924CCC" w:rsidR="0074735A" w:rsidRDefault="0074735A" w:rsidP="00CF683D">
      <w:pPr>
        <w:rPr>
          <w:rFonts w:ascii="Arial" w:hAnsi="Arial" w:cs="Arial"/>
          <w:b/>
          <w:bCs/>
          <w:sz w:val="20"/>
          <w:szCs w:val="20"/>
        </w:rPr>
      </w:pPr>
    </w:p>
    <w:p w14:paraId="3E164E92" w14:textId="77777777" w:rsidR="008116F1" w:rsidRDefault="008116F1" w:rsidP="00CF683D">
      <w:pPr>
        <w:rPr>
          <w:rFonts w:ascii="Arial" w:hAnsi="Arial" w:cs="Arial"/>
          <w:b/>
          <w:bCs/>
          <w:sz w:val="20"/>
          <w:szCs w:val="20"/>
        </w:rPr>
        <w:sectPr w:rsidR="008116F1" w:rsidSect="00265490">
          <w:pgSz w:w="15840" w:h="12240" w:orient="landscape"/>
          <w:pgMar w:top="1440" w:right="1440" w:bottom="1440" w:left="1440" w:header="720" w:footer="720" w:gutter="0"/>
          <w:cols w:space="720"/>
          <w:docGrid w:linePitch="360"/>
        </w:sectPr>
      </w:pPr>
    </w:p>
    <w:p w14:paraId="2D7E34EA" w14:textId="74326A48" w:rsidR="000B1E62" w:rsidRDefault="00DA31A9" w:rsidP="00CF683D">
      <w:pPr>
        <w:rPr>
          <w:rFonts w:ascii="Arial" w:hAnsi="Arial" w:cs="Arial"/>
          <w:b/>
          <w:bCs/>
          <w:sz w:val="20"/>
          <w:szCs w:val="20"/>
        </w:rPr>
      </w:pPr>
      <w:r>
        <w:rPr>
          <w:rFonts w:ascii="Arial" w:hAnsi="Arial" w:cs="Arial"/>
          <w:b/>
          <w:bCs/>
          <w:sz w:val="20"/>
          <w:szCs w:val="20"/>
        </w:rPr>
        <w:lastRenderedPageBreak/>
        <w:t>F</w:t>
      </w:r>
      <w:r w:rsidR="457B398F" w:rsidRPr="457B398F">
        <w:rPr>
          <w:rFonts w:ascii="Arial" w:hAnsi="Arial" w:cs="Arial"/>
          <w:b/>
          <w:bCs/>
          <w:sz w:val="20"/>
          <w:szCs w:val="20"/>
        </w:rPr>
        <w:t xml:space="preserve">igure </w:t>
      </w:r>
      <w:r w:rsidR="005D78AF">
        <w:rPr>
          <w:rFonts w:ascii="Arial" w:hAnsi="Arial" w:cs="Arial"/>
          <w:b/>
          <w:bCs/>
          <w:sz w:val="20"/>
          <w:szCs w:val="20"/>
        </w:rPr>
        <w:t>10</w:t>
      </w:r>
      <w:r w:rsidR="457B398F" w:rsidRPr="457B398F">
        <w:rPr>
          <w:rFonts w:ascii="Arial" w:hAnsi="Arial" w:cs="Arial"/>
          <w:b/>
          <w:bCs/>
          <w:sz w:val="20"/>
          <w:szCs w:val="20"/>
        </w:rPr>
        <w:t xml:space="preserve">: Individual study </w:t>
      </w:r>
      <w:r w:rsidR="00AD6859">
        <w:rPr>
          <w:rFonts w:ascii="Arial" w:hAnsi="Arial" w:cs="Arial"/>
          <w:b/>
          <w:bCs/>
          <w:sz w:val="20"/>
          <w:szCs w:val="20"/>
        </w:rPr>
        <w:t>Fragility</w:t>
      </w:r>
      <w:r w:rsidR="457B398F" w:rsidRPr="457B398F">
        <w:rPr>
          <w:rFonts w:ascii="Arial" w:hAnsi="Arial" w:cs="Arial"/>
          <w:b/>
          <w:bCs/>
          <w:sz w:val="20"/>
          <w:szCs w:val="20"/>
        </w:rPr>
        <w:t xml:space="preserve"> and RIR for Hernia Recurrence after Minimally Invasive versus Open Surgery for Unilateral Elective Inguinal Hernia Repair</w:t>
      </w:r>
    </w:p>
    <w:p w14:paraId="60B9AE0D" w14:textId="5038F40A" w:rsidR="000B1E62" w:rsidRDefault="7734E12C" w:rsidP="00265490">
      <w:pPr>
        <w:spacing w:line="480" w:lineRule="auto"/>
      </w:pPr>
      <w:r>
        <w:rPr>
          <w:noProof/>
        </w:rPr>
        <w:drawing>
          <wp:inline distT="0" distB="0" distL="0" distR="0" wp14:anchorId="63BACF0E" wp14:editId="68399262">
            <wp:extent cx="8251201" cy="4851400"/>
            <wp:effectExtent l="0" t="0" r="3810" b="0"/>
            <wp:docPr id="11441830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83001" name=""/>
                    <pic:cNvPicPr/>
                  </pic:nvPicPr>
                  <pic:blipFill>
                    <a:blip r:embed="rId14">
                      <a:extLst>
                        <a:ext uri="{28A0092B-C50C-407E-A947-70E740481C1C}">
                          <a14:useLocalDpi xmlns:a14="http://schemas.microsoft.com/office/drawing/2010/main"/>
                        </a:ext>
                      </a:extLst>
                    </a:blip>
                    <a:stretch>
                      <a:fillRect/>
                    </a:stretch>
                  </pic:blipFill>
                  <pic:spPr>
                    <a:xfrm>
                      <a:off x="0" y="0"/>
                      <a:ext cx="8285791" cy="4871738"/>
                    </a:xfrm>
                    <a:prstGeom prst="rect">
                      <a:avLst/>
                    </a:prstGeom>
                  </pic:spPr>
                </pic:pic>
              </a:graphicData>
            </a:graphic>
          </wp:inline>
        </w:drawing>
      </w:r>
    </w:p>
    <w:p w14:paraId="656BA95C" w14:textId="04CF8C23" w:rsidR="457B398F" w:rsidRDefault="415FC425" w:rsidP="00F91C31">
      <w:r w:rsidRPr="415FC425">
        <w:rPr>
          <w:rFonts w:ascii="Arial" w:hAnsi="Arial" w:cs="Arial"/>
          <w:sz w:val="16"/>
          <w:szCs w:val="16"/>
        </w:rPr>
        <w:t xml:space="preserve">NOTES: RIR = robustness of inference to replacement. MIS = minimally invasive surgery. *For the second set of replacements, the patients in the published study need to be replaced with patients who experienced the same probability of experiencing the outcome as the entire study population (versus </w:t>
      </w:r>
      <w:r w:rsidRPr="415FC425">
        <w:rPr>
          <w:rFonts w:ascii="Arial" w:hAnsi="Arial" w:cs="Arial"/>
          <w:i/>
          <w:iCs/>
          <w:sz w:val="16"/>
          <w:szCs w:val="16"/>
        </w:rPr>
        <w:t xml:space="preserve">not </w:t>
      </w:r>
      <w:r w:rsidRPr="415FC425">
        <w:rPr>
          <w:rFonts w:ascii="Arial" w:hAnsi="Arial" w:cs="Arial"/>
          <w:sz w:val="16"/>
          <w:szCs w:val="16"/>
        </w:rPr>
        <w:t>experiencing the outcome as was the case for the other replacements.) **An RIR cannot be calculated when the odds ratio is zero or undefined.</w:t>
      </w:r>
    </w:p>
    <w:p w14:paraId="580B74A7" w14:textId="3D6AE572" w:rsidR="000B1E62" w:rsidRDefault="000B1E62" w:rsidP="00265490">
      <w:pPr>
        <w:spacing w:line="480" w:lineRule="auto"/>
      </w:pPr>
      <w:r>
        <w:br w:type="page"/>
      </w:r>
    </w:p>
    <w:p w14:paraId="7AF58E13" w14:textId="5580D26C" w:rsidR="000B1E62" w:rsidRDefault="457B398F" w:rsidP="00CF683D">
      <w:pPr>
        <w:rPr>
          <w:rFonts w:ascii="Arial" w:hAnsi="Arial" w:cs="Arial"/>
          <w:b/>
          <w:bCs/>
          <w:sz w:val="20"/>
          <w:szCs w:val="20"/>
        </w:rPr>
      </w:pPr>
      <w:r w:rsidRPr="457B398F">
        <w:rPr>
          <w:rFonts w:ascii="Arial" w:hAnsi="Arial" w:cs="Arial"/>
          <w:b/>
          <w:bCs/>
          <w:sz w:val="20"/>
          <w:szCs w:val="20"/>
        </w:rPr>
        <w:lastRenderedPageBreak/>
        <w:t xml:space="preserve">Figure </w:t>
      </w:r>
      <w:r w:rsidR="005D78AF">
        <w:rPr>
          <w:rFonts w:ascii="Arial" w:hAnsi="Arial" w:cs="Arial"/>
          <w:b/>
          <w:bCs/>
          <w:sz w:val="20"/>
          <w:szCs w:val="20"/>
        </w:rPr>
        <w:t>11</w:t>
      </w:r>
      <w:r w:rsidRPr="457B398F">
        <w:rPr>
          <w:rFonts w:ascii="Arial" w:hAnsi="Arial" w:cs="Arial"/>
          <w:b/>
          <w:bCs/>
          <w:sz w:val="20"/>
          <w:szCs w:val="20"/>
        </w:rPr>
        <w:t xml:space="preserve">: Individual study </w:t>
      </w:r>
      <w:r w:rsidR="00AD6859">
        <w:rPr>
          <w:rFonts w:ascii="Arial" w:hAnsi="Arial" w:cs="Arial"/>
          <w:b/>
          <w:bCs/>
          <w:sz w:val="20"/>
          <w:szCs w:val="20"/>
        </w:rPr>
        <w:t>Fragility</w:t>
      </w:r>
      <w:r w:rsidRPr="457B398F">
        <w:rPr>
          <w:rFonts w:ascii="Arial" w:hAnsi="Arial" w:cs="Arial"/>
          <w:b/>
          <w:bCs/>
          <w:sz w:val="20"/>
          <w:szCs w:val="20"/>
        </w:rPr>
        <w:t xml:space="preserve"> and RIR for Chronic Pain after Minimally Invasive versus Open Surgery for Unilateral Elective Inguinal Hernia Repair</w:t>
      </w:r>
    </w:p>
    <w:p w14:paraId="257A31E0" w14:textId="2484929F" w:rsidR="008A62C7" w:rsidRDefault="008A62C7" w:rsidP="00CF683D">
      <w:r>
        <w:rPr>
          <w:noProof/>
        </w:rPr>
        <w:drawing>
          <wp:inline distT="0" distB="0" distL="0" distR="0" wp14:anchorId="444A0E93" wp14:editId="20609FA9">
            <wp:extent cx="8229600" cy="4676775"/>
            <wp:effectExtent l="0" t="0" r="0" b="0"/>
            <wp:docPr id="3938754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7548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29600" cy="4676775"/>
                    </a:xfrm>
                    <a:prstGeom prst="rect">
                      <a:avLst/>
                    </a:prstGeom>
                  </pic:spPr>
                </pic:pic>
              </a:graphicData>
            </a:graphic>
          </wp:inline>
        </w:drawing>
      </w:r>
    </w:p>
    <w:p w14:paraId="4F1B2050" w14:textId="1F960D6F" w:rsidR="457B398F" w:rsidRDefault="415FC425" w:rsidP="457B398F">
      <w:pPr>
        <w:rPr>
          <w:rFonts w:ascii="Arial" w:hAnsi="Arial" w:cs="Arial"/>
          <w:b/>
          <w:bCs/>
        </w:rPr>
      </w:pPr>
      <w:r w:rsidRPr="415FC425">
        <w:rPr>
          <w:rFonts w:ascii="Arial" w:hAnsi="Arial" w:cs="Arial"/>
          <w:sz w:val="16"/>
          <w:szCs w:val="16"/>
        </w:rPr>
        <w:t xml:space="preserve">NOTES: RIR = robustness of inference to replacement. MIS = minimally invasive surgery. *For the second set of replacements, the patients in the published study need to be replaced with patients who experienced the same probability of experiencing the outcome as the entire study population (versus </w:t>
      </w:r>
      <w:r w:rsidRPr="415FC425">
        <w:rPr>
          <w:rFonts w:ascii="Arial" w:hAnsi="Arial" w:cs="Arial"/>
          <w:i/>
          <w:iCs/>
          <w:sz w:val="16"/>
          <w:szCs w:val="16"/>
        </w:rPr>
        <w:t xml:space="preserve">not </w:t>
      </w:r>
      <w:r w:rsidRPr="415FC425">
        <w:rPr>
          <w:rFonts w:ascii="Arial" w:hAnsi="Arial" w:cs="Arial"/>
          <w:sz w:val="16"/>
          <w:szCs w:val="16"/>
        </w:rPr>
        <w:t>experiencing the outcome as was the case for the other replacements.) **An RIR cannot be calculated when the odds ratio is zero or undefined.</w:t>
      </w:r>
    </w:p>
    <w:p w14:paraId="0C5C52A2" w14:textId="7AB9F78C" w:rsidR="457B398F" w:rsidRDefault="457B398F" w:rsidP="457B398F">
      <w:pPr>
        <w:rPr>
          <w:rFonts w:ascii="Arial" w:hAnsi="Arial" w:cs="Arial"/>
          <w:b/>
          <w:bCs/>
          <w:sz w:val="20"/>
          <w:szCs w:val="20"/>
        </w:rPr>
        <w:sectPr w:rsidR="457B398F" w:rsidSect="00265490">
          <w:pgSz w:w="15840" w:h="12240" w:orient="landscape"/>
          <w:pgMar w:top="1440" w:right="1440" w:bottom="1440" w:left="1440" w:header="720" w:footer="720" w:gutter="0"/>
          <w:cols w:space="720"/>
          <w:docGrid w:linePitch="360"/>
        </w:sectPr>
      </w:pPr>
    </w:p>
    <w:p w14:paraId="55C38464" w14:textId="5B43979C" w:rsidR="000B1E62" w:rsidRDefault="457B398F" w:rsidP="00CF683D">
      <w:pPr>
        <w:rPr>
          <w:rFonts w:ascii="Arial" w:hAnsi="Arial" w:cs="Arial"/>
          <w:b/>
          <w:bCs/>
          <w:sz w:val="20"/>
          <w:szCs w:val="20"/>
        </w:rPr>
      </w:pPr>
      <w:r w:rsidRPr="457B398F">
        <w:rPr>
          <w:rFonts w:ascii="Arial" w:hAnsi="Arial" w:cs="Arial"/>
          <w:b/>
          <w:bCs/>
          <w:sz w:val="20"/>
          <w:szCs w:val="20"/>
        </w:rPr>
        <w:lastRenderedPageBreak/>
        <w:t xml:space="preserve">Figure </w:t>
      </w:r>
      <w:r w:rsidR="005D78AF">
        <w:rPr>
          <w:rFonts w:ascii="Arial" w:hAnsi="Arial" w:cs="Arial"/>
          <w:b/>
          <w:bCs/>
          <w:sz w:val="20"/>
          <w:szCs w:val="20"/>
        </w:rPr>
        <w:t>12</w:t>
      </w:r>
      <w:r w:rsidRPr="457B398F">
        <w:rPr>
          <w:rFonts w:ascii="Arial" w:hAnsi="Arial" w:cs="Arial"/>
          <w:b/>
          <w:bCs/>
          <w:sz w:val="20"/>
          <w:szCs w:val="20"/>
        </w:rPr>
        <w:t xml:space="preserve">: Individual study </w:t>
      </w:r>
      <w:r w:rsidR="00AD6859">
        <w:rPr>
          <w:rFonts w:ascii="Arial" w:hAnsi="Arial" w:cs="Arial"/>
          <w:b/>
          <w:bCs/>
          <w:sz w:val="20"/>
          <w:szCs w:val="20"/>
        </w:rPr>
        <w:t>Fragility</w:t>
      </w:r>
      <w:r w:rsidRPr="457B398F">
        <w:rPr>
          <w:rFonts w:ascii="Arial" w:hAnsi="Arial" w:cs="Arial"/>
          <w:b/>
          <w:bCs/>
          <w:sz w:val="20"/>
          <w:szCs w:val="20"/>
        </w:rPr>
        <w:t xml:space="preserve"> and RIR for Wound Infection after Minimally Invasive versus Open Surgery for Unilateral Elective Inguinal Hernia Repair</w:t>
      </w:r>
    </w:p>
    <w:p w14:paraId="5AFB53B9" w14:textId="38A5F787" w:rsidR="000B1E62" w:rsidRDefault="008A62C7" w:rsidP="00CF683D">
      <w:r>
        <w:rPr>
          <w:noProof/>
        </w:rPr>
        <w:drawing>
          <wp:inline distT="0" distB="0" distL="0" distR="0" wp14:anchorId="5CC51128" wp14:editId="3E644709">
            <wp:extent cx="8229600" cy="4095750"/>
            <wp:effectExtent l="0" t="0" r="0" b="0"/>
            <wp:docPr id="17279466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46672" name=""/>
                    <pic:cNvPicPr/>
                  </pic:nvPicPr>
                  <pic:blipFill>
                    <a:blip r:embed="rId16">
                      <a:extLst>
                        <a:ext uri="{28A0092B-C50C-407E-A947-70E740481C1C}">
                          <a14:useLocalDpi xmlns:a14="http://schemas.microsoft.com/office/drawing/2010/main" val="0"/>
                        </a:ext>
                      </a:extLst>
                    </a:blip>
                    <a:stretch>
                      <a:fillRect/>
                    </a:stretch>
                  </pic:blipFill>
                  <pic:spPr>
                    <a:xfrm>
                      <a:off x="0" y="0"/>
                      <a:ext cx="8229600" cy="4095750"/>
                    </a:xfrm>
                    <a:prstGeom prst="rect">
                      <a:avLst/>
                    </a:prstGeom>
                  </pic:spPr>
                </pic:pic>
              </a:graphicData>
            </a:graphic>
          </wp:inline>
        </w:drawing>
      </w:r>
    </w:p>
    <w:p w14:paraId="2FC33D2C" w14:textId="35A0500F" w:rsidR="457B398F" w:rsidRDefault="415FC425" w:rsidP="457B398F">
      <w:pPr>
        <w:rPr>
          <w:rFonts w:ascii="Arial" w:hAnsi="Arial" w:cs="Arial"/>
          <w:b/>
          <w:bCs/>
        </w:rPr>
      </w:pPr>
      <w:r w:rsidRPr="415FC425">
        <w:rPr>
          <w:rFonts w:ascii="Arial" w:hAnsi="Arial" w:cs="Arial"/>
          <w:sz w:val="16"/>
          <w:szCs w:val="16"/>
        </w:rPr>
        <w:t xml:space="preserve">NOTES: RIR = robustness of inference to replacement. MIS = minimally invasive surgery. *For the second set of replacements, the patients in the published study need to be replaced with patients who experienced the same probability of experiencing the outcome as the entire study population (versus </w:t>
      </w:r>
      <w:r w:rsidRPr="415FC425">
        <w:rPr>
          <w:rFonts w:ascii="Arial" w:hAnsi="Arial" w:cs="Arial"/>
          <w:i/>
          <w:iCs/>
          <w:sz w:val="16"/>
          <w:szCs w:val="16"/>
        </w:rPr>
        <w:t xml:space="preserve">not </w:t>
      </w:r>
      <w:r w:rsidRPr="415FC425">
        <w:rPr>
          <w:rFonts w:ascii="Arial" w:hAnsi="Arial" w:cs="Arial"/>
          <w:sz w:val="16"/>
          <w:szCs w:val="16"/>
        </w:rPr>
        <w:t>experiencing the outcome as was the case for the other replacements.) **An RIR cannot be calculated when the odds ratio is zero or undefined.</w:t>
      </w:r>
    </w:p>
    <w:p w14:paraId="427A4788" w14:textId="101F015E" w:rsidR="457B398F" w:rsidRDefault="457B398F" w:rsidP="457B398F">
      <w:pPr>
        <w:rPr>
          <w:rFonts w:ascii="Arial" w:hAnsi="Arial" w:cs="Arial"/>
          <w:b/>
          <w:bCs/>
          <w:sz w:val="20"/>
          <w:szCs w:val="20"/>
        </w:rPr>
      </w:pPr>
    </w:p>
    <w:p w14:paraId="3A5E7DBA" w14:textId="77777777" w:rsidR="008A62C7" w:rsidRDefault="008A62C7" w:rsidP="00CF683D">
      <w:pPr>
        <w:rPr>
          <w:rFonts w:ascii="Arial" w:hAnsi="Arial" w:cs="Arial"/>
          <w:b/>
          <w:bCs/>
          <w:sz w:val="20"/>
          <w:szCs w:val="20"/>
        </w:rPr>
        <w:sectPr w:rsidR="008A62C7" w:rsidSect="00265490">
          <w:pgSz w:w="15840" w:h="12240" w:orient="landscape"/>
          <w:pgMar w:top="1440" w:right="1440" w:bottom="1440" w:left="1440" w:header="720" w:footer="720" w:gutter="0"/>
          <w:cols w:space="720"/>
          <w:docGrid w:linePitch="360"/>
        </w:sectPr>
      </w:pPr>
    </w:p>
    <w:p w14:paraId="04660738" w14:textId="7B33310A" w:rsidR="000B1E62" w:rsidRDefault="457B398F" w:rsidP="00CF683D">
      <w:pPr>
        <w:rPr>
          <w:rFonts w:ascii="Arial" w:hAnsi="Arial" w:cs="Arial"/>
          <w:b/>
          <w:bCs/>
          <w:sz w:val="20"/>
          <w:szCs w:val="20"/>
        </w:rPr>
      </w:pPr>
      <w:r w:rsidRPr="457B398F">
        <w:rPr>
          <w:rFonts w:ascii="Arial" w:hAnsi="Arial" w:cs="Arial"/>
          <w:b/>
          <w:bCs/>
          <w:sz w:val="20"/>
          <w:szCs w:val="20"/>
        </w:rPr>
        <w:lastRenderedPageBreak/>
        <w:t xml:space="preserve">Figure </w:t>
      </w:r>
      <w:r w:rsidR="005D78AF">
        <w:rPr>
          <w:rFonts w:ascii="Arial" w:hAnsi="Arial" w:cs="Arial"/>
          <w:b/>
          <w:bCs/>
          <w:sz w:val="20"/>
          <w:szCs w:val="20"/>
        </w:rPr>
        <w:t>13</w:t>
      </w:r>
      <w:r w:rsidRPr="457B398F">
        <w:rPr>
          <w:rFonts w:ascii="Arial" w:hAnsi="Arial" w:cs="Arial"/>
          <w:b/>
          <w:bCs/>
          <w:sz w:val="20"/>
          <w:szCs w:val="20"/>
        </w:rPr>
        <w:t xml:space="preserve">: Individual study </w:t>
      </w:r>
      <w:r w:rsidR="00AD6859">
        <w:rPr>
          <w:rFonts w:ascii="Arial" w:hAnsi="Arial" w:cs="Arial"/>
          <w:b/>
          <w:bCs/>
          <w:sz w:val="20"/>
          <w:szCs w:val="20"/>
        </w:rPr>
        <w:t>Fragility</w:t>
      </w:r>
      <w:r w:rsidRPr="457B398F">
        <w:rPr>
          <w:rFonts w:ascii="Arial" w:hAnsi="Arial" w:cs="Arial"/>
          <w:b/>
          <w:bCs/>
          <w:sz w:val="20"/>
          <w:szCs w:val="20"/>
        </w:rPr>
        <w:t xml:space="preserve"> and RIR for Hematoma/Seroma after Minimally Invasive versus Open Surgery for Unilateral Elective Inguinal Hernia Repair</w:t>
      </w:r>
    </w:p>
    <w:p w14:paraId="14A29F99" w14:textId="5E3C03A2" w:rsidR="008A6E4A" w:rsidRDefault="008A6E4A" w:rsidP="00CF683D">
      <w:r>
        <w:rPr>
          <w:noProof/>
        </w:rPr>
        <w:drawing>
          <wp:inline distT="0" distB="0" distL="0" distR="0" wp14:anchorId="18B3309B" wp14:editId="73D603FD">
            <wp:extent cx="8083774" cy="4986866"/>
            <wp:effectExtent l="0" t="0" r="0" b="4445"/>
            <wp:docPr id="6383907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90705" name=""/>
                    <pic:cNvPicPr/>
                  </pic:nvPicPr>
                  <pic:blipFill>
                    <a:blip r:embed="rId17">
                      <a:extLst>
                        <a:ext uri="{28A0092B-C50C-407E-A947-70E740481C1C}">
                          <a14:useLocalDpi xmlns:a14="http://schemas.microsoft.com/office/drawing/2010/main"/>
                        </a:ext>
                      </a:extLst>
                    </a:blip>
                    <a:stretch>
                      <a:fillRect/>
                    </a:stretch>
                  </pic:blipFill>
                  <pic:spPr>
                    <a:xfrm>
                      <a:off x="0" y="0"/>
                      <a:ext cx="8118705" cy="5008415"/>
                    </a:xfrm>
                    <a:prstGeom prst="rect">
                      <a:avLst/>
                    </a:prstGeom>
                  </pic:spPr>
                </pic:pic>
              </a:graphicData>
            </a:graphic>
          </wp:inline>
        </w:drawing>
      </w:r>
    </w:p>
    <w:p w14:paraId="45BD1818" w14:textId="71A934F8" w:rsidR="457B398F" w:rsidRDefault="415FC425" w:rsidP="457B398F">
      <w:pPr>
        <w:rPr>
          <w:rFonts w:ascii="Arial" w:hAnsi="Arial" w:cs="Arial"/>
          <w:b/>
          <w:bCs/>
        </w:rPr>
      </w:pPr>
      <w:r w:rsidRPr="415FC425">
        <w:rPr>
          <w:rFonts w:ascii="Arial" w:hAnsi="Arial" w:cs="Arial"/>
          <w:sz w:val="16"/>
          <w:szCs w:val="16"/>
        </w:rPr>
        <w:t xml:space="preserve">NOTES: RIR = robustness of inference to replacement. MIS = minimally invasive surgery. *For the second set of replacements, the patients in the published study need to be replaced with patients who experienced the same probability of experiencing the outcome as the entire study population (versus </w:t>
      </w:r>
      <w:r w:rsidRPr="415FC425">
        <w:rPr>
          <w:rFonts w:ascii="Arial" w:hAnsi="Arial" w:cs="Arial"/>
          <w:i/>
          <w:iCs/>
          <w:sz w:val="16"/>
          <w:szCs w:val="16"/>
        </w:rPr>
        <w:t xml:space="preserve">not </w:t>
      </w:r>
      <w:r w:rsidRPr="415FC425">
        <w:rPr>
          <w:rFonts w:ascii="Arial" w:hAnsi="Arial" w:cs="Arial"/>
          <w:sz w:val="16"/>
          <w:szCs w:val="16"/>
        </w:rPr>
        <w:t>experiencing the outcome as was the case for the other replacements.) **An RIR cannot be calculated when the odds ratio is zero or undefined.</w:t>
      </w:r>
    </w:p>
    <w:p w14:paraId="134D077D" w14:textId="77777777" w:rsidR="008A6E4A" w:rsidRDefault="008A6E4A" w:rsidP="00CF683D">
      <w:pPr>
        <w:rPr>
          <w:rFonts w:ascii="Arial" w:hAnsi="Arial" w:cs="Arial"/>
          <w:b/>
          <w:bCs/>
          <w:sz w:val="20"/>
          <w:szCs w:val="20"/>
        </w:rPr>
        <w:sectPr w:rsidR="008A6E4A" w:rsidSect="00265490">
          <w:pgSz w:w="15840" w:h="12240" w:orient="landscape"/>
          <w:pgMar w:top="1440" w:right="1440" w:bottom="1440" w:left="1440" w:header="720" w:footer="720" w:gutter="0"/>
          <w:cols w:space="720"/>
          <w:docGrid w:linePitch="360"/>
        </w:sectPr>
      </w:pPr>
    </w:p>
    <w:p w14:paraId="23232AAB" w14:textId="0366F07C" w:rsidR="000B1E62" w:rsidRDefault="00DA31A9" w:rsidP="00CF683D">
      <w:pPr>
        <w:rPr>
          <w:rFonts w:ascii="Arial" w:hAnsi="Arial" w:cs="Arial"/>
          <w:b/>
          <w:bCs/>
          <w:sz w:val="20"/>
          <w:szCs w:val="20"/>
        </w:rPr>
      </w:pPr>
      <w:r>
        <w:rPr>
          <w:rFonts w:ascii="Arial" w:hAnsi="Arial" w:cs="Arial"/>
          <w:b/>
          <w:bCs/>
          <w:sz w:val="20"/>
          <w:szCs w:val="20"/>
        </w:rPr>
        <w:lastRenderedPageBreak/>
        <w:t>F</w:t>
      </w:r>
      <w:r w:rsidR="457B398F" w:rsidRPr="457B398F">
        <w:rPr>
          <w:rFonts w:ascii="Arial" w:hAnsi="Arial" w:cs="Arial"/>
          <w:b/>
          <w:bCs/>
          <w:sz w:val="20"/>
          <w:szCs w:val="20"/>
        </w:rPr>
        <w:t xml:space="preserve">igure </w:t>
      </w:r>
      <w:r w:rsidR="005D78AF">
        <w:rPr>
          <w:rFonts w:ascii="Arial" w:hAnsi="Arial" w:cs="Arial"/>
          <w:b/>
          <w:bCs/>
          <w:sz w:val="20"/>
          <w:szCs w:val="20"/>
        </w:rPr>
        <w:t>14</w:t>
      </w:r>
      <w:r w:rsidR="457B398F" w:rsidRPr="457B398F">
        <w:rPr>
          <w:rFonts w:ascii="Arial" w:hAnsi="Arial" w:cs="Arial"/>
          <w:b/>
          <w:bCs/>
          <w:sz w:val="20"/>
          <w:szCs w:val="20"/>
        </w:rPr>
        <w:t xml:space="preserve">: Individual study </w:t>
      </w:r>
      <w:r w:rsidR="00AD6859">
        <w:rPr>
          <w:rFonts w:ascii="Arial" w:hAnsi="Arial" w:cs="Arial"/>
          <w:b/>
          <w:bCs/>
          <w:sz w:val="20"/>
          <w:szCs w:val="20"/>
        </w:rPr>
        <w:t>Fragility</w:t>
      </w:r>
      <w:r w:rsidR="457B398F" w:rsidRPr="457B398F">
        <w:rPr>
          <w:rFonts w:ascii="Arial" w:hAnsi="Arial" w:cs="Arial"/>
          <w:b/>
          <w:bCs/>
          <w:sz w:val="20"/>
          <w:szCs w:val="20"/>
        </w:rPr>
        <w:t xml:space="preserve"> and RIR for Urinary Retention after Minimally Invasive versus Open Surgery for Unilateral Elective Inguinal Hernia Repair</w:t>
      </w:r>
    </w:p>
    <w:p w14:paraId="621CC266" w14:textId="66720151" w:rsidR="008A6E4A" w:rsidRDefault="00901D89" w:rsidP="00CF683D">
      <w:r>
        <w:rPr>
          <w:noProof/>
        </w:rPr>
        <w:drawing>
          <wp:inline distT="0" distB="0" distL="0" distR="0" wp14:anchorId="45827B98" wp14:editId="4D9D2350">
            <wp:extent cx="8229600" cy="3209925"/>
            <wp:effectExtent l="0" t="0" r="0" b="0"/>
            <wp:docPr id="255723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23427"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29600" cy="3209925"/>
                    </a:xfrm>
                    <a:prstGeom prst="rect">
                      <a:avLst/>
                    </a:prstGeom>
                  </pic:spPr>
                </pic:pic>
              </a:graphicData>
            </a:graphic>
          </wp:inline>
        </w:drawing>
      </w:r>
    </w:p>
    <w:p w14:paraId="7655A1FB" w14:textId="60EC4BC6" w:rsidR="457B398F" w:rsidRDefault="415FC425" w:rsidP="457B398F">
      <w:pPr>
        <w:rPr>
          <w:rFonts w:ascii="Arial" w:hAnsi="Arial" w:cs="Arial"/>
          <w:b/>
          <w:bCs/>
        </w:rPr>
      </w:pPr>
      <w:r w:rsidRPr="415FC425">
        <w:rPr>
          <w:rFonts w:ascii="Arial" w:hAnsi="Arial" w:cs="Arial"/>
          <w:sz w:val="16"/>
          <w:szCs w:val="16"/>
        </w:rPr>
        <w:t xml:space="preserve">NOTES: RIR = robustness of inference to replacement. MIS = minimally invasive surgery. *For the second set of replacements, the patients in the published study need to be replaced with patients who experienced the same probability of experiencing the outcome as the entire study population (versus </w:t>
      </w:r>
      <w:r w:rsidRPr="415FC425">
        <w:rPr>
          <w:rFonts w:ascii="Arial" w:hAnsi="Arial" w:cs="Arial"/>
          <w:i/>
          <w:iCs/>
          <w:sz w:val="16"/>
          <w:szCs w:val="16"/>
        </w:rPr>
        <w:t xml:space="preserve">not </w:t>
      </w:r>
      <w:r w:rsidRPr="415FC425">
        <w:rPr>
          <w:rFonts w:ascii="Arial" w:hAnsi="Arial" w:cs="Arial"/>
          <w:sz w:val="16"/>
          <w:szCs w:val="16"/>
        </w:rPr>
        <w:t>experiencing the outcome as was the case for the other replacements.) **An RIR cannot be calculated when the odds ratio is zero or undefined.</w:t>
      </w:r>
    </w:p>
    <w:p w14:paraId="77DCC009" w14:textId="73CFE7B8" w:rsidR="457B398F" w:rsidRDefault="457B398F" w:rsidP="457B398F">
      <w:pPr>
        <w:rPr>
          <w:rFonts w:ascii="Arial" w:hAnsi="Arial" w:cs="Arial"/>
          <w:b/>
          <w:bCs/>
          <w:sz w:val="20"/>
          <w:szCs w:val="20"/>
        </w:rPr>
      </w:pPr>
    </w:p>
    <w:p w14:paraId="6D798B12" w14:textId="63C71318" w:rsidR="000B1E62" w:rsidRDefault="000B1E62" w:rsidP="00CF683D">
      <w:pPr>
        <w:rPr>
          <w:rFonts w:ascii="Arial" w:hAnsi="Arial" w:cs="Arial"/>
          <w:b/>
          <w:bCs/>
          <w:sz w:val="20"/>
          <w:szCs w:val="20"/>
        </w:rPr>
      </w:pPr>
    </w:p>
    <w:p w14:paraId="097EEEB9" w14:textId="77777777" w:rsidR="00901D89" w:rsidRDefault="00901D89" w:rsidP="00CF683D">
      <w:pPr>
        <w:rPr>
          <w:rFonts w:ascii="Arial" w:hAnsi="Arial" w:cs="Arial"/>
          <w:b/>
          <w:bCs/>
          <w:sz w:val="20"/>
          <w:szCs w:val="20"/>
        </w:rPr>
        <w:sectPr w:rsidR="00901D89" w:rsidSect="00265490">
          <w:pgSz w:w="15840" w:h="12240" w:orient="landscape"/>
          <w:pgMar w:top="1440" w:right="1440" w:bottom="1440" w:left="1440" w:header="720" w:footer="720" w:gutter="0"/>
          <w:cols w:space="720"/>
          <w:docGrid w:linePitch="360"/>
        </w:sectPr>
      </w:pPr>
    </w:p>
    <w:p w14:paraId="35604375" w14:textId="53EBACF7" w:rsidR="000B1E62" w:rsidRDefault="457B398F" w:rsidP="00CF683D">
      <w:pPr>
        <w:rPr>
          <w:rFonts w:ascii="Arial" w:hAnsi="Arial" w:cs="Arial"/>
          <w:b/>
          <w:bCs/>
          <w:sz w:val="20"/>
          <w:szCs w:val="20"/>
        </w:rPr>
      </w:pPr>
      <w:r w:rsidRPr="457B398F">
        <w:rPr>
          <w:rFonts w:ascii="Arial" w:hAnsi="Arial" w:cs="Arial"/>
          <w:b/>
          <w:bCs/>
          <w:sz w:val="20"/>
          <w:szCs w:val="20"/>
        </w:rPr>
        <w:lastRenderedPageBreak/>
        <w:t>Figure 1</w:t>
      </w:r>
      <w:r w:rsidR="005D78AF">
        <w:rPr>
          <w:rFonts w:ascii="Arial" w:hAnsi="Arial" w:cs="Arial"/>
          <w:b/>
          <w:bCs/>
          <w:sz w:val="20"/>
          <w:szCs w:val="20"/>
        </w:rPr>
        <w:t>5</w:t>
      </w:r>
      <w:r w:rsidRPr="457B398F">
        <w:rPr>
          <w:rFonts w:ascii="Arial" w:hAnsi="Arial" w:cs="Arial"/>
          <w:b/>
          <w:bCs/>
          <w:sz w:val="20"/>
          <w:szCs w:val="20"/>
        </w:rPr>
        <w:t xml:space="preserve">: Individual study </w:t>
      </w:r>
      <w:r w:rsidR="00AD6859">
        <w:rPr>
          <w:rFonts w:ascii="Arial" w:hAnsi="Arial" w:cs="Arial"/>
          <w:b/>
          <w:bCs/>
          <w:sz w:val="20"/>
          <w:szCs w:val="20"/>
        </w:rPr>
        <w:t>Fragility</w:t>
      </w:r>
      <w:r w:rsidRPr="457B398F">
        <w:rPr>
          <w:rFonts w:ascii="Arial" w:hAnsi="Arial" w:cs="Arial"/>
          <w:b/>
          <w:bCs/>
          <w:sz w:val="20"/>
          <w:szCs w:val="20"/>
        </w:rPr>
        <w:t xml:space="preserve"> and RIR for Overall Morbidity after Minimally Invasive versus Open Surgery for Unilateral Elective Inguinal Hernia Repair</w:t>
      </w:r>
    </w:p>
    <w:p w14:paraId="21F32F0B" w14:textId="1828CEC6" w:rsidR="000B1E62" w:rsidRDefault="00901D89" w:rsidP="4C393038">
      <w:pPr>
        <w:spacing w:line="480" w:lineRule="auto"/>
      </w:pPr>
      <w:r>
        <w:rPr>
          <w:noProof/>
        </w:rPr>
        <w:drawing>
          <wp:inline distT="0" distB="0" distL="0" distR="0" wp14:anchorId="7ECAF679" wp14:editId="488C68CC">
            <wp:extent cx="8229600" cy="3676650"/>
            <wp:effectExtent l="0" t="0" r="0" b="0"/>
            <wp:docPr id="1460297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9721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29600" cy="3676650"/>
                    </a:xfrm>
                    <a:prstGeom prst="rect">
                      <a:avLst/>
                    </a:prstGeom>
                  </pic:spPr>
                </pic:pic>
              </a:graphicData>
            </a:graphic>
          </wp:inline>
        </w:drawing>
      </w:r>
    </w:p>
    <w:p w14:paraId="76B8077D" w14:textId="31FD0927" w:rsidR="457B398F" w:rsidRDefault="415FC425" w:rsidP="457B398F">
      <w:pPr>
        <w:rPr>
          <w:rFonts w:ascii="Arial" w:hAnsi="Arial" w:cs="Arial"/>
          <w:b/>
          <w:bCs/>
        </w:rPr>
      </w:pPr>
      <w:r w:rsidRPr="415FC425">
        <w:rPr>
          <w:rFonts w:ascii="Arial" w:hAnsi="Arial" w:cs="Arial"/>
          <w:sz w:val="16"/>
          <w:szCs w:val="16"/>
        </w:rPr>
        <w:t xml:space="preserve">NOTES: RIR = robustness of inference to replacement. MIS = minimally invasive surgery. *For the second set of replacements, the patients in the published study need to be replaced with patients who experienced the same probability of experiencing the outcome as the entire study population (versus </w:t>
      </w:r>
      <w:r w:rsidRPr="415FC425">
        <w:rPr>
          <w:rFonts w:ascii="Arial" w:hAnsi="Arial" w:cs="Arial"/>
          <w:i/>
          <w:iCs/>
          <w:sz w:val="16"/>
          <w:szCs w:val="16"/>
        </w:rPr>
        <w:t xml:space="preserve">not </w:t>
      </w:r>
      <w:r w:rsidRPr="415FC425">
        <w:rPr>
          <w:rFonts w:ascii="Arial" w:hAnsi="Arial" w:cs="Arial"/>
          <w:sz w:val="16"/>
          <w:szCs w:val="16"/>
        </w:rPr>
        <w:t>experiencing the outcome as was the case for the other replacements.) **An RIR cannot be calculated when the odds ratio is zero or undefined.</w:t>
      </w:r>
    </w:p>
    <w:p w14:paraId="7EFE3993" w14:textId="77777777" w:rsidR="008441DA" w:rsidRDefault="008441DA" w:rsidP="00265490">
      <w:pPr>
        <w:spacing w:line="480" w:lineRule="auto"/>
        <w:rPr>
          <w:b/>
          <w:bCs/>
        </w:rPr>
        <w:sectPr w:rsidR="008441DA" w:rsidSect="00265490">
          <w:pgSz w:w="15840" w:h="12240" w:orient="landscape"/>
          <w:pgMar w:top="1440" w:right="1440" w:bottom="1440" w:left="1440" w:header="720" w:footer="720" w:gutter="0"/>
          <w:cols w:space="720"/>
          <w:docGrid w:linePitch="360"/>
        </w:sectPr>
      </w:pPr>
    </w:p>
    <w:p w14:paraId="62BDD3BC" w14:textId="19CEDF4F" w:rsidR="00265490" w:rsidRDefault="000E505D" w:rsidP="000E505D">
      <w:pPr>
        <w:rPr>
          <w:rFonts w:ascii="Arial" w:hAnsi="Arial" w:cs="Arial"/>
          <w:b/>
          <w:bCs/>
          <w:sz w:val="20"/>
          <w:szCs w:val="20"/>
        </w:rPr>
      </w:pPr>
      <w:r w:rsidRPr="457B398F">
        <w:rPr>
          <w:rFonts w:ascii="Arial" w:hAnsi="Arial" w:cs="Arial"/>
          <w:b/>
          <w:bCs/>
          <w:sz w:val="20"/>
          <w:szCs w:val="20"/>
        </w:rPr>
        <w:lastRenderedPageBreak/>
        <w:t>Figure 1</w:t>
      </w:r>
      <w:r w:rsidR="005D78AF">
        <w:rPr>
          <w:rFonts w:ascii="Arial" w:hAnsi="Arial" w:cs="Arial"/>
          <w:b/>
          <w:bCs/>
          <w:sz w:val="20"/>
          <w:szCs w:val="20"/>
        </w:rPr>
        <w:t>6</w:t>
      </w:r>
      <w:r w:rsidRPr="457B398F">
        <w:rPr>
          <w:rFonts w:ascii="Arial" w:hAnsi="Arial" w:cs="Arial"/>
          <w:b/>
          <w:bCs/>
          <w:sz w:val="20"/>
          <w:szCs w:val="20"/>
        </w:rPr>
        <w:t xml:space="preserve">: </w:t>
      </w:r>
      <w:r>
        <w:rPr>
          <w:rFonts w:ascii="Arial" w:hAnsi="Arial" w:cs="Arial"/>
          <w:b/>
          <w:bCs/>
          <w:sz w:val="20"/>
          <w:szCs w:val="20"/>
        </w:rPr>
        <w:t xml:space="preserve">RIR and FEAST/FEBST for </w:t>
      </w:r>
      <w:r w:rsidR="008B7DDF">
        <w:rPr>
          <w:rFonts w:ascii="Arial" w:hAnsi="Arial" w:cs="Arial"/>
          <w:b/>
          <w:bCs/>
          <w:sz w:val="20"/>
          <w:szCs w:val="20"/>
        </w:rPr>
        <w:t xml:space="preserve">Individual Studies Measuring </w:t>
      </w:r>
      <w:r w:rsidRPr="07084F10">
        <w:rPr>
          <w:rFonts w:ascii="Arial" w:hAnsi="Arial" w:cs="Arial"/>
          <w:b/>
          <w:bCs/>
          <w:sz w:val="20"/>
          <w:szCs w:val="20"/>
        </w:rPr>
        <w:t>Post-Operative Pain on the Visual Analog Scale after Minimally Invasive versus Open Surgery for Unilateral Elective Inguinal Hernia Repair</w:t>
      </w:r>
    </w:p>
    <w:p w14:paraId="2D88B185" w14:textId="77777777" w:rsidR="008B7DDF" w:rsidRDefault="008B7DDF" w:rsidP="000E505D">
      <w:pPr>
        <w:rPr>
          <w:rFonts w:ascii="Arial" w:hAnsi="Arial" w:cs="Arial"/>
          <w:b/>
          <w:bCs/>
          <w:sz w:val="20"/>
          <w:szCs w:val="20"/>
        </w:rPr>
      </w:pPr>
    </w:p>
    <w:p w14:paraId="0B444CE2" w14:textId="60E1AFD4" w:rsidR="008B7DDF" w:rsidRDefault="005816BE" w:rsidP="005816BE">
      <w:pPr>
        <w:ind w:firstLine="720"/>
        <w:rPr>
          <w:rFonts w:ascii="Arial" w:hAnsi="Arial" w:cs="Arial"/>
          <w:b/>
          <w:bCs/>
          <w:sz w:val="20"/>
          <w:szCs w:val="20"/>
        </w:rPr>
      </w:pPr>
      <w:r w:rsidRPr="005816BE">
        <w:rPr>
          <w:rFonts w:ascii="Arial" w:hAnsi="Arial" w:cs="Arial"/>
          <w:b/>
          <w:bCs/>
          <w:noProof/>
          <w:sz w:val="20"/>
          <w:szCs w:val="20"/>
        </w:rPr>
        <w:drawing>
          <wp:inline distT="0" distB="0" distL="0" distR="0" wp14:anchorId="4D234F60" wp14:editId="57064EC2">
            <wp:extent cx="6702641" cy="5103452"/>
            <wp:effectExtent l="0" t="0" r="3175" b="2540"/>
            <wp:docPr id="131098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8049" name=""/>
                    <pic:cNvPicPr/>
                  </pic:nvPicPr>
                  <pic:blipFill>
                    <a:blip r:embed="rId20"/>
                    <a:stretch>
                      <a:fillRect/>
                    </a:stretch>
                  </pic:blipFill>
                  <pic:spPr>
                    <a:xfrm>
                      <a:off x="0" y="0"/>
                      <a:ext cx="6768984" cy="5153966"/>
                    </a:xfrm>
                    <a:prstGeom prst="rect">
                      <a:avLst/>
                    </a:prstGeom>
                  </pic:spPr>
                </pic:pic>
              </a:graphicData>
            </a:graphic>
          </wp:inline>
        </w:drawing>
      </w:r>
    </w:p>
    <w:p w14:paraId="5D2CD9FD" w14:textId="77777777" w:rsidR="008B7DDF" w:rsidRDefault="008B7DDF" w:rsidP="000E505D">
      <w:pPr>
        <w:rPr>
          <w:rFonts w:ascii="Arial" w:hAnsi="Arial" w:cs="Arial"/>
          <w:b/>
          <w:bCs/>
          <w:sz w:val="20"/>
          <w:szCs w:val="20"/>
        </w:rPr>
      </w:pPr>
    </w:p>
    <w:p w14:paraId="6FCA0B3F" w14:textId="77777777" w:rsidR="008B7DDF" w:rsidRDefault="008B7DDF" w:rsidP="000E505D">
      <w:pPr>
        <w:rPr>
          <w:rFonts w:ascii="Arial" w:hAnsi="Arial" w:cs="Arial"/>
          <w:sz w:val="16"/>
          <w:szCs w:val="16"/>
        </w:rPr>
      </w:pPr>
      <w:r w:rsidRPr="457B398F">
        <w:rPr>
          <w:rFonts w:ascii="Arial" w:hAnsi="Arial" w:cs="Arial"/>
          <w:sz w:val="16"/>
          <w:szCs w:val="16"/>
        </w:rPr>
        <w:t xml:space="preserve">NOTES: RIR = robustness of inference to replacement. MIS = minimally invasive surgery. FEAST = fraction of the effect above the significance threshold. FEBST = fraction of the effect below the significance threshold. VAS = Visual Analog Scale. </w:t>
      </w:r>
    </w:p>
    <w:p w14:paraId="60900D2E" w14:textId="5547F56E" w:rsidR="001A04FD" w:rsidRDefault="007344A8" w:rsidP="001A04FD">
      <w:pPr>
        <w:rPr>
          <w:rFonts w:ascii="Arial" w:hAnsi="Arial" w:cs="Arial"/>
          <w:b/>
          <w:bCs/>
          <w:sz w:val="20"/>
          <w:szCs w:val="20"/>
        </w:rPr>
      </w:pPr>
      <w:r>
        <w:rPr>
          <w:rFonts w:ascii="Arial" w:hAnsi="Arial" w:cs="Arial"/>
          <w:b/>
          <w:bCs/>
          <w:sz w:val="20"/>
          <w:szCs w:val="20"/>
        </w:rPr>
        <w:lastRenderedPageBreak/>
        <w:t>Table 3</w:t>
      </w:r>
      <w:r w:rsidR="001A04FD" w:rsidRPr="457B398F">
        <w:rPr>
          <w:rFonts w:ascii="Arial" w:hAnsi="Arial" w:cs="Arial"/>
          <w:b/>
          <w:bCs/>
          <w:sz w:val="20"/>
          <w:szCs w:val="20"/>
        </w:rPr>
        <w:t xml:space="preserve">: </w:t>
      </w:r>
      <w:r w:rsidR="001A04FD">
        <w:rPr>
          <w:rFonts w:ascii="Arial" w:hAnsi="Arial" w:cs="Arial"/>
          <w:b/>
          <w:bCs/>
          <w:sz w:val="20"/>
          <w:szCs w:val="20"/>
        </w:rPr>
        <w:t>Sensitivity analysis limited to studies published in the past 10 years (2016 or later)</w:t>
      </w:r>
    </w:p>
    <w:p w14:paraId="62D6450D" w14:textId="77777777" w:rsidR="001A04FD" w:rsidRDefault="001A04FD" w:rsidP="001A04FD">
      <w:pPr>
        <w:rPr>
          <w:rFonts w:ascii="Arial" w:hAnsi="Arial" w:cs="Arial"/>
          <w:b/>
          <w:bCs/>
          <w:sz w:val="20"/>
          <w:szCs w:val="20"/>
        </w:rPr>
      </w:pPr>
    </w:p>
    <w:p w14:paraId="223876FD" w14:textId="6453A29C" w:rsidR="001A04FD" w:rsidRDefault="001A04FD" w:rsidP="001A04FD">
      <w:pPr>
        <w:pStyle w:val="ListParagraph"/>
        <w:numPr>
          <w:ilvl w:val="0"/>
          <w:numId w:val="14"/>
        </w:numPr>
        <w:rPr>
          <w:rFonts w:ascii="Arial" w:hAnsi="Arial" w:cs="Arial"/>
          <w:b/>
          <w:bCs/>
          <w:sz w:val="20"/>
          <w:szCs w:val="20"/>
        </w:rPr>
      </w:pPr>
      <w:r>
        <w:rPr>
          <w:rFonts w:ascii="Arial" w:hAnsi="Arial" w:cs="Arial"/>
          <w:b/>
          <w:bCs/>
          <w:sz w:val="20"/>
          <w:szCs w:val="20"/>
        </w:rPr>
        <w:t>Dichotomous outcomes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561"/>
        <w:gridCol w:w="550"/>
        <w:gridCol w:w="561"/>
        <w:gridCol w:w="661"/>
        <w:gridCol w:w="1709"/>
        <w:gridCol w:w="2160"/>
        <w:gridCol w:w="2160"/>
        <w:gridCol w:w="2605"/>
      </w:tblGrid>
      <w:tr w:rsidR="003958A0" w:rsidRPr="003958A0" w14:paraId="7125D0C8" w14:textId="31816024" w:rsidTr="003958A0">
        <w:trPr>
          <w:trHeight w:val="1394"/>
        </w:trPr>
        <w:tc>
          <w:tcPr>
            <w:tcW w:w="1983" w:type="dxa"/>
            <w:vMerge w:val="restart"/>
            <w:vAlign w:val="bottom"/>
          </w:tcPr>
          <w:p w14:paraId="4441FA9F" w14:textId="6C4C9975" w:rsidR="003958A0" w:rsidRPr="003958A0" w:rsidRDefault="003958A0" w:rsidP="003958A0">
            <w:pPr>
              <w:rPr>
                <w:rFonts w:ascii="Arial" w:hAnsi="Arial" w:cs="Arial"/>
                <w:b/>
                <w:bCs/>
                <w:sz w:val="18"/>
                <w:szCs w:val="18"/>
              </w:rPr>
            </w:pPr>
            <w:r w:rsidRPr="003958A0">
              <w:rPr>
                <w:rFonts w:ascii="Arial" w:hAnsi="Arial" w:cs="Arial"/>
                <w:b/>
                <w:bCs/>
                <w:sz w:val="18"/>
                <w:szCs w:val="18"/>
              </w:rPr>
              <w:t>Outcome</w:t>
            </w:r>
          </w:p>
        </w:tc>
        <w:tc>
          <w:tcPr>
            <w:tcW w:w="1111" w:type="dxa"/>
            <w:gridSpan w:val="2"/>
            <w:vAlign w:val="bottom"/>
          </w:tcPr>
          <w:p w14:paraId="3F108B43" w14:textId="09C735D4" w:rsidR="003958A0" w:rsidRPr="003958A0" w:rsidRDefault="003958A0" w:rsidP="003958A0">
            <w:pPr>
              <w:jc w:val="center"/>
              <w:rPr>
                <w:rFonts w:ascii="Arial" w:hAnsi="Arial" w:cs="Arial"/>
                <w:b/>
                <w:bCs/>
                <w:sz w:val="18"/>
                <w:szCs w:val="18"/>
              </w:rPr>
            </w:pPr>
            <w:r w:rsidRPr="003958A0">
              <w:rPr>
                <w:rFonts w:ascii="Arial" w:hAnsi="Arial" w:cs="Arial"/>
                <w:b/>
                <w:bCs/>
                <w:sz w:val="18"/>
                <w:szCs w:val="18"/>
              </w:rPr>
              <w:t>Open</w:t>
            </w:r>
          </w:p>
        </w:tc>
        <w:tc>
          <w:tcPr>
            <w:tcW w:w="1222" w:type="dxa"/>
            <w:gridSpan w:val="2"/>
            <w:vAlign w:val="bottom"/>
          </w:tcPr>
          <w:p w14:paraId="459127A3" w14:textId="39A33829" w:rsidR="003958A0" w:rsidRPr="003958A0" w:rsidRDefault="003958A0" w:rsidP="003958A0">
            <w:pPr>
              <w:jc w:val="center"/>
              <w:rPr>
                <w:rFonts w:ascii="Arial" w:hAnsi="Arial" w:cs="Arial"/>
                <w:b/>
                <w:bCs/>
                <w:sz w:val="18"/>
                <w:szCs w:val="18"/>
              </w:rPr>
            </w:pPr>
            <w:r w:rsidRPr="003958A0">
              <w:rPr>
                <w:rFonts w:ascii="Arial" w:hAnsi="Arial" w:cs="Arial"/>
                <w:b/>
                <w:bCs/>
                <w:sz w:val="18"/>
                <w:szCs w:val="18"/>
              </w:rPr>
              <w:t>MIS</w:t>
            </w:r>
          </w:p>
        </w:tc>
        <w:tc>
          <w:tcPr>
            <w:tcW w:w="1709" w:type="dxa"/>
            <w:vMerge w:val="restart"/>
            <w:vAlign w:val="bottom"/>
          </w:tcPr>
          <w:p w14:paraId="6CAA6A42" w14:textId="41EC45F7" w:rsidR="003958A0" w:rsidRPr="003958A0" w:rsidRDefault="003958A0" w:rsidP="003958A0">
            <w:pPr>
              <w:rPr>
                <w:rFonts w:ascii="Arial" w:hAnsi="Arial" w:cs="Arial"/>
                <w:b/>
                <w:bCs/>
                <w:sz w:val="18"/>
                <w:szCs w:val="18"/>
              </w:rPr>
            </w:pPr>
            <w:r w:rsidRPr="003958A0">
              <w:rPr>
                <w:rFonts w:ascii="Arial" w:hAnsi="Arial" w:cs="Arial"/>
                <w:b/>
                <w:bCs/>
                <w:sz w:val="18"/>
                <w:szCs w:val="18"/>
              </w:rPr>
              <w:t>Cumulative odds ratio</w:t>
            </w:r>
          </w:p>
        </w:tc>
        <w:tc>
          <w:tcPr>
            <w:tcW w:w="2160" w:type="dxa"/>
            <w:vMerge w:val="restart"/>
            <w:vAlign w:val="bottom"/>
          </w:tcPr>
          <w:p w14:paraId="60BB6235" w14:textId="48EB19EF" w:rsidR="003958A0" w:rsidRPr="003958A0" w:rsidRDefault="003958A0" w:rsidP="003958A0">
            <w:pPr>
              <w:rPr>
                <w:rFonts w:ascii="Arial" w:hAnsi="Arial" w:cs="Arial"/>
                <w:b/>
                <w:bCs/>
                <w:sz w:val="18"/>
                <w:szCs w:val="18"/>
              </w:rPr>
            </w:pPr>
            <w:r w:rsidRPr="003958A0">
              <w:rPr>
                <w:rFonts w:ascii="Arial" w:hAnsi="Arial" w:cs="Arial"/>
                <w:b/>
                <w:bCs/>
                <w:sz w:val="18"/>
                <w:szCs w:val="18"/>
              </w:rPr>
              <w:t>Favored approach</w:t>
            </w:r>
          </w:p>
        </w:tc>
        <w:tc>
          <w:tcPr>
            <w:tcW w:w="2160" w:type="dxa"/>
            <w:vMerge w:val="restart"/>
            <w:vAlign w:val="bottom"/>
          </w:tcPr>
          <w:p w14:paraId="043EA004" w14:textId="77777777" w:rsidR="003958A0" w:rsidRPr="003958A0" w:rsidRDefault="003958A0" w:rsidP="003958A0">
            <w:pPr>
              <w:rPr>
                <w:rFonts w:ascii="Arial" w:hAnsi="Arial" w:cs="Arial"/>
                <w:b/>
                <w:bCs/>
                <w:sz w:val="18"/>
                <w:szCs w:val="18"/>
              </w:rPr>
            </w:pPr>
            <w:r w:rsidRPr="003958A0">
              <w:rPr>
                <w:rFonts w:ascii="Arial" w:hAnsi="Arial" w:cs="Arial"/>
                <w:b/>
                <w:bCs/>
                <w:sz w:val="18"/>
                <w:szCs w:val="18"/>
              </w:rPr>
              <w:t xml:space="preserve">Cumulative fragility </w:t>
            </w:r>
          </w:p>
          <w:p w14:paraId="0FB36B3E" w14:textId="7678681A" w:rsidR="003958A0" w:rsidRPr="003958A0" w:rsidRDefault="003958A0" w:rsidP="003958A0">
            <w:pPr>
              <w:rPr>
                <w:rFonts w:ascii="Arial" w:hAnsi="Arial" w:cs="Arial"/>
                <w:sz w:val="18"/>
                <w:szCs w:val="18"/>
              </w:rPr>
            </w:pPr>
            <w:r w:rsidRPr="003958A0">
              <w:rPr>
                <w:rFonts w:ascii="Arial" w:hAnsi="Arial" w:cs="Arial"/>
                <w:sz w:val="18"/>
                <w:szCs w:val="18"/>
              </w:rPr>
              <w:t>(To ___ a conclusion of a statistically significant difference between groups; ___ patients must experience the outcome)</w:t>
            </w:r>
          </w:p>
        </w:tc>
        <w:tc>
          <w:tcPr>
            <w:tcW w:w="2605" w:type="dxa"/>
            <w:vMerge w:val="restart"/>
            <w:vAlign w:val="bottom"/>
          </w:tcPr>
          <w:p w14:paraId="580C09FB" w14:textId="77777777" w:rsidR="003958A0" w:rsidRPr="003958A0" w:rsidRDefault="003958A0" w:rsidP="003958A0">
            <w:pPr>
              <w:rPr>
                <w:rFonts w:ascii="Arial" w:hAnsi="Arial" w:cs="Arial"/>
                <w:b/>
                <w:bCs/>
                <w:sz w:val="18"/>
                <w:szCs w:val="18"/>
              </w:rPr>
            </w:pPr>
            <w:r w:rsidRPr="003958A0">
              <w:rPr>
                <w:rFonts w:ascii="Arial" w:hAnsi="Arial" w:cs="Arial"/>
                <w:b/>
                <w:bCs/>
                <w:sz w:val="18"/>
                <w:szCs w:val="18"/>
              </w:rPr>
              <w:t>Cumulative RIR</w:t>
            </w:r>
          </w:p>
          <w:p w14:paraId="4B5221EA" w14:textId="1DB913D0" w:rsidR="003958A0" w:rsidRPr="003958A0" w:rsidRDefault="003958A0" w:rsidP="003958A0">
            <w:pPr>
              <w:rPr>
                <w:rFonts w:ascii="Arial" w:hAnsi="Arial" w:cs="Arial"/>
                <w:sz w:val="18"/>
                <w:szCs w:val="18"/>
              </w:rPr>
            </w:pPr>
            <w:r w:rsidRPr="003958A0">
              <w:rPr>
                <w:rFonts w:ascii="Arial" w:hAnsi="Arial" w:cs="Arial"/>
                <w:sz w:val="18"/>
                <w:szCs w:val="18"/>
              </w:rPr>
              <w:t>(To force changes described by fragility, replace ___ patients with patients who experienced the same probability of not experiencing the outcome as the entire study population)</w:t>
            </w:r>
          </w:p>
        </w:tc>
      </w:tr>
      <w:tr w:rsidR="003958A0" w:rsidRPr="003958A0" w14:paraId="75D8DBC7" w14:textId="28EBE9DF" w:rsidTr="003958A0">
        <w:tc>
          <w:tcPr>
            <w:tcW w:w="1983" w:type="dxa"/>
            <w:vMerge/>
            <w:vAlign w:val="bottom"/>
          </w:tcPr>
          <w:p w14:paraId="762C7745" w14:textId="77777777" w:rsidR="003958A0" w:rsidRPr="003958A0" w:rsidRDefault="003958A0" w:rsidP="003958A0">
            <w:pPr>
              <w:rPr>
                <w:rFonts w:ascii="Arial" w:hAnsi="Arial" w:cs="Arial"/>
                <w:sz w:val="18"/>
                <w:szCs w:val="18"/>
              </w:rPr>
            </w:pPr>
          </w:p>
        </w:tc>
        <w:tc>
          <w:tcPr>
            <w:tcW w:w="561" w:type="dxa"/>
            <w:vAlign w:val="bottom"/>
          </w:tcPr>
          <w:p w14:paraId="22E884EF" w14:textId="7FDD9D40" w:rsidR="003958A0" w:rsidRPr="003958A0" w:rsidRDefault="003958A0" w:rsidP="003958A0">
            <w:pPr>
              <w:rPr>
                <w:rFonts w:ascii="Arial" w:hAnsi="Arial" w:cs="Arial"/>
                <w:b/>
                <w:bCs/>
                <w:sz w:val="18"/>
                <w:szCs w:val="18"/>
              </w:rPr>
            </w:pPr>
            <w:r w:rsidRPr="003958A0">
              <w:rPr>
                <w:rFonts w:ascii="Arial" w:hAnsi="Arial" w:cs="Arial"/>
                <w:b/>
                <w:bCs/>
                <w:sz w:val="18"/>
                <w:szCs w:val="18"/>
              </w:rPr>
              <w:t>Yes</w:t>
            </w:r>
          </w:p>
        </w:tc>
        <w:tc>
          <w:tcPr>
            <w:tcW w:w="550" w:type="dxa"/>
            <w:vAlign w:val="bottom"/>
          </w:tcPr>
          <w:p w14:paraId="4D4089D5" w14:textId="70EB7C37" w:rsidR="003958A0" w:rsidRPr="003958A0" w:rsidRDefault="003958A0" w:rsidP="003958A0">
            <w:pPr>
              <w:rPr>
                <w:rFonts w:ascii="Arial" w:hAnsi="Arial" w:cs="Arial"/>
                <w:b/>
                <w:bCs/>
                <w:sz w:val="18"/>
                <w:szCs w:val="18"/>
              </w:rPr>
            </w:pPr>
            <w:r w:rsidRPr="003958A0">
              <w:rPr>
                <w:rFonts w:ascii="Arial" w:hAnsi="Arial" w:cs="Arial"/>
                <w:b/>
                <w:bCs/>
                <w:sz w:val="18"/>
                <w:szCs w:val="18"/>
              </w:rPr>
              <w:t>No</w:t>
            </w:r>
          </w:p>
        </w:tc>
        <w:tc>
          <w:tcPr>
            <w:tcW w:w="561" w:type="dxa"/>
            <w:vAlign w:val="bottom"/>
          </w:tcPr>
          <w:p w14:paraId="3FF49562" w14:textId="721E942D" w:rsidR="003958A0" w:rsidRPr="003958A0" w:rsidRDefault="003958A0" w:rsidP="003958A0">
            <w:pPr>
              <w:rPr>
                <w:rFonts w:ascii="Arial" w:hAnsi="Arial" w:cs="Arial"/>
                <w:b/>
                <w:bCs/>
                <w:sz w:val="18"/>
                <w:szCs w:val="18"/>
              </w:rPr>
            </w:pPr>
            <w:r w:rsidRPr="003958A0">
              <w:rPr>
                <w:rFonts w:ascii="Arial" w:hAnsi="Arial" w:cs="Arial"/>
                <w:b/>
                <w:bCs/>
                <w:sz w:val="18"/>
                <w:szCs w:val="18"/>
              </w:rPr>
              <w:t>Yes</w:t>
            </w:r>
          </w:p>
        </w:tc>
        <w:tc>
          <w:tcPr>
            <w:tcW w:w="661" w:type="dxa"/>
            <w:vAlign w:val="bottom"/>
          </w:tcPr>
          <w:p w14:paraId="2513A4BF" w14:textId="75A3512D" w:rsidR="003958A0" w:rsidRPr="003958A0" w:rsidRDefault="003958A0" w:rsidP="003958A0">
            <w:pPr>
              <w:rPr>
                <w:rFonts w:ascii="Arial" w:hAnsi="Arial" w:cs="Arial"/>
                <w:b/>
                <w:bCs/>
                <w:sz w:val="18"/>
                <w:szCs w:val="18"/>
              </w:rPr>
            </w:pPr>
            <w:r w:rsidRPr="003958A0">
              <w:rPr>
                <w:rFonts w:ascii="Arial" w:hAnsi="Arial" w:cs="Arial"/>
                <w:b/>
                <w:bCs/>
                <w:sz w:val="18"/>
                <w:szCs w:val="18"/>
              </w:rPr>
              <w:t>No</w:t>
            </w:r>
          </w:p>
        </w:tc>
        <w:tc>
          <w:tcPr>
            <w:tcW w:w="1709" w:type="dxa"/>
            <w:vMerge/>
            <w:vAlign w:val="bottom"/>
          </w:tcPr>
          <w:p w14:paraId="7DA40C8C" w14:textId="77777777" w:rsidR="003958A0" w:rsidRPr="003958A0" w:rsidRDefault="003958A0" w:rsidP="003958A0">
            <w:pPr>
              <w:rPr>
                <w:rFonts w:ascii="Arial" w:hAnsi="Arial" w:cs="Arial"/>
                <w:sz w:val="18"/>
                <w:szCs w:val="18"/>
              </w:rPr>
            </w:pPr>
          </w:p>
        </w:tc>
        <w:tc>
          <w:tcPr>
            <w:tcW w:w="2160" w:type="dxa"/>
            <w:vMerge/>
            <w:vAlign w:val="bottom"/>
          </w:tcPr>
          <w:p w14:paraId="19825CE9" w14:textId="77777777" w:rsidR="003958A0" w:rsidRPr="003958A0" w:rsidRDefault="003958A0" w:rsidP="003958A0">
            <w:pPr>
              <w:rPr>
                <w:rFonts w:ascii="Arial" w:hAnsi="Arial" w:cs="Arial"/>
                <w:sz w:val="18"/>
                <w:szCs w:val="18"/>
              </w:rPr>
            </w:pPr>
          </w:p>
        </w:tc>
        <w:tc>
          <w:tcPr>
            <w:tcW w:w="2160" w:type="dxa"/>
            <w:vMerge/>
            <w:vAlign w:val="bottom"/>
          </w:tcPr>
          <w:p w14:paraId="39330879" w14:textId="77777777" w:rsidR="003958A0" w:rsidRPr="003958A0" w:rsidRDefault="003958A0" w:rsidP="003958A0">
            <w:pPr>
              <w:rPr>
                <w:rFonts w:ascii="Arial" w:hAnsi="Arial" w:cs="Arial"/>
                <w:sz w:val="18"/>
                <w:szCs w:val="18"/>
              </w:rPr>
            </w:pPr>
          </w:p>
        </w:tc>
        <w:tc>
          <w:tcPr>
            <w:tcW w:w="2605" w:type="dxa"/>
            <w:vMerge/>
            <w:vAlign w:val="bottom"/>
          </w:tcPr>
          <w:p w14:paraId="7D77DE02" w14:textId="77777777" w:rsidR="003958A0" w:rsidRPr="003958A0" w:rsidRDefault="003958A0" w:rsidP="003958A0">
            <w:pPr>
              <w:rPr>
                <w:rFonts w:ascii="Arial" w:hAnsi="Arial" w:cs="Arial"/>
                <w:sz w:val="18"/>
                <w:szCs w:val="18"/>
              </w:rPr>
            </w:pPr>
          </w:p>
        </w:tc>
      </w:tr>
      <w:tr w:rsidR="001A04FD" w:rsidRPr="003958A0" w14:paraId="1DEFB91C" w14:textId="7A8CF64C" w:rsidTr="003958A0">
        <w:tc>
          <w:tcPr>
            <w:tcW w:w="1983" w:type="dxa"/>
            <w:vAlign w:val="bottom"/>
          </w:tcPr>
          <w:p w14:paraId="52C78FC0" w14:textId="3687A6F2" w:rsidR="001A04FD" w:rsidRPr="003958A0" w:rsidRDefault="001A04FD" w:rsidP="003958A0">
            <w:pPr>
              <w:rPr>
                <w:rFonts w:ascii="Arial" w:hAnsi="Arial" w:cs="Arial"/>
                <w:sz w:val="18"/>
                <w:szCs w:val="18"/>
              </w:rPr>
            </w:pPr>
            <w:r w:rsidRPr="003958A0">
              <w:rPr>
                <w:rFonts w:ascii="Arial" w:hAnsi="Arial" w:cs="Arial"/>
                <w:sz w:val="18"/>
                <w:szCs w:val="18"/>
              </w:rPr>
              <w:t>Recurrence</w:t>
            </w:r>
          </w:p>
        </w:tc>
        <w:tc>
          <w:tcPr>
            <w:tcW w:w="561" w:type="dxa"/>
            <w:vAlign w:val="bottom"/>
          </w:tcPr>
          <w:p w14:paraId="4CE2A5C5" w14:textId="370B949C" w:rsidR="001A04FD" w:rsidRPr="003958A0" w:rsidRDefault="001A04FD" w:rsidP="003958A0">
            <w:pPr>
              <w:rPr>
                <w:rFonts w:ascii="Arial" w:hAnsi="Arial" w:cs="Arial"/>
                <w:sz w:val="18"/>
                <w:szCs w:val="18"/>
              </w:rPr>
            </w:pPr>
            <w:r w:rsidRPr="003958A0">
              <w:rPr>
                <w:rFonts w:ascii="Arial" w:hAnsi="Arial" w:cs="Arial"/>
                <w:sz w:val="18"/>
                <w:szCs w:val="18"/>
              </w:rPr>
              <w:t>15</w:t>
            </w:r>
          </w:p>
        </w:tc>
        <w:tc>
          <w:tcPr>
            <w:tcW w:w="550" w:type="dxa"/>
            <w:vAlign w:val="bottom"/>
          </w:tcPr>
          <w:p w14:paraId="2DFE5B6C" w14:textId="52510853" w:rsidR="001A04FD" w:rsidRPr="003958A0" w:rsidRDefault="001A04FD" w:rsidP="003958A0">
            <w:pPr>
              <w:rPr>
                <w:rFonts w:ascii="Arial" w:hAnsi="Arial" w:cs="Arial"/>
                <w:sz w:val="18"/>
                <w:szCs w:val="18"/>
              </w:rPr>
            </w:pPr>
            <w:r w:rsidRPr="003958A0">
              <w:rPr>
                <w:rFonts w:ascii="Arial" w:hAnsi="Arial" w:cs="Arial"/>
                <w:sz w:val="18"/>
                <w:szCs w:val="18"/>
              </w:rPr>
              <w:t>842</w:t>
            </w:r>
          </w:p>
        </w:tc>
        <w:tc>
          <w:tcPr>
            <w:tcW w:w="561" w:type="dxa"/>
            <w:vAlign w:val="bottom"/>
          </w:tcPr>
          <w:p w14:paraId="12060472" w14:textId="09B94853" w:rsidR="001A04FD" w:rsidRPr="003958A0" w:rsidRDefault="001A04FD" w:rsidP="003958A0">
            <w:pPr>
              <w:rPr>
                <w:rFonts w:ascii="Arial" w:hAnsi="Arial" w:cs="Arial"/>
                <w:sz w:val="18"/>
                <w:szCs w:val="18"/>
              </w:rPr>
            </w:pPr>
            <w:r w:rsidRPr="003958A0">
              <w:rPr>
                <w:rFonts w:ascii="Arial" w:hAnsi="Arial" w:cs="Arial"/>
                <w:sz w:val="18"/>
                <w:szCs w:val="18"/>
              </w:rPr>
              <w:t>20</w:t>
            </w:r>
          </w:p>
        </w:tc>
        <w:tc>
          <w:tcPr>
            <w:tcW w:w="661" w:type="dxa"/>
            <w:vAlign w:val="bottom"/>
          </w:tcPr>
          <w:p w14:paraId="0BE54476" w14:textId="24184868" w:rsidR="001A04FD" w:rsidRPr="003958A0" w:rsidRDefault="001A04FD" w:rsidP="003958A0">
            <w:pPr>
              <w:rPr>
                <w:rFonts w:ascii="Arial" w:hAnsi="Arial" w:cs="Arial"/>
                <w:sz w:val="18"/>
                <w:szCs w:val="18"/>
              </w:rPr>
            </w:pPr>
            <w:r w:rsidRPr="003958A0">
              <w:rPr>
                <w:rFonts w:ascii="Arial" w:hAnsi="Arial" w:cs="Arial"/>
                <w:sz w:val="18"/>
                <w:szCs w:val="18"/>
              </w:rPr>
              <w:t>905</w:t>
            </w:r>
          </w:p>
        </w:tc>
        <w:tc>
          <w:tcPr>
            <w:tcW w:w="1709" w:type="dxa"/>
            <w:vAlign w:val="bottom"/>
          </w:tcPr>
          <w:p w14:paraId="75801B6F" w14:textId="64E4D5B0" w:rsidR="001A04FD" w:rsidRPr="003958A0" w:rsidRDefault="001A04FD" w:rsidP="003958A0">
            <w:pPr>
              <w:rPr>
                <w:rFonts w:ascii="Arial" w:hAnsi="Arial" w:cs="Arial"/>
                <w:sz w:val="18"/>
                <w:szCs w:val="18"/>
              </w:rPr>
            </w:pPr>
            <w:r w:rsidRPr="003958A0">
              <w:rPr>
                <w:rFonts w:ascii="Arial" w:hAnsi="Arial" w:cs="Arial"/>
                <w:sz w:val="18"/>
                <w:szCs w:val="18"/>
              </w:rPr>
              <w:t>1.24 (0.63, 2.44)</w:t>
            </w:r>
          </w:p>
        </w:tc>
        <w:tc>
          <w:tcPr>
            <w:tcW w:w="2160" w:type="dxa"/>
            <w:vAlign w:val="bottom"/>
          </w:tcPr>
          <w:p w14:paraId="4EA976D9" w14:textId="2AACE7AC" w:rsidR="001A04FD" w:rsidRPr="003958A0" w:rsidRDefault="001A04FD" w:rsidP="003958A0">
            <w:pPr>
              <w:rPr>
                <w:rFonts w:ascii="Arial" w:hAnsi="Arial" w:cs="Arial"/>
                <w:sz w:val="18"/>
                <w:szCs w:val="18"/>
              </w:rPr>
            </w:pPr>
            <w:r w:rsidRPr="003958A0">
              <w:rPr>
                <w:rFonts w:ascii="Arial" w:hAnsi="Arial" w:cs="Arial"/>
                <w:sz w:val="18"/>
                <w:szCs w:val="18"/>
              </w:rPr>
              <w:t>Open, but not significant</w:t>
            </w:r>
          </w:p>
        </w:tc>
        <w:tc>
          <w:tcPr>
            <w:tcW w:w="2160" w:type="dxa"/>
            <w:vAlign w:val="bottom"/>
          </w:tcPr>
          <w:p w14:paraId="56413088" w14:textId="77563255" w:rsidR="001A04FD" w:rsidRPr="003958A0" w:rsidRDefault="001A04FD" w:rsidP="003958A0">
            <w:pPr>
              <w:rPr>
                <w:rFonts w:ascii="Arial" w:hAnsi="Arial" w:cs="Arial"/>
                <w:sz w:val="18"/>
                <w:szCs w:val="18"/>
              </w:rPr>
            </w:pPr>
            <w:r w:rsidRPr="003958A0">
              <w:rPr>
                <w:rFonts w:ascii="Arial" w:hAnsi="Arial" w:cs="Arial"/>
                <w:sz w:val="18"/>
                <w:szCs w:val="18"/>
              </w:rPr>
              <w:t>Generate; 8 fewer open</w:t>
            </w:r>
          </w:p>
        </w:tc>
        <w:tc>
          <w:tcPr>
            <w:tcW w:w="2605" w:type="dxa"/>
            <w:vAlign w:val="bottom"/>
          </w:tcPr>
          <w:p w14:paraId="0CD1C051" w14:textId="70330B74" w:rsidR="001A04FD" w:rsidRPr="003958A0" w:rsidRDefault="001A04FD" w:rsidP="003958A0">
            <w:pPr>
              <w:rPr>
                <w:rFonts w:ascii="Arial" w:hAnsi="Arial" w:cs="Arial"/>
                <w:sz w:val="18"/>
                <w:szCs w:val="18"/>
              </w:rPr>
            </w:pPr>
            <w:r w:rsidRPr="003958A0">
              <w:rPr>
                <w:rFonts w:ascii="Arial" w:hAnsi="Arial" w:cs="Arial"/>
                <w:sz w:val="18"/>
                <w:szCs w:val="18"/>
              </w:rPr>
              <w:t>9 open</w:t>
            </w:r>
          </w:p>
        </w:tc>
      </w:tr>
      <w:tr w:rsidR="001A04FD" w:rsidRPr="003958A0" w14:paraId="1E04614C" w14:textId="65CB9CE5" w:rsidTr="003958A0">
        <w:tc>
          <w:tcPr>
            <w:tcW w:w="1983" w:type="dxa"/>
            <w:vAlign w:val="bottom"/>
          </w:tcPr>
          <w:p w14:paraId="109D29A3" w14:textId="394A3432" w:rsidR="001A04FD" w:rsidRPr="003958A0" w:rsidRDefault="001A04FD" w:rsidP="003958A0">
            <w:pPr>
              <w:rPr>
                <w:rFonts w:ascii="Arial" w:hAnsi="Arial" w:cs="Arial"/>
                <w:sz w:val="18"/>
                <w:szCs w:val="18"/>
              </w:rPr>
            </w:pPr>
            <w:r w:rsidRPr="003958A0">
              <w:rPr>
                <w:rFonts w:ascii="Arial" w:hAnsi="Arial" w:cs="Arial"/>
                <w:sz w:val="18"/>
                <w:szCs w:val="18"/>
              </w:rPr>
              <w:t>Chronic pain</w:t>
            </w:r>
          </w:p>
        </w:tc>
        <w:tc>
          <w:tcPr>
            <w:tcW w:w="561" w:type="dxa"/>
            <w:vAlign w:val="bottom"/>
          </w:tcPr>
          <w:p w14:paraId="78530A1C" w14:textId="19AA5B5F" w:rsidR="001A04FD" w:rsidRPr="003958A0" w:rsidRDefault="001A04FD" w:rsidP="003958A0">
            <w:pPr>
              <w:rPr>
                <w:rFonts w:ascii="Arial" w:hAnsi="Arial" w:cs="Arial"/>
                <w:sz w:val="18"/>
                <w:szCs w:val="18"/>
              </w:rPr>
            </w:pPr>
            <w:r w:rsidRPr="003958A0">
              <w:rPr>
                <w:rFonts w:ascii="Arial" w:hAnsi="Arial" w:cs="Arial"/>
                <w:sz w:val="18"/>
                <w:szCs w:val="18"/>
              </w:rPr>
              <w:t>98</w:t>
            </w:r>
          </w:p>
        </w:tc>
        <w:tc>
          <w:tcPr>
            <w:tcW w:w="550" w:type="dxa"/>
            <w:vAlign w:val="bottom"/>
          </w:tcPr>
          <w:p w14:paraId="24B7C158" w14:textId="37801A56" w:rsidR="001A04FD" w:rsidRPr="003958A0" w:rsidRDefault="001A04FD" w:rsidP="003958A0">
            <w:pPr>
              <w:rPr>
                <w:rFonts w:ascii="Arial" w:hAnsi="Arial" w:cs="Arial"/>
                <w:sz w:val="18"/>
                <w:szCs w:val="18"/>
              </w:rPr>
            </w:pPr>
            <w:r w:rsidRPr="003958A0">
              <w:rPr>
                <w:rFonts w:ascii="Arial" w:hAnsi="Arial" w:cs="Arial"/>
                <w:sz w:val="18"/>
                <w:szCs w:val="18"/>
              </w:rPr>
              <w:t>662</w:t>
            </w:r>
          </w:p>
        </w:tc>
        <w:tc>
          <w:tcPr>
            <w:tcW w:w="561" w:type="dxa"/>
            <w:vAlign w:val="bottom"/>
          </w:tcPr>
          <w:p w14:paraId="38811979" w14:textId="487F3261" w:rsidR="001A04FD" w:rsidRPr="003958A0" w:rsidRDefault="001A04FD" w:rsidP="003958A0">
            <w:pPr>
              <w:rPr>
                <w:rFonts w:ascii="Arial" w:hAnsi="Arial" w:cs="Arial"/>
                <w:sz w:val="18"/>
                <w:szCs w:val="18"/>
              </w:rPr>
            </w:pPr>
            <w:r w:rsidRPr="003958A0">
              <w:rPr>
                <w:rFonts w:ascii="Arial" w:hAnsi="Arial" w:cs="Arial"/>
                <w:sz w:val="18"/>
                <w:szCs w:val="18"/>
              </w:rPr>
              <w:t>41</w:t>
            </w:r>
          </w:p>
        </w:tc>
        <w:tc>
          <w:tcPr>
            <w:tcW w:w="661" w:type="dxa"/>
            <w:vAlign w:val="bottom"/>
          </w:tcPr>
          <w:p w14:paraId="4BBAFBE4" w14:textId="52BC849C" w:rsidR="001A04FD" w:rsidRPr="003958A0" w:rsidRDefault="001A04FD" w:rsidP="003958A0">
            <w:pPr>
              <w:rPr>
                <w:rFonts w:ascii="Arial" w:hAnsi="Arial" w:cs="Arial"/>
                <w:sz w:val="18"/>
                <w:szCs w:val="18"/>
              </w:rPr>
            </w:pPr>
            <w:r w:rsidRPr="003958A0">
              <w:rPr>
                <w:rFonts w:ascii="Arial" w:hAnsi="Arial" w:cs="Arial"/>
                <w:sz w:val="18"/>
                <w:szCs w:val="18"/>
              </w:rPr>
              <w:t>815</w:t>
            </w:r>
          </w:p>
        </w:tc>
        <w:tc>
          <w:tcPr>
            <w:tcW w:w="1709" w:type="dxa"/>
            <w:vAlign w:val="bottom"/>
          </w:tcPr>
          <w:p w14:paraId="5F5E37DD" w14:textId="293D9420" w:rsidR="001A04FD" w:rsidRPr="003958A0" w:rsidRDefault="001A04FD" w:rsidP="003958A0">
            <w:pPr>
              <w:rPr>
                <w:rFonts w:ascii="Arial" w:hAnsi="Arial" w:cs="Arial"/>
                <w:sz w:val="18"/>
                <w:szCs w:val="18"/>
              </w:rPr>
            </w:pPr>
            <w:r w:rsidRPr="003958A0">
              <w:rPr>
                <w:rFonts w:ascii="Arial" w:hAnsi="Arial" w:cs="Arial"/>
                <w:sz w:val="18"/>
                <w:szCs w:val="18"/>
              </w:rPr>
              <w:t>0.34 (0.23, 0.5</w:t>
            </w:r>
            <w:r w:rsidR="003958A0">
              <w:rPr>
                <w:rFonts w:ascii="Arial" w:hAnsi="Arial" w:cs="Arial"/>
                <w:sz w:val="18"/>
                <w:szCs w:val="18"/>
              </w:rPr>
              <w:t>0</w:t>
            </w:r>
            <w:r w:rsidRPr="003958A0">
              <w:rPr>
                <w:rFonts w:ascii="Arial" w:hAnsi="Arial" w:cs="Arial"/>
                <w:sz w:val="18"/>
                <w:szCs w:val="18"/>
              </w:rPr>
              <w:t>)</w:t>
            </w:r>
          </w:p>
        </w:tc>
        <w:tc>
          <w:tcPr>
            <w:tcW w:w="2160" w:type="dxa"/>
            <w:vAlign w:val="bottom"/>
          </w:tcPr>
          <w:p w14:paraId="3C91F18D" w14:textId="4B36D642" w:rsidR="001A04FD" w:rsidRPr="003958A0" w:rsidRDefault="001A04FD" w:rsidP="003958A0">
            <w:pPr>
              <w:rPr>
                <w:rFonts w:ascii="Arial" w:hAnsi="Arial" w:cs="Arial"/>
                <w:sz w:val="18"/>
                <w:szCs w:val="18"/>
              </w:rPr>
            </w:pPr>
            <w:r w:rsidRPr="003958A0">
              <w:rPr>
                <w:rFonts w:ascii="Arial" w:hAnsi="Arial" w:cs="Arial"/>
                <w:sz w:val="18"/>
                <w:szCs w:val="18"/>
              </w:rPr>
              <w:t>MIS</w:t>
            </w:r>
          </w:p>
        </w:tc>
        <w:tc>
          <w:tcPr>
            <w:tcW w:w="2160" w:type="dxa"/>
            <w:vAlign w:val="bottom"/>
          </w:tcPr>
          <w:p w14:paraId="45EC8703" w14:textId="76D92217" w:rsidR="001A04FD" w:rsidRPr="003958A0" w:rsidRDefault="001A04FD" w:rsidP="003958A0">
            <w:pPr>
              <w:rPr>
                <w:rFonts w:ascii="Arial" w:hAnsi="Arial" w:cs="Arial"/>
                <w:sz w:val="18"/>
                <w:szCs w:val="18"/>
              </w:rPr>
            </w:pPr>
            <w:r w:rsidRPr="003958A0">
              <w:rPr>
                <w:rFonts w:ascii="Arial" w:hAnsi="Arial" w:cs="Arial"/>
                <w:sz w:val="18"/>
                <w:szCs w:val="18"/>
              </w:rPr>
              <w:t>Overturn; 44 fewer open</w:t>
            </w:r>
          </w:p>
        </w:tc>
        <w:tc>
          <w:tcPr>
            <w:tcW w:w="2605" w:type="dxa"/>
            <w:vAlign w:val="bottom"/>
          </w:tcPr>
          <w:p w14:paraId="4F4EE33E" w14:textId="2D370AF7" w:rsidR="001A04FD" w:rsidRPr="003958A0" w:rsidRDefault="001A04FD" w:rsidP="003958A0">
            <w:pPr>
              <w:rPr>
                <w:rFonts w:ascii="Arial" w:hAnsi="Arial" w:cs="Arial"/>
                <w:sz w:val="18"/>
                <w:szCs w:val="18"/>
              </w:rPr>
            </w:pPr>
            <w:r w:rsidRPr="003958A0">
              <w:rPr>
                <w:rFonts w:ascii="Arial" w:hAnsi="Arial" w:cs="Arial"/>
                <w:sz w:val="18"/>
                <w:szCs w:val="18"/>
              </w:rPr>
              <w:t>49 open</w:t>
            </w:r>
          </w:p>
        </w:tc>
      </w:tr>
      <w:tr w:rsidR="001A04FD" w:rsidRPr="003958A0" w14:paraId="247F6B51" w14:textId="2070AA80" w:rsidTr="003958A0">
        <w:tc>
          <w:tcPr>
            <w:tcW w:w="1983" w:type="dxa"/>
            <w:vAlign w:val="bottom"/>
          </w:tcPr>
          <w:p w14:paraId="291566F8" w14:textId="39EE4D2C" w:rsidR="001A04FD" w:rsidRPr="003958A0" w:rsidRDefault="001A04FD" w:rsidP="003958A0">
            <w:pPr>
              <w:rPr>
                <w:rFonts w:ascii="Arial" w:hAnsi="Arial" w:cs="Arial"/>
                <w:sz w:val="18"/>
                <w:szCs w:val="18"/>
              </w:rPr>
            </w:pPr>
            <w:r w:rsidRPr="003958A0">
              <w:rPr>
                <w:rFonts w:ascii="Arial" w:hAnsi="Arial" w:cs="Arial"/>
                <w:sz w:val="18"/>
                <w:szCs w:val="18"/>
              </w:rPr>
              <w:t>Wound infection</w:t>
            </w:r>
          </w:p>
        </w:tc>
        <w:tc>
          <w:tcPr>
            <w:tcW w:w="561" w:type="dxa"/>
            <w:vAlign w:val="bottom"/>
          </w:tcPr>
          <w:p w14:paraId="351C0113" w14:textId="79623C9F" w:rsidR="001A04FD" w:rsidRPr="003958A0" w:rsidRDefault="001A04FD" w:rsidP="003958A0">
            <w:pPr>
              <w:rPr>
                <w:rFonts w:ascii="Arial" w:hAnsi="Arial" w:cs="Arial"/>
                <w:sz w:val="18"/>
                <w:szCs w:val="18"/>
              </w:rPr>
            </w:pPr>
            <w:r w:rsidRPr="003958A0">
              <w:rPr>
                <w:rFonts w:ascii="Arial" w:hAnsi="Arial" w:cs="Arial"/>
                <w:sz w:val="18"/>
                <w:szCs w:val="18"/>
              </w:rPr>
              <w:t>45</w:t>
            </w:r>
          </w:p>
        </w:tc>
        <w:tc>
          <w:tcPr>
            <w:tcW w:w="550" w:type="dxa"/>
            <w:vAlign w:val="bottom"/>
          </w:tcPr>
          <w:p w14:paraId="0E620C99" w14:textId="48BC8F8E" w:rsidR="001A04FD" w:rsidRPr="003958A0" w:rsidRDefault="001A04FD" w:rsidP="003958A0">
            <w:pPr>
              <w:rPr>
                <w:rFonts w:ascii="Arial" w:hAnsi="Arial" w:cs="Arial"/>
                <w:sz w:val="18"/>
                <w:szCs w:val="18"/>
              </w:rPr>
            </w:pPr>
            <w:r w:rsidRPr="003958A0">
              <w:rPr>
                <w:rFonts w:ascii="Arial" w:hAnsi="Arial" w:cs="Arial"/>
                <w:sz w:val="18"/>
                <w:szCs w:val="18"/>
              </w:rPr>
              <w:t>905</w:t>
            </w:r>
          </w:p>
        </w:tc>
        <w:tc>
          <w:tcPr>
            <w:tcW w:w="561" w:type="dxa"/>
            <w:vAlign w:val="bottom"/>
          </w:tcPr>
          <w:p w14:paraId="628A0320" w14:textId="04DC14BB" w:rsidR="001A04FD" w:rsidRPr="003958A0" w:rsidRDefault="001A04FD" w:rsidP="003958A0">
            <w:pPr>
              <w:rPr>
                <w:rFonts w:ascii="Arial" w:hAnsi="Arial" w:cs="Arial"/>
                <w:sz w:val="18"/>
                <w:szCs w:val="18"/>
              </w:rPr>
            </w:pPr>
            <w:r w:rsidRPr="003958A0">
              <w:rPr>
                <w:rFonts w:ascii="Arial" w:hAnsi="Arial" w:cs="Arial"/>
                <w:sz w:val="18"/>
                <w:szCs w:val="18"/>
              </w:rPr>
              <w:t>4</w:t>
            </w:r>
          </w:p>
        </w:tc>
        <w:tc>
          <w:tcPr>
            <w:tcW w:w="661" w:type="dxa"/>
            <w:vAlign w:val="bottom"/>
          </w:tcPr>
          <w:p w14:paraId="63A6CFA5" w14:textId="0A13EAC1" w:rsidR="001A04FD" w:rsidRPr="003958A0" w:rsidRDefault="001A04FD" w:rsidP="003958A0">
            <w:pPr>
              <w:rPr>
                <w:rFonts w:ascii="Arial" w:hAnsi="Arial" w:cs="Arial"/>
                <w:sz w:val="18"/>
                <w:szCs w:val="18"/>
              </w:rPr>
            </w:pPr>
            <w:r w:rsidRPr="003958A0">
              <w:rPr>
                <w:rFonts w:ascii="Arial" w:hAnsi="Arial" w:cs="Arial"/>
                <w:sz w:val="18"/>
                <w:szCs w:val="18"/>
              </w:rPr>
              <w:t>944</w:t>
            </w:r>
          </w:p>
        </w:tc>
        <w:tc>
          <w:tcPr>
            <w:tcW w:w="1709" w:type="dxa"/>
            <w:vAlign w:val="bottom"/>
          </w:tcPr>
          <w:p w14:paraId="1178D1CC" w14:textId="4B4EC832" w:rsidR="001A04FD" w:rsidRPr="003958A0" w:rsidRDefault="001A04FD" w:rsidP="003958A0">
            <w:pPr>
              <w:rPr>
                <w:rFonts w:ascii="Arial" w:hAnsi="Arial" w:cs="Arial"/>
                <w:sz w:val="18"/>
                <w:szCs w:val="18"/>
              </w:rPr>
            </w:pPr>
            <w:r w:rsidRPr="003958A0">
              <w:rPr>
                <w:rFonts w:ascii="Arial" w:hAnsi="Arial" w:cs="Arial"/>
                <w:sz w:val="18"/>
                <w:szCs w:val="18"/>
              </w:rPr>
              <w:t>0.09 (0.03, 0.24)</w:t>
            </w:r>
          </w:p>
        </w:tc>
        <w:tc>
          <w:tcPr>
            <w:tcW w:w="2160" w:type="dxa"/>
            <w:vAlign w:val="bottom"/>
          </w:tcPr>
          <w:p w14:paraId="63154551" w14:textId="45915642" w:rsidR="001A04FD" w:rsidRPr="003958A0" w:rsidRDefault="001A04FD" w:rsidP="003958A0">
            <w:pPr>
              <w:rPr>
                <w:rFonts w:ascii="Arial" w:hAnsi="Arial" w:cs="Arial"/>
                <w:sz w:val="18"/>
                <w:szCs w:val="18"/>
              </w:rPr>
            </w:pPr>
            <w:r w:rsidRPr="003958A0">
              <w:rPr>
                <w:rFonts w:ascii="Arial" w:hAnsi="Arial" w:cs="Arial"/>
                <w:sz w:val="18"/>
                <w:szCs w:val="18"/>
              </w:rPr>
              <w:t>MIS</w:t>
            </w:r>
          </w:p>
        </w:tc>
        <w:tc>
          <w:tcPr>
            <w:tcW w:w="2160" w:type="dxa"/>
            <w:vAlign w:val="bottom"/>
          </w:tcPr>
          <w:p w14:paraId="421115D5" w14:textId="60EC3171" w:rsidR="001A04FD" w:rsidRPr="003958A0" w:rsidRDefault="001A04FD" w:rsidP="003958A0">
            <w:pPr>
              <w:rPr>
                <w:rFonts w:ascii="Arial" w:hAnsi="Arial" w:cs="Arial"/>
                <w:sz w:val="18"/>
                <w:szCs w:val="18"/>
              </w:rPr>
            </w:pPr>
            <w:r w:rsidRPr="003958A0">
              <w:rPr>
                <w:rFonts w:ascii="Arial" w:hAnsi="Arial" w:cs="Arial"/>
                <w:sz w:val="18"/>
                <w:szCs w:val="18"/>
              </w:rPr>
              <w:t>Overturn; 33 fewer open</w:t>
            </w:r>
          </w:p>
        </w:tc>
        <w:tc>
          <w:tcPr>
            <w:tcW w:w="2605" w:type="dxa"/>
            <w:vAlign w:val="bottom"/>
          </w:tcPr>
          <w:p w14:paraId="1D49B656" w14:textId="05DC2818" w:rsidR="001A04FD" w:rsidRPr="003958A0" w:rsidRDefault="001A04FD" w:rsidP="003958A0">
            <w:pPr>
              <w:rPr>
                <w:rFonts w:ascii="Arial" w:hAnsi="Arial" w:cs="Arial"/>
                <w:sz w:val="18"/>
                <w:szCs w:val="18"/>
              </w:rPr>
            </w:pPr>
            <w:r w:rsidRPr="003958A0">
              <w:rPr>
                <w:rFonts w:ascii="Arial" w:hAnsi="Arial" w:cs="Arial"/>
                <w:sz w:val="18"/>
                <w:szCs w:val="18"/>
              </w:rPr>
              <w:t>34 open</w:t>
            </w:r>
          </w:p>
        </w:tc>
      </w:tr>
      <w:tr w:rsidR="001A04FD" w:rsidRPr="003958A0" w14:paraId="31CECE59" w14:textId="2FE4BFCF" w:rsidTr="003958A0">
        <w:tc>
          <w:tcPr>
            <w:tcW w:w="1983" w:type="dxa"/>
            <w:vAlign w:val="bottom"/>
          </w:tcPr>
          <w:p w14:paraId="4744BB39" w14:textId="4D2386BD" w:rsidR="001A04FD" w:rsidRPr="003958A0" w:rsidRDefault="001A04FD" w:rsidP="003958A0">
            <w:pPr>
              <w:rPr>
                <w:rFonts w:ascii="Arial" w:hAnsi="Arial" w:cs="Arial"/>
                <w:sz w:val="18"/>
                <w:szCs w:val="18"/>
              </w:rPr>
            </w:pPr>
            <w:r w:rsidRPr="003958A0">
              <w:rPr>
                <w:rFonts w:ascii="Arial" w:hAnsi="Arial" w:cs="Arial"/>
                <w:sz w:val="18"/>
                <w:szCs w:val="18"/>
              </w:rPr>
              <w:t>Hematoma/seroma</w:t>
            </w:r>
          </w:p>
        </w:tc>
        <w:tc>
          <w:tcPr>
            <w:tcW w:w="561" w:type="dxa"/>
            <w:vAlign w:val="bottom"/>
          </w:tcPr>
          <w:p w14:paraId="32CF4769" w14:textId="56F70318" w:rsidR="001A04FD" w:rsidRPr="003958A0" w:rsidRDefault="001A04FD" w:rsidP="003958A0">
            <w:pPr>
              <w:rPr>
                <w:rFonts w:ascii="Arial" w:hAnsi="Arial" w:cs="Arial"/>
                <w:sz w:val="18"/>
                <w:szCs w:val="18"/>
              </w:rPr>
            </w:pPr>
            <w:r w:rsidRPr="003958A0">
              <w:rPr>
                <w:rFonts w:ascii="Arial" w:hAnsi="Arial" w:cs="Arial"/>
                <w:sz w:val="18"/>
                <w:szCs w:val="18"/>
              </w:rPr>
              <w:t>64</w:t>
            </w:r>
          </w:p>
        </w:tc>
        <w:tc>
          <w:tcPr>
            <w:tcW w:w="550" w:type="dxa"/>
            <w:vAlign w:val="bottom"/>
          </w:tcPr>
          <w:p w14:paraId="54F3487B" w14:textId="5D3E83B6" w:rsidR="001A04FD" w:rsidRPr="003958A0" w:rsidRDefault="001A04FD" w:rsidP="003958A0">
            <w:pPr>
              <w:rPr>
                <w:rFonts w:ascii="Arial" w:hAnsi="Arial" w:cs="Arial"/>
                <w:sz w:val="18"/>
                <w:szCs w:val="18"/>
              </w:rPr>
            </w:pPr>
            <w:r w:rsidRPr="003958A0">
              <w:rPr>
                <w:rFonts w:ascii="Arial" w:hAnsi="Arial" w:cs="Arial"/>
                <w:sz w:val="18"/>
                <w:szCs w:val="18"/>
              </w:rPr>
              <w:t>977</w:t>
            </w:r>
          </w:p>
        </w:tc>
        <w:tc>
          <w:tcPr>
            <w:tcW w:w="561" w:type="dxa"/>
            <w:vAlign w:val="bottom"/>
          </w:tcPr>
          <w:p w14:paraId="14307F83" w14:textId="424FCEB5" w:rsidR="001A04FD" w:rsidRPr="003958A0" w:rsidRDefault="001A04FD" w:rsidP="003958A0">
            <w:pPr>
              <w:rPr>
                <w:rFonts w:ascii="Arial" w:hAnsi="Arial" w:cs="Arial"/>
                <w:sz w:val="18"/>
                <w:szCs w:val="18"/>
              </w:rPr>
            </w:pPr>
            <w:r w:rsidRPr="003958A0">
              <w:rPr>
                <w:rFonts w:ascii="Arial" w:hAnsi="Arial" w:cs="Arial"/>
                <w:sz w:val="18"/>
                <w:szCs w:val="18"/>
              </w:rPr>
              <w:t>48</w:t>
            </w:r>
          </w:p>
        </w:tc>
        <w:tc>
          <w:tcPr>
            <w:tcW w:w="661" w:type="dxa"/>
            <w:vAlign w:val="bottom"/>
          </w:tcPr>
          <w:p w14:paraId="23987C7D" w14:textId="0AB9DDAF" w:rsidR="001A04FD" w:rsidRPr="003958A0" w:rsidRDefault="001A04FD" w:rsidP="003958A0">
            <w:pPr>
              <w:rPr>
                <w:rFonts w:ascii="Arial" w:hAnsi="Arial" w:cs="Arial"/>
                <w:sz w:val="18"/>
                <w:szCs w:val="18"/>
              </w:rPr>
            </w:pPr>
            <w:r w:rsidRPr="003958A0">
              <w:rPr>
                <w:rFonts w:ascii="Arial" w:hAnsi="Arial" w:cs="Arial"/>
                <w:sz w:val="18"/>
                <w:szCs w:val="18"/>
              </w:rPr>
              <w:t>1081</w:t>
            </w:r>
          </w:p>
        </w:tc>
        <w:tc>
          <w:tcPr>
            <w:tcW w:w="1709" w:type="dxa"/>
            <w:vAlign w:val="bottom"/>
          </w:tcPr>
          <w:p w14:paraId="2BEC8E38" w14:textId="26E7E4B4" w:rsidR="001A04FD" w:rsidRPr="003958A0" w:rsidRDefault="001A04FD" w:rsidP="003958A0">
            <w:pPr>
              <w:rPr>
                <w:rFonts w:ascii="Arial" w:hAnsi="Arial" w:cs="Arial"/>
                <w:sz w:val="18"/>
                <w:szCs w:val="18"/>
              </w:rPr>
            </w:pPr>
            <w:r w:rsidRPr="003958A0">
              <w:rPr>
                <w:rFonts w:ascii="Arial" w:hAnsi="Arial" w:cs="Arial"/>
                <w:sz w:val="18"/>
                <w:szCs w:val="18"/>
              </w:rPr>
              <w:t>0.68 (0.46, 1</w:t>
            </w:r>
            <w:r w:rsidR="003958A0">
              <w:rPr>
                <w:rFonts w:ascii="Arial" w:hAnsi="Arial" w:cs="Arial"/>
                <w:sz w:val="18"/>
                <w:szCs w:val="18"/>
              </w:rPr>
              <w:t>.00</w:t>
            </w:r>
            <w:r w:rsidRPr="003958A0">
              <w:rPr>
                <w:rFonts w:ascii="Arial" w:hAnsi="Arial" w:cs="Arial"/>
                <w:sz w:val="18"/>
                <w:szCs w:val="18"/>
              </w:rPr>
              <w:t>)</w:t>
            </w:r>
          </w:p>
        </w:tc>
        <w:tc>
          <w:tcPr>
            <w:tcW w:w="2160" w:type="dxa"/>
            <w:vAlign w:val="bottom"/>
          </w:tcPr>
          <w:p w14:paraId="2D18C6C6" w14:textId="544B8855" w:rsidR="001A04FD" w:rsidRPr="003958A0" w:rsidRDefault="003958A0" w:rsidP="003958A0">
            <w:pPr>
              <w:rPr>
                <w:rFonts w:ascii="Arial" w:hAnsi="Arial" w:cs="Arial"/>
                <w:sz w:val="18"/>
                <w:szCs w:val="18"/>
              </w:rPr>
            </w:pPr>
            <w:r w:rsidRPr="003958A0">
              <w:rPr>
                <w:rFonts w:ascii="Arial" w:hAnsi="Arial" w:cs="Arial"/>
                <w:sz w:val="18"/>
                <w:szCs w:val="18"/>
              </w:rPr>
              <w:t>MIS, but not significant</w:t>
            </w:r>
          </w:p>
        </w:tc>
        <w:tc>
          <w:tcPr>
            <w:tcW w:w="2160" w:type="dxa"/>
            <w:vAlign w:val="bottom"/>
          </w:tcPr>
          <w:p w14:paraId="2A8E57E6" w14:textId="605830D4" w:rsidR="001A04FD" w:rsidRPr="003958A0" w:rsidRDefault="003958A0" w:rsidP="003958A0">
            <w:pPr>
              <w:rPr>
                <w:rFonts w:ascii="Arial" w:hAnsi="Arial" w:cs="Arial"/>
                <w:sz w:val="18"/>
                <w:szCs w:val="18"/>
              </w:rPr>
            </w:pPr>
            <w:r w:rsidRPr="003958A0">
              <w:rPr>
                <w:rFonts w:ascii="Arial" w:hAnsi="Arial" w:cs="Arial"/>
                <w:sz w:val="18"/>
                <w:szCs w:val="18"/>
              </w:rPr>
              <w:t>Generate; 1 fewer MIS</w:t>
            </w:r>
          </w:p>
        </w:tc>
        <w:tc>
          <w:tcPr>
            <w:tcW w:w="2605" w:type="dxa"/>
            <w:vAlign w:val="bottom"/>
          </w:tcPr>
          <w:p w14:paraId="759F355F" w14:textId="028D1716" w:rsidR="001A04FD" w:rsidRPr="003958A0" w:rsidRDefault="003958A0" w:rsidP="003958A0">
            <w:pPr>
              <w:rPr>
                <w:rFonts w:ascii="Arial" w:hAnsi="Arial" w:cs="Arial"/>
                <w:sz w:val="18"/>
                <w:szCs w:val="18"/>
              </w:rPr>
            </w:pPr>
            <w:r w:rsidRPr="003958A0">
              <w:rPr>
                <w:rFonts w:ascii="Arial" w:hAnsi="Arial" w:cs="Arial"/>
                <w:sz w:val="18"/>
                <w:szCs w:val="18"/>
              </w:rPr>
              <w:t>2 MIS</w:t>
            </w:r>
          </w:p>
        </w:tc>
      </w:tr>
      <w:tr w:rsidR="003958A0" w:rsidRPr="003958A0" w14:paraId="7E946AEF" w14:textId="77CF8128" w:rsidTr="003958A0">
        <w:tc>
          <w:tcPr>
            <w:tcW w:w="1983" w:type="dxa"/>
            <w:vAlign w:val="bottom"/>
          </w:tcPr>
          <w:p w14:paraId="551321B5" w14:textId="56291735" w:rsidR="003958A0" w:rsidRPr="003958A0" w:rsidRDefault="003958A0" w:rsidP="003958A0">
            <w:pPr>
              <w:rPr>
                <w:rFonts w:ascii="Arial" w:hAnsi="Arial" w:cs="Arial"/>
                <w:sz w:val="18"/>
                <w:szCs w:val="18"/>
              </w:rPr>
            </w:pPr>
            <w:r w:rsidRPr="003958A0">
              <w:rPr>
                <w:rFonts w:ascii="Arial" w:hAnsi="Arial" w:cs="Arial"/>
                <w:sz w:val="18"/>
                <w:szCs w:val="18"/>
              </w:rPr>
              <w:t>Urinary retention</w:t>
            </w:r>
          </w:p>
        </w:tc>
        <w:tc>
          <w:tcPr>
            <w:tcW w:w="561" w:type="dxa"/>
            <w:vAlign w:val="bottom"/>
          </w:tcPr>
          <w:p w14:paraId="5A00F8D7" w14:textId="46BE302E" w:rsidR="003958A0" w:rsidRPr="003958A0" w:rsidRDefault="003958A0" w:rsidP="003958A0">
            <w:pPr>
              <w:rPr>
                <w:rFonts w:ascii="Arial" w:hAnsi="Arial" w:cs="Arial"/>
                <w:sz w:val="18"/>
                <w:szCs w:val="18"/>
              </w:rPr>
            </w:pPr>
            <w:r w:rsidRPr="003958A0">
              <w:rPr>
                <w:rFonts w:ascii="Arial" w:hAnsi="Arial" w:cs="Arial"/>
                <w:sz w:val="18"/>
                <w:szCs w:val="18"/>
              </w:rPr>
              <w:t>11</w:t>
            </w:r>
          </w:p>
        </w:tc>
        <w:tc>
          <w:tcPr>
            <w:tcW w:w="550" w:type="dxa"/>
            <w:vAlign w:val="bottom"/>
          </w:tcPr>
          <w:p w14:paraId="72573302" w14:textId="094B4016" w:rsidR="003958A0" w:rsidRPr="003958A0" w:rsidRDefault="003958A0" w:rsidP="003958A0">
            <w:pPr>
              <w:rPr>
                <w:rFonts w:ascii="Arial" w:hAnsi="Arial" w:cs="Arial"/>
                <w:sz w:val="18"/>
                <w:szCs w:val="18"/>
              </w:rPr>
            </w:pPr>
            <w:r w:rsidRPr="003958A0">
              <w:rPr>
                <w:rFonts w:ascii="Arial" w:hAnsi="Arial" w:cs="Arial"/>
                <w:sz w:val="18"/>
                <w:szCs w:val="18"/>
              </w:rPr>
              <w:t>372</w:t>
            </w:r>
          </w:p>
        </w:tc>
        <w:tc>
          <w:tcPr>
            <w:tcW w:w="561" w:type="dxa"/>
            <w:vAlign w:val="bottom"/>
          </w:tcPr>
          <w:p w14:paraId="164CCAF1" w14:textId="26E64AA2" w:rsidR="003958A0" w:rsidRPr="003958A0" w:rsidRDefault="003958A0" w:rsidP="003958A0">
            <w:pPr>
              <w:rPr>
                <w:rFonts w:ascii="Arial" w:hAnsi="Arial" w:cs="Arial"/>
                <w:sz w:val="18"/>
                <w:szCs w:val="18"/>
              </w:rPr>
            </w:pPr>
            <w:r w:rsidRPr="003958A0">
              <w:rPr>
                <w:rFonts w:ascii="Arial" w:hAnsi="Arial" w:cs="Arial"/>
                <w:sz w:val="18"/>
                <w:szCs w:val="18"/>
              </w:rPr>
              <w:t>12</w:t>
            </w:r>
          </w:p>
        </w:tc>
        <w:tc>
          <w:tcPr>
            <w:tcW w:w="661" w:type="dxa"/>
            <w:vAlign w:val="bottom"/>
          </w:tcPr>
          <w:p w14:paraId="1B1232BB" w14:textId="6BC9FCFE" w:rsidR="003958A0" w:rsidRPr="003958A0" w:rsidRDefault="003958A0" w:rsidP="003958A0">
            <w:pPr>
              <w:rPr>
                <w:rFonts w:ascii="Arial" w:hAnsi="Arial" w:cs="Arial"/>
                <w:sz w:val="18"/>
                <w:szCs w:val="18"/>
              </w:rPr>
            </w:pPr>
            <w:r w:rsidRPr="003958A0">
              <w:rPr>
                <w:rFonts w:ascii="Arial" w:hAnsi="Arial" w:cs="Arial"/>
                <w:sz w:val="18"/>
                <w:szCs w:val="18"/>
              </w:rPr>
              <w:t>379</w:t>
            </w:r>
          </w:p>
        </w:tc>
        <w:tc>
          <w:tcPr>
            <w:tcW w:w="1709" w:type="dxa"/>
            <w:vAlign w:val="bottom"/>
          </w:tcPr>
          <w:p w14:paraId="2430E5BC" w14:textId="375FF797" w:rsidR="003958A0" w:rsidRPr="003958A0" w:rsidRDefault="003958A0" w:rsidP="003958A0">
            <w:pPr>
              <w:rPr>
                <w:rFonts w:ascii="Arial" w:hAnsi="Arial" w:cs="Arial"/>
                <w:sz w:val="18"/>
                <w:szCs w:val="18"/>
              </w:rPr>
            </w:pPr>
            <w:r w:rsidRPr="003958A0">
              <w:rPr>
                <w:rFonts w:ascii="Arial" w:hAnsi="Arial" w:cs="Arial"/>
                <w:sz w:val="18"/>
                <w:szCs w:val="18"/>
              </w:rPr>
              <w:t>1.07 (0.47, 2.46)</w:t>
            </w:r>
          </w:p>
        </w:tc>
        <w:tc>
          <w:tcPr>
            <w:tcW w:w="2160" w:type="dxa"/>
            <w:vAlign w:val="bottom"/>
          </w:tcPr>
          <w:p w14:paraId="02EA20D0" w14:textId="70BA005D" w:rsidR="003958A0" w:rsidRPr="003958A0" w:rsidRDefault="003958A0" w:rsidP="003958A0">
            <w:pPr>
              <w:rPr>
                <w:rFonts w:ascii="Arial" w:hAnsi="Arial" w:cs="Arial"/>
                <w:sz w:val="18"/>
                <w:szCs w:val="18"/>
              </w:rPr>
            </w:pPr>
            <w:r w:rsidRPr="003958A0">
              <w:rPr>
                <w:rFonts w:ascii="Arial" w:hAnsi="Arial" w:cs="Arial"/>
                <w:sz w:val="18"/>
                <w:szCs w:val="18"/>
              </w:rPr>
              <w:t>Open, but not significant</w:t>
            </w:r>
          </w:p>
        </w:tc>
        <w:tc>
          <w:tcPr>
            <w:tcW w:w="2160" w:type="dxa"/>
            <w:vAlign w:val="bottom"/>
          </w:tcPr>
          <w:p w14:paraId="6AF971EC" w14:textId="0BD6FEAD" w:rsidR="003958A0" w:rsidRPr="003958A0" w:rsidRDefault="003958A0" w:rsidP="003958A0">
            <w:pPr>
              <w:rPr>
                <w:rFonts w:ascii="Arial" w:hAnsi="Arial" w:cs="Arial"/>
                <w:sz w:val="18"/>
                <w:szCs w:val="18"/>
              </w:rPr>
            </w:pPr>
            <w:r w:rsidRPr="003958A0">
              <w:rPr>
                <w:rFonts w:ascii="Arial" w:hAnsi="Arial" w:cs="Arial"/>
                <w:sz w:val="18"/>
                <w:szCs w:val="18"/>
              </w:rPr>
              <w:t>Generate; 1 fewer open</w:t>
            </w:r>
          </w:p>
        </w:tc>
        <w:tc>
          <w:tcPr>
            <w:tcW w:w="2605" w:type="dxa"/>
            <w:vAlign w:val="bottom"/>
          </w:tcPr>
          <w:p w14:paraId="6E9AE147" w14:textId="3618441C" w:rsidR="003958A0" w:rsidRPr="003958A0" w:rsidRDefault="003958A0" w:rsidP="003958A0">
            <w:pPr>
              <w:rPr>
                <w:rFonts w:ascii="Arial" w:hAnsi="Arial" w:cs="Arial"/>
                <w:sz w:val="18"/>
                <w:szCs w:val="18"/>
              </w:rPr>
            </w:pPr>
            <w:r w:rsidRPr="003958A0">
              <w:rPr>
                <w:rFonts w:ascii="Arial" w:hAnsi="Arial" w:cs="Arial"/>
                <w:sz w:val="18"/>
                <w:szCs w:val="18"/>
              </w:rPr>
              <w:t>9 open</w:t>
            </w:r>
          </w:p>
        </w:tc>
      </w:tr>
      <w:tr w:rsidR="003958A0" w:rsidRPr="003958A0" w14:paraId="536A1C26" w14:textId="46C14379" w:rsidTr="003958A0">
        <w:tc>
          <w:tcPr>
            <w:tcW w:w="1983" w:type="dxa"/>
            <w:vAlign w:val="bottom"/>
          </w:tcPr>
          <w:p w14:paraId="5ADC4CB8" w14:textId="35606C20" w:rsidR="003958A0" w:rsidRPr="003958A0" w:rsidRDefault="003958A0" w:rsidP="003958A0">
            <w:pPr>
              <w:rPr>
                <w:rFonts w:ascii="Arial" w:hAnsi="Arial" w:cs="Arial"/>
                <w:sz w:val="18"/>
                <w:szCs w:val="18"/>
              </w:rPr>
            </w:pPr>
            <w:r w:rsidRPr="003958A0">
              <w:rPr>
                <w:rFonts w:ascii="Arial" w:hAnsi="Arial" w:cs="Arial"/>
                <w:sz w:val="18"/>
                <w:szCs w:val="18"/>
              </w:rPr>
              <w:t>Overall morbidity</w:t>
            </w:r>
          </w:p>
        </w:tc>
        <w:tc>
          <w:tcPr>
            <w:tcW w:w="561" w:type="dxa"/>
            <w:vAlign w:val="bottom"/>
          </w:tcPr>
          <w:p w14:paraId="50781306" w14:textId="223C2330" w:rsidR="003958A0" w:rsidRPr="003958A0" w:rsidRDefault="003958A0" w:rsidP="003958A0">
            <w:pPr>
              <w:rPr>
                <w:rFonts w:ascii="Arial" w:hAnsi="Arial" w:cs="Arial"/>
                <w:sz w:val="18"/>
                <w:szCs w:val="18"/>
              </w:rPr>
            </w:pPr>
            <w:r w:rsidRPr="003958A0">
              <w:rPr>
                <w:rFonts w:ascii="Arial" w:hAnsi="Arial" w:cs="Arial"/>
                <w:sz w:val="18"/>
                <w:szCs w:val="18"/>
              </w:rPr>
              <w:t>63</w:t>
            </w:r>
          </w:p>
        </w:tc>
        <w:tc>
          <w:tcPr>
            <w:tcW w:w="550" w:type="dxa"/>
            <w:vAlign w:val="bottom"/>
          </w:tcPr>
          <w:p w14:paraId="297EA167" w14:textId="781EB3AA" w:rsidR="003958A0" w:rsidRPr="003958A0" w:rsidRDefault="003958A0" w:rsidP="003958A0">
            <w:pPr>
              <w:rPr>
                <w:rFonts w:ascii="Arial" w:hAnsi="Arial" w:cs="Arial"/>
                <w:sz w:val="18"/>
                <w:szCs w:val="18"/>
              </w:rPr>
            </w:pPr>
            <w:r w:rsidRPr="003958A0">
              <w:rPr>
                <w:rFonts w:ascii="Arial" w:hAnsi="Arial" w:cs="Arial"/>
                <w:sz w:val="18"/>
                <w:szCs w:val="18"/>
              </w:rPr>
              <w:t>648</w:t>
            </w:r>
          </w:p>
        </w:tc>
        <w:tc>
          <w:tcPr>
            <w:tcW w:w="561" w:type="dxa"/>
            <w:vAlign w:val="bottom"/>
          </w:tcPr>
          <w:p w14:paraId="7A02A62F" w14:textId="4CDF68AF" w:rsidR="003958A0" w:rsidRPr="003958A0" w:rsidRDefault="003958A0" w:rsidP="003958A0">
            <w:pPr>
              <w:rPr>
                <w:rFonts w:ascii="Arial" w:hAnsi="Arial" w:cs="Arial"/>
                <w:sz w:val="18"/>
                <w:szCs w:val="18"/>
              </w:rPr>
            </w:pPr>
            <w:r w:rsidRPr="003958A0">
              <w:rPr>
                <w:rFonts w:ascii="Arial" w:hAnsi="Arial" w:cs="Arial"/>
                <w:sz w:val="18"/>
                <w:szCs w:val="18"/>
              </w:rPr>
              <w:t>35</w:t>
            </w:r>
          </w:p>
        </w:tc>
        <w:tc>
          <w:tcPr>
            <w:tcW w:w="661" w:type="dxa"/>
            <w:vAlign w:val="bottom"/>
          </w:tcPr>
          <w:p w14:paraId="52AE5B00" w14:textId="31BFD904" w:rsidR="003958A0" w:rsidRPr="003958A0" w:rsidRDefault="003958A0" w:rsidP="003958A0">
            <w:pPr>
              <w:rPr>
                <w:rFonts w:ascii="Arial" w:hAnsi="Arial" w:cs="Arial"/>
                <w:sz w:val="18"/>
                <w:szCs w:val="18"/>
              </w:rPr>
            </w:pPr>
            <w:r w:rsidRPr="003958A0">
              <w:rPr>
                <w:rFonts w:ascii="Arial" w:hAnsi="Arial" w:cs="Arial"/>
                <w:sz w:val="18"/>
                <w:szCs w:val="18"/>
              </w:rPr>
              <w:t>654</w:t>
            </w:r>
          </w:p>
        </w:tc>
        <w:tc>
          <w:tcPr>
            <w:tcW w:w="1709" w:type="dxa"/>
            <w:vAlign w:val="bottom"/>
          </w:tcPr>
          <w:p w14:paraId="05E5E77F" w14:textId="77AA1DF0" w:rsidR="003958A0" w:rsidRPr="003958A0" w:rsidRDefault="003958A0" w:rsidP="003958A0">
            <w:pPr>
              <w:rPr>
                <w:rFonts w:ascii="Arial" w:hAnsi="Arial" w:cs="Arial"/>
                <w:sz w:val="18"/>
                <w:szCs w:val="18"/>
              </w:rPr>
            </w:pPr>
            <w:r w:rsidRPr="003958A0">
              <w:rPr>
                <w:rFonts w:ascii="Arial" w:hAnsi="Arial" w:cs="Arial"/>
                <w:sz w:val="18"/>
                <w:szCs w:val="18"/>
              </w:rPr>
              <w:t>0.55 (0.36, 0.84)</w:t>
            </w:r>
          </w:p>
        </w:tc>
        <w:tc>
          <w:tcPr>
            <w:tcW w:w="2160" w:type="dxa"/>
            <w:vAlign w:val="bottom"/>
          </w:tcPr>
          <w:p w14:paraId="5FEE941B" w14:textId="183F13F2" w:rsidR="003958A0" w:rsidRPr="003958A0" w:rsidRDefault="003958A0" w:rsidP="003958A0">
            <w:pPr>
              <w:rPr>
                <w:rFonts w:ascii="Arial" w:hAnsi="Arial" w:cs="Arial"/>
                <w:sz w:val="18"/>
                <w:szCs w:val="18"/>
              </w:rPr>
            </w:pPr>
            <w:r w:rsidRPr="003958A0">
              <w:rPr>
                <w:rFonts w:ascii="Arial" w:hAnsi="Arial" w:cs="Arial"/>
                <w:sz w:val="18"/>
                <w:szCs w:val="18"/>
              </w:rPr>
              <w:t>MIS</w:t>
            </w:r>
          </w:p>
        </w:tc>
        <w:tc>
          <w:tcPr>
            <w:tcW w:w="2160" w:type="dxa"/>
            <w:vAlign w:val="bottom"/>
          </w:tcPr>
          <w:p w14:paraId="5EB4A6A6" w14:textId="26594390" w:rsidR="003958A0" w:rsidRPr="003958A0" w:rsidRDefault="003958A0" w:rsidP="003958A0">
            <w:pPr>
              <w:rPr>
                <w:rFonts w:ascii="Arial" w:hAnsi="Arial" w:cs="Arial"/>
                <w:sz w:val="18"/>
                <w:szCs w:val="18"/>
              </w:rPr>
            </w:pPr>
            <w:r w:rsidRPr="003958A0">
              <w:rPr>
                <w:rFonts w:ascii="Arial" w:hAnsi="Arial" w:cs="Arial"/>
                <w:sz w:val="18"/>
                <w:szCs w:val="18"/>
              </w:rPr>
              <w:t>Overturn; 9 fewer open</w:t>
            </w:r>
          </w:p>
        </w:tc>
        <w:tc>
          <w:tcPr>
            <w:tcW w:w="2605" w:type="dxa"/>
            <w:vAlign w:val="bottom"/>
          </w:tcPr>
          <w:p w14:paraId="7F465B56" w14:textId="4432F4F0" w:rsidR="003958A0" w:rsidRPr="003958A0" w:rsidRDefault="003958A0" w:rsidP="003958A0">
            <w:pPr>
              <w:rPr>
                <w:rFonts w:ascii="Arial" w:hAnsi="Arial" w:cs="Arial"/>
                <w:sz w:val="18"/>
                <w:szCs w:val="18"/>
              </w:rPr>
            </w:pPr>
            <w:r w:rsidRPr="003958A0">
              <w:rPr>
                <w:rFonts w:ascii="Arial" w:hAnsi="Arial" w:cs="Arial"/>
                <w:sz w:val="18"/>
                <w:szCs w:val="18"/>
              </w:rPr>
              <w:t>10 open</w:t>
            </w:r>
          </w:p>
        </w:tc>
      </w:tr>
    </w:tbl>
    <w:p w14:paraId="3AD07B3A" w14:textId="77777777" w:rsidR="001A04FD" w:rsidRDefault="001A04FD" w:rsidP="001A04FD">
      <w:pPr>
        <w:rPr>
          <w:rFonts w:ascii="Arial" w:hAnsi="Arial" w:cs="Arial"/>
          <w:b/>
          <w:bCs/>
          <w:sz w:val="20"/>
          <w:szCs w:val="20"/>
        </w:rPr>
      </w:pPr>
    </w:p>
    <w:p w14:paraId="41936E7A" w14:textId="2607493D" w:rsidR="001A04FD" w:rsidRDefault="001A04FD" w:rsidP="001A04FD">
      <w:pPr>
        <w:pStyle w:val="ListParagraph"/>
        <w:numPr>
          <w:ilvl w:val="0"/>
          <w:numId w:val="14"/>
        </w:numPr>
        <w:rPr>
          <w:rFonts w:ascii="Arial" w:hAnsi="Arial" w:cs="Arial"/>
          <w:b/>
          <w:bCs/>
          <w:sz w:val="20"/>
          <w:szCs w:val="20"/>
        </w:rPr>
      </w:pPr>
      <w:r>
        <w:rPr>
          <w:rFonts w:ascii="Arial" w:hAnsi="Arial" w:cs="Arial"/>
          <w:b/>
          <w:bCs/>
          <w:sz w:val="20"/>
          <w:szCs w:val="20"/>
        </w:rPr>
        <w:t>Continuous outcomes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34"/>
        <w:gridCol w:w="687"/>
        <w:gridCol w:w="567"/>
        <w:gridCol w:w="617"/>
        <w:gridCol w:w="677"/>
        <w:gridCol w:w="567"/>
        <w:gridCol w:w="1742"/>
        <w:gridCol w:w="1027"/>
        <w:gridCol w:w="2627"/>
        <w:gridCol w:w="2659"/>
      </w:tblGrid>
      <w:tr w:rsidR="00D11177" w:rsidRPr="003958A0" w14:paraId="6C2643EB" w14:textId="77777777" w:rsidTr="00D11177">
        <w:trPr>
          <w:trHeight w:val="1440"/>
        </w:trPr>
        <w:tc>
          <w:tcPr>
            <w:tcW w:w="1246" w:type="dxa"/>
            <w:vMerge w:val="restart"/>
            <w:vAlign w:val="bottom"/>
          </w:tcPr>
          <w:p w14:paraId="3FC7CA6C" w14:textId="0B35C096" w:rsidR="00D11177" w:rsidRPr="003958A0" w:rsidRDefault="00D11177" w:rsidP="002D4997">
            <w:pPr>
              <w:rPr>
                <w:rFonts w:ascii="Arial" w:hAnsi="Arial" w:cs="Arial"/>
                <w:b/>
                <w:bCs/>
                <w:sz w:val="18"/>
                <w:szCs w:val="18"/>
              </w:rPr>
            </w:pPr>
            <w:r w:rsidRPr="003958A0">
              <w:rPr>
                <w:rFonts w:ascii="Arial" w:hAnsi="Arial" w:cs="Arial"/>
                <w:b/>
                <w:bCs/>
                <w:sz w:val="18"/>
                <w:szCs w:val="18"/>
              </w:rPr>
              <w:t>Outcome</w:t>
            </w:r>
          </w:p>
        </w:tc>
        <w:tc>
          <w:tcPr>
            <w:tcW w:w="1788" w:type="dxa"/>
            <w:gridSpan w:val="3"/>
            <w:vAlign w:val="bottom"/>
          </w:tcPr>
          <w:p w14:paraId="72D9D702" w14:textId="7D962E89" w:rsidR="00D11177" w:rsidRPr="003958A0" w:rsidRDefault="00D11177" w:rsidP="002D4997">
            <w:pPr>
              <w:jc w:val="center"/>
              <w:rPr>
                <w:rFonts w:ascii="Arial" w:hAnsi="Arial" w:cs="Arial"/>
                <w:b/>
                <w:bCs/>
                <w:sz w:val="18"/>
                <w:szCs w:val="18"/>
              </w:rPr>
            </w:pPr>
            <w:r w:rsidRPr="003958A0">
              <w:rPr>
                <w:rFonts w:ascii="Arial" w:hAnsi="Arial" w:cs="Arial"/>
                <w:b/>
                <w:bCs/>
                <w:sz w:val="18"/>
                <w:szCs w:val="18"/>
              </w:rPr>
              <w:t>Open</w:t>
            </w:r>
          </w:p>
        </w:tc>
        <w:tc>
          <w:tcPr>
            <w:tcW w:w="1861" w:type="dxa"/>
            <w:gridSpan w:val="3"/>
            <w:vAlign w:val="bottom"/>
          </w:tcPr>
          <w:p w14:paraId="17EB517D" w14:textId="26FB4342" w:rsidR="00D11177" w:rsidRPr="003958A0" w:rsidRDefault="00D11177" w:rsidP="00D11177">
            <w:pPr>
              <w:jc w:val="center"/>
              <w:rPr>
                <w:rFonts w:ascii="Arial" w:hAnsi="Arial" w:cs="Arial"/>
                <w:b/>
                <w:bCs/>
                <w:sz w:val="18"/>
                <w:szCs w:val="18"/>
              </w:rPr>
            </w:pPr>
            <w:r w:rsidRPr="003958A0">
              <w:rPr>
                <w:rFonts w:ascii="Arial" w:hAnsi="Arial" w:cs="Arial"/>
                <w:b/>
                <w:bCs/>
                <w:sz w:val="18"/>
                <w:szCs w:val="18"/>
              </w:rPr>
              <w:t>MIS</w:t>
            </w:r>
          </w:p>
        </w:tc>
        <w:tc>
          <w:tcPr>
            <w:tcW w:w="1742" w:type="dxa"/>
            <w:vMerge w:val="restart"/>
            <w:vAlign w:val="bottom"/>
          </w:tcPr>
          <w:p w14:paraId="7E1FA11B" w14:textId="068C3097" w:rsidR="00D11177" w:rsidRPr="003958A0" w:rsidRDefault="00D11177" w:rsidP="002D4997">
            <w:pPr>
              <w:rPr>
                <w:rFonts w:ascii="Arial" w:hAnsi="Arial" w:cs="Arial"/>
                <w:b/>
                <w:bCs/>
                <w:sz w:val="18"/>
                <w:szCs w:val="18"/>
              </w:rPr>
            </w:pPr>
            <w:r w:rsidRPr="003958A0">
              <w:rPr>
                <w:rFonts w:ascii="Arial" w:hAnsi="Arial" w:cs="Arial"/>
                <w:b/>
                <w:bCs/>
                <w:sz w:val="18"/>
                <w:szCs w:val="18"/>
              </w:rPr>
              <w:t xml:space="preserve">Cumulative </w:t>
            </w:r>
            <w:r>
              <w:rPr>
                <w:rFonts w:ascii="Arial" w:hAnsi="Arial" w:cs="Arial"/>
                <w:b/>
                <w:bCs/>
                <w:sz w:val="18"/>
                <w:szCs w:val="18"/>
              </w:rPr>
              <w:t>effect size</w:t>
            </w:r>
            <w:r w:rsidR="00487E5F">
              <w:rPr>
                <w:rFonts w:ascii="Arial" w:hAnsi="Arial" w:cs="Arial"/>
                <w:b/>
                <w:bCs/>
                <w:sz w:val="18"/>
                <w:szCs w:val="18"/>
              </w:rPr>
              <w:t>, VAS (cm)</w:t>
            </w:r>
          </w:p>
        </w:tc>
        <w:tc>
          <w:tcPr>
            <w:tcW w:w="1027" w:type="dxa"/>
            <w:vMerge w:val="restart"/>
            <w:vAlign w:val="bottom"/>
          </w:tcPr>
          <w:p w14:paraId="1E74827F" w14:textId="77777777" w:rsidR="00D11177" w:rsidRPr="003958A0" w:rsidRDefault="00D11177" w:rsidP="002D4997">
            <w:pPr>
              <w:rPr>
                <w:rFonts w:ascii="Arial" w:hAnsi="Arial" w:cs="Arial"/>
                <w:b/>
                <w:bCs/>
                <w:sz w:val="18"/>
                <w:szCs w:val="18"/>
              </w:rPr>
            </w:pPr>
            <w:r w:rsidRPr="003958A0">
              <w:rPr>
                <w:rFonts w:ascii="Arial" w:hAnsi="Arial" w:cs="Arial"/>
                <w:b/>
                <w:bCs/>
                <w:sz w:val="18"/>
                <w:szCs w:val="18"/>
              </w:rPr>
              <w:t>Favored approach</w:t>
            </w:r>
          </w:p>
        </w:tc>
        <w:tc>
          <w:tcPr>
            <w:tcW w:w="2627" w:type="dxa"/>
            <w:vMerge w:val="restart"/>
            <w:vAlign w:val="bottom"/>
          </w:tcPr>
          <w:p w14:paraId="76BEF503" w14:textId="04C942E8" w:rsidR="00D11177" w:rsidRPr="003958A0" w:rsidRDefault="00D11177" w:rsidP="002D4997">
            <w:pPr>
              <w:rPr>
                <w:rFonts w:ascii="Arial" w:hAnsi="Arial" w:cs="Arial"/>
                <w:b/>
                <w:bCs/>
                <w:sz w:val="18"/>
                <w:szCs w:val="18"/>
              </w:rPr>
            </w:pPr>
            <w:r w:rsidRPr="003958A0">
              <w:rPr>
                <w:rFonts w:ascii="Arial" w:hAnsi="Arial" w:cs="Arial"/>
                <w:b/>
                <w:bCs/>
                <w:sz w:val="18"/>
                <w:szCs w:val="18"/>
              </w:rPr>
              <w:t xml:space="preserve">Cumulative </w:t>
            </w:r>
            <w:r>
              <w:rPr>
                <w:rFonts w:ascii="Arial" w:hAnsi="Arial" w:cs="Arial"/>
                <w:b/>
                <w:bCs/>
                <w:sz w:val="18"/>
                <w:szCs w:val="18"/>
              </w:rPr>
              <w:t>RIR</w:t>
            </w:r>
            <w:r w:rsidRPr="003958A0">
              <w:rPr>
                <w:rFonts w:ascii="Arial" w:hAnsi="Arial" w:cs="Arial"/>
                <w:b/>
                <w:bCs/>
                <w:sz w:val="18"/>
                <w:szCs w:val="18"/>
              </w:rPr>
              <w:t xml:space="preserve"> </w:t>
            </w:r>
          </w:p>
          <w:p w14:paraId="16CA5ABF" w14:textId="2B97BCF1" w:rsidR="00D11177" w:rsidRPr="003958A0" w:rsidRDefault="00D11177" w:rsidP="002D4997">
            <w:pPr>
              <w:rPr>
                <w:rFonts w:ascii="Arial" w:hAnsi="Arial" w:cs="Arial"/>
                <w:sz w:val="18"/>
                <w:szCs w:val="18"/>
              </w:rPr>
            </w:pPr>
            <w:r w:rsidRPr="003958A0">
              <w:rPr>
                <w:rFonts w:ascii="Arial" w:hAnsi="Arial" w:cs="Arial"/>
                <w:sz w:val="18"/>
                <w:szCs w:val="18"/>
              </w:rPr>
              <w:t>(</w:t>
            </w:r>
            <w:r>
              <w:rPr>
                <w:rFonts w:ascii="Arial" w:hAnsi="Arial" w:cs="Arial"/>
                <w:sz w:val="18"/>
                <w:szCs w:val="18"/>
              </w:rPr>
              <w:t>If ___ MIS patients were replaced with hypothetical MIS patients with the same average pain as open surgery patients; this would ___ a statistically significant difference between groups</w:t>
            </w:r>
            <w:r w:rsidRPr="003958A0">
              <w:rPr>
                <w:rFonts w:ascii="Arial" w:hAnsi="Arial" w:cs="Arial"/>
                <w:sz w:val="18"/>
                <w:szCs w:val="18"/>
              </w:rPr>
              <w:t>)</w:t>
            </w:r>
          </w:p>
        </w:tc>
        <w:tc>
          <w:tcPr>
            <w:tcW w:w="2659" w:type="dxa"/>
            <w:vMerge w:val="restart"/>
            <w:vAlign w:val="bottom"/>
          </w:tcPr>
          <w:p w14:paraId="6C07FF04" w14:textId="53722533" w:rsidR="00D11177" w:rsidRPr="003958A0" w:rsidRDefault="00D11177" w:rsidP="002D4997">
            <w:pPr>
              <w:rPr>
                <w:rFonts w:ascii="Arial" w:hAnsi="Arial" w:cs="Arial"/>
                <w:b/>
                <w:bCs/>
                <w:sz w:val="18"/>
                <w:szCs w:val="18"/>
              </w:rPr>
            </w:pPr>
            <w:r w:rsidRPr="003958A0">
              <w:rPr>
                <w:rFonts w:ascii="Arial" w:hAnsi="Arial" w:cs="Arial"/>
                <w:b/>
                <w:bCs/>
                <w:sz w:val="18"/>
                <w:szCs w:val="18"/>
              </w:rPr>
              <w:t xml:space="preserve">Cumulative </w:t>
            </w:r>
            <w:r>
              <w:rPr>
                <w:rFonts w:ascii="Arial" w:hAnsi="Arial" w:cs="Arial"/>
                <w:b/>
                <w:bCs/>
                <w:sz w:val="18"/>
                <w:szCs w:val="18"/>
              </w:rPr>
              <w:t>FEAST/FEBST</w:t>
            </w:r>
          </w:p>
          <w:p w14:paraId="09CF2E0C" w14:textId="5C07DECC" w:rsidR="00D11177" w:rsidRPr="003958A0" w:rsidRDefault="00D11177" w:rsidP="002D4997">
            <w:pPr>
              <w:rPr>
                <w:rFonts w:ascii="Arial" w:hAnsi="Arial" w:cs="Arial"/>
                <w:sz w:val="18"/>
                <w:szCs w:val="18"/>
              </w:rPr>
            </w:pPr>
            <w:r w:rsidRPr="003958A0">
              <w:rPr>
                <w:rFonts w:ascii="Arial" w:hAnsi="Arial" w:cs="Arial"/>
                <w:sz w:val="18"/>
                <w:szCs w:val="18"/>
              </w:rPr>
              <w:t>(</w:t>
            </w:r>
            <w:r>
              <w:rPr>
                <w:rFonts w:ascii="Arial" w:hAnsi="Arial" w:cs="Arial"/>
                <w:sz w:val="18"/>
                <w:szCs w:val="18"/>
              </w:rPr>
              <w:t>Effect size is ___% ___ the threshold for statistical significance. This is equivalent to ___ on the VAS (cm</w:t>
            </w:r>
            <w:r w:rsidRPr="003958A0">
              <w:rPr>
                <w:rFonts w:ascii="Arial" w:hAnsi="Arial" w:cs="Arial"/>
                <w:sz w:val="18"/>
                <w:szCs w:val="18"/>
              </w:rPr>
              <w:t>)</w:t>
            </w:r>
          </w:p>
        </w:tc>
      </w:tr>
      <w:tr w:rsidR="00D11177" w:rsidRPr="003958A0" w14:paraId="382EDEC4" w14:textId="77777777" w:rsidTr="00D11177">
        <w:trPr>
          <w:trHeight w:val="67"/>
        </w:trPr>
        <w:tc>
          <w:tcPr>
            <w:tcW w:w="1246" w:type="dxa"/>
            <w:vMerge/>
            <w:vAlign w:val="bottom"/>
          </w:tcPr>
          <w:p w14:paraId="13088C1B" w14:textId="77777777" w:rsidR="00D11177" w:rsidRPr="003958A0" w:rsidRDefault="00D11177" w:rsidP="002D4997">
            <w:pPr>
              <w:rPr>
                <w:rFonts w:ascii="Arial" w:hAnsi="Arial" w:cs="Arial"/>
                <w:sz w:val="18"/>
                <w:szCs w:val="18"/>
              </w:rPr>
            </w:pPr>
          </w:p>
        </w:tc>
        <w:tc>
          <w:tcPr>
            <w:tcW w:w="534" w:type="dxa"/>
            <w:vAlign w:val="bottom"/>
          </w:tcPr>
          <w:p w14:paraId="49F39357" w14:textId="6B3E4777" w:rsidR="00D11177" w:rsidRPr="003958A0" w:rsidRDefault="00D11177" w:rsidP="002D4997">
            <w:pPr>
              <w:rPr>
                <w:rFonts w:ascii="Arial" w:hAnsi="Arial" w:cs="Arial"/>
                <w:b/>
                <w:bCs/>
                <w:sz w:val="18"/>
                <w:szCs w:val="18"/>
              </w:rPr>
            </w:pPr>
            <w:r>
              <w:rPr>
                <w:rFonts w:ascii="Arial" w:hAnsi="Arial" w:cs="Arial"/>
                <w:b/>
                <w:bCs/>
                <w:sz w:val="18"/>
                <w:szCs w:val="18"/>
              </w:rPr>
              <w:t>n</w:t>
            </w:r>
          </w:p>
        </w:tc>
        <w:tc>
          <w:tcPr>
            <w:tcW w:w="687" w:type="dxa"/>
            <w:vAlign w:val="bottom"/>
          </w:tcPr>
          <w:p w14:paraId="20685EE7" w14:textId="137E0E7A" w:rsidR="00D11177" w:rsidRPr="003958A0" w:rsidRDefault="00D11177" w:rsidP="002D4997">
            <w:pPr>
              <w:rPr>
                <w:rFonts w:ascii="Arial" w:hAnsi="Arial" w:cs="Arial"/>
                <w:b/>
                <w:bCs/>
                <w:sz w:val="18"/>
                <w:szCs w:val="18"/>
              </w:rPr>
            </w:pPr>
            <w:r>
              <w:rPr>
                <w:rFonts w:ascii="Arial" w:hAnsi="Arial" w:cs="Arial"/>
                <w:b/>
                <w:bCs/>
                <w:sz w:val="18"/>
                <w:szCs w:val="18"/>
              </w:rPr>
              <w:t>mean</w:t>
            </w:r>
          </w:p>
        </w:tc>
        <w:tc>
          <w:tcPr>
            <w:tcW w:w="567" w:type="dxa"/>
            <w:vAlign w:val="bottom"/>
          </w:tcPr>
          <w:p w14:paraId="52F7DCDC" w14:textId="602B6333" w:rsidR="00D11177" w:rsidRPr="003958A0" w:rsidRDefault="00D11177" w:rsidP="00D11177">
            <w:pPr>
              <w:rPr>
                <w:rFonts w:ascii="Arial" w:hAnsi="Arial" w:cs="Arial"/>
                <w:b/>
                <w:bCs/>
                <w:sz w:val="18"/>
                <w:szCs w:val="18"/>
              </w:rPr>
            </w:pPr>
            <w:r>
              <w:rPr>
                <w:rFonts w:ascii="Arial" w:hAnsi="Arial" w:cs="Arial"/>
                <w:b/>
                <w:bCs/>
                <w:sz w:val="18"/>
                <w:szCs w:val="18"/>
              </w:rPr>
              <w:t>SD</w:t>
            </w:r>
          </w:p>
        </w:tc>
        <w:tc>
          <w:tcPr>
            <w:tcW w:w="617" w:type="dxa"/>
            <w:vAlign w:val="bottom"/>
          </w:tcPr>
          <w:p w14:paraId="5F0D85C7" w14:textId="677BD9DF" w:rsidR="00D11177" w:rsidRPr="003958A0" w:rsidRDefault="00D11177" w:rsidP="00D11177">
            <w:pPr>
              <w:rPr>
                <w:rFonts w:ascii="Arial" w:hAnsi="Arial" w:cs="Arial"/>
                <w:b/>
                <w:bCs/>
                <w:sz w:val="18"/>
                <w:szCs w:val="18"/>
              </w:rPr>
            </w:pPr>
            <w:r>
              <w:rPr>
                <w:rFonts w:ascii="Arial" w:hAnsi="Arial" w:cs="Arial"/>
                <w:b/>
                <w:bCs/>
                <w:sz w:val="18"/>
                <w:szCs w:val="18"/>
              </w:rPr>
              <w:t>n</w:t>
            </w:r>
          </w:p>
        </w:tc>
        <w:tc>
          <w:tcPr>
            <w:tcW w:w="677" w:type="dxa"/>
            <w:vAlign w:val="bottom"/>
          </w:tcPr>
          <w:p w14:paraId="24D21689" w14:textId="544DCD82" w:rsidR="00D11177" w:rsidRPr="003958A0" w:rsidRDefault="00D11177" w:rsidP="00D11177">
            <w:pPr>
              <w:rPr>
                <w:rFonts w:ascii="Arial" w:hAnsi="Arial" w:cs="Arial"/>
                <w:b/>
                <w:bCs/>
                <w:sz w:val="18"/>
                <w:szCs w:val="18"/>
              </w:rPr>
            </w:pPr>
            <w:r>
              <w:rPr>
                <w:rFonts w:ascii="Arial" w:hAnsi="Arial" w:cs="Arial"/>
                <w:b/>
                <w:bCs/>
                <w:sz w:val="18"/>
                <w:szCs w:val="18"/>
              </w:rPr>
              <w:t>Mean</w:t>
            </w:r>
          </w:p>
        </w:tc>
        <w:tc>
          <w:tcPr>
            <w:tcW w:w="567" w:type="dxa"/>
            <w:vAlign w:val="bottom"/>
          </w:tcPr>
          <w:p w14:paraId="108ECFE0" w14:textId="5ACF0653" w:rsidR="00D11177" w:rsidRPr="00D11177" w:rsidRDefault="00D11177" w:rsidP="00D11177">
            <w:pPr>
              <w:rPr>
                <w:rFonts w:ascii="Arial" w:hAnsi="Arial" w:cs="Arial"/>
                <w:b/>
                <w:bCs/>
                <w:sz w:val="18"/>
                <w:szCs w:val="18"/>
              </w:rPr>
            </w:pPr>
            <w:r w:rsidRPr="00D11177">
              <w:rPr>
                <w:rFonts w:ascii="Arial" w:hAnsi="Arial" w:cs="Arial"/>
                <w:b/>
                <w:bCs/>
                <w:sz w:val="18"/>
                <w:szCs w:val="18"/>
              </w:rPr>
              <w:t>SD</w:t>
            </w:r>
          </w:p>
        </w:tc>
        <w:tc>
          <w:tcPr>
            <w:tcW w:w="1742" w:type="dxa"/>
            <w:vMerge/>
            <w:vAlign w:val="bottom"/>
          </w:tcPr>
          <w:p w14:paraId="2AB7472F" w14:textId="39A1D5AB" w:rsidR="00D11177" w:rsidRPr="003958A0" w:rsidRDefault="00D11177" w:rsidP="002D4997">
            <w:pPr>
              <w:rPr>
                <w:rFonts w:ascii="Arial" w:hAnsi="Arial" w:cs="Arial"/>
                <w:sz w:val="18"/>
                <w:szCs w:val="18"/>
              </w:rPr>
            </w:pPr>
          </w:p>
        </w:tc>
        <w:tc>
          <w:tcPr>
            <w:tcW w:w="1027" w:type="dxa"/>
            <w:vMerge/>
            <w:vAlign w:val="bottom"/>
          </w:tcPr>
          <w:p w14:paraId="54329F81" w14:textId="77777777" w:rsidR="00D11177" w:rsidRPr="003958A0" w:rsidRDefault="00D11177" w:rsidP="002D4997">
            <w:pPr>
              <w:rPr>
                <w:rFonts w:ascii="Arial" w:hAnsi="Arial" w:cs="Arial"/>
                <w:sz w:val="18"/>
                <w:szCs w:val="18"/>
              </w:rPr>
            </w:pPr>
          </w:p>
        </w:tc>
        <w:tc>
          <w:tcPr>
            <w:tcW w:w="2627" w:type="dxa"/>
            <w:vMerge/>
            <w:vAlign w:val="bottom"/>
          </w:tcPr>
          <w:p w14:paraId="351DF201" w14:textId="77777777" w:rsidR="00D11177" w:rsidRPr="003958A0" w:rsidRDefault="00D11177" w:rsidP="002D4997">
            <w:pPr>
              <w:rPr>
                <w:rFonts w:ascii="Arial" w:hAnsi="Arial" w:cs="Arial"/>
                <w:sz w:val="18"/>
                <w:szCs w:val="18"/>
              </w:rPr>
            </w:pPr>
          </w:p>
        </w:tc>
        <w:tc>
          <w:tcPr>
            <w:tcW w:w="2659" w:type="dxa"/>
            <w:vMerge/>
            <w:vAlign w:val="bottom"/>
          </w:tcPr>
          <w:p w14:paraId="58D9D78B" w14:textId="77777777" w:rsidR="00D11177" w:rsidRPr="003958A0" w:rsidRDefault="00D11177" w:rsidP="002D4997">
            <w:pPr>
              <w:rPr>
                <w:rFonts w:ascii="Arial" w:hAnsi="Arial" w:cs="Arial"/>
                <w:sz w:val="18"/>
                <w:szCs w:val="18"/>
              </w:rPr>
            </w:pPr>
          </w:p>
        </w:tc>
      </w:tr>
      <w:tr w:rsidR="00D11177" w:rsidRPr="00D11177" w14:paraId="6C6D9DCA" w14:textId="77777777" w:rsidTr="00D11177">
        <w:tc>
          <w:tcPr>
            <w:tcW w:w="1246" w:type="dxa"/>
            <w:vAlign w:val="bottom"/>
          </w:tcPr>
          <w:p w14:paraId="7924D4EC" w14:textId="642B24C3" w:rsidR="00D11177" w:rsidRPr="003958A0" w:rsidRDefault="00D11177" w:rsidP="00D11177">
            <w:pPr>
              <w:rPr>
                <w:rFonts w:ascii="Arial" w:hAnsi="Arial" w:cs="Arial"/>
                <w:sz w:val="18"/>
                <w:szCs w:val="18"/>
              </w:rPr>
            </w:pPr>
            <w:r>
              <w:rPr>
                <w:rFonts w:ascii="Arial" w:hAnsi="Arial" w:cs="Arial"/>
                <w:sz w:val="18"/>
                <w:szCs w:val="18"/>
              </w:rPr>
              <w:t>Immediate post-operative pain</w:t>
            </w:r>
          </w:p>
        </w:tc>
        <w:tc>
          <w:tcPr>
            <w:tcW w:w="534" w:type="dxa"/>
            <w:vAlign w:val="bottom"/>
          </w:tcPr>
          <w:p w14:paraId="15096C21" w14:textId="47F67F99" w:rsidR="00D11177" w:rsidRPr="003958A0" w:rsidRDefault="00D11177" w:rsidP="00D11177">
            <w:pPr>
              <w:rPr>
                <w:rFonts w:ascii="Arial" w:hAnsi="Arial" w:cs="Arial"/>
                <w:sz w:val="18"/>
                <w:szCs w:val="18"/>
              </w:rPr>
            </w:pPr>
            <w:r w:rsidRPr="00D11177">
              <w:rPr>
                <w:rFonts w:ascii="Arial" w:hAnsi="Arial" w:cs="Arial"/>
                <w:sz w:val="18"/>
                <w:szCs w:val="18"/>
              </w:rPr>
              <w:t>904</w:t>
            </w:r>
          </w:p>
        </w:tc>
        <w:tc>
          <w:tcPr>
            <w:tcW w:w="687" w:type="dxa"/>
            <w:vAlign w:val="bottom"/>
          </w:tcPr>
          <w:p w14:paraId="2585F459" w14:textId="5689FC07" w:rsidR="00D11177" w:rsidRPr="003958A0" w:rsidRDefault="00D11177" w:rsidP="00D11177">
            <w:pPr>
              <w:rPr>
                <w:rFonts w:ascii="Arial" w:hAnsi="Arial" w:cs="Arial"/>
                <w:sz w:val="18"/>
                <w:szCs w:val="18"/>
              </w:rPr>
            </w:pPr>
            <w:r w:rsidRPr="00D11177">
              <w:rPr>
                <w:rFonts w:ascii="Arial" w:hAnsi="Arial" w:cs="Arial"/>
                <w:sz w:val="18"/>
                <w:szCs w:val="18"/>
              </w:rPr>
              <w:t>3.92</w:t>
            </w:r>
          </w:p>
        </w:tc>
        <w:tc>
          <w:tcPr>
            <w:tcW w:w="567" w:type="dxa"/>
            <w:vAlign w:val="bottom"/>
          </w:tcPr>
          <w:p w14:paraId="112CAD5D" w14:textId="06968485" w:rsidR="00D11177" w:rsidRPr="003958A0" w:rsidRDefault="00D11177" w:rsidP="00D11177">
            <w:pPr>
              <w:rPr>
                <w:rFonts w:ascii="Arial" w:hAnsi="Arial" w:cs="Arial"/>
                <w:sz w:val="18"/>
                <w:szCs w:val="18"/>
              </w:rPr>
            </w:pPr>
            <w:r w:rsidRPr="00D11177">
              <w:rPr>
                <w:rFonts w:ascii="Arial" w:hAnsi="Arial" w:cs="Arial"/>
                <w:sz w:val="18"/>
                <w:szCs w:val="18"/>
              </w:rPr>
              <w:t>1.97</w:t>
            </w:r>
          </w:p>
        </w:tc>
        <w:tc>
          <w:tcPr>
            <w:tcW w:w="617" w:type="dxa"/>
            <w:vAlign w:val="bottom"/>
          </w:tcPr>
          <w:p w14:paraId="1EFBC351" w14:textId="57913154" w:rsidR="00D11177" w:rsidRPr="003958A0" w:rsidRDefault="00D11177" w:rsidP="00D11177">
            <w:pPr>
              <w:rPr>
                <w:rFonts w:ascii="Arial" w:hAnsi="Arial" w:cs="Arial"/>
                <w:sz w:val="18"/>
                <w:szCs w:val="18"/>
              </w:rPr>
            </w:pPr>
            <w:r w:rsidRPr="00D11177">
              <w:rPr>
                <w:rFonts w:ascii="Arial" w:hAnsi="Arial" w:cs="Arial"/>
                <w:sz w:val="18"/>
                <w:szCs w:val="18"/>
              </w:rPr>
              <w:t>1008</w:t>
            </w:r>
          </w:p>
        </w:tc>
        <w:tc>
          <w:tcPr>
            <w:tcW w:w="677" w:type="dxa"/>
            <w:vAlign w:val="bottom"/>
          </w:tcPr>
          <w:p w14:paraId="3B80AAC1" w14:textId="781E56AD" w:rsidR="00D11177" w:rsidRPr="003958A0" w:rsidRDefault="00D11177" w:rsidP="00D11177">
            <w:pPr>
              <w:rPr>
                <w:rFonts w:ascii="Arial" w:hAnsi="Arial" w:cs="Arial"/>
                <w:sz w:val="18"/>
                <w:szCs w:val="18"/>
              </w:rPr>
            </w:pPr>
            <w:r w:rsidRPr="00D11177">
              <w:rPr>
                <w:rFonts w:ascii="Arial" w:hAnsi="Arial" w:cs="Arial"/>
                <w:sz w:val="18"/>
                <w:szCs w:val="18"/>
              </w:rPr>
              <w:t>3.05</w:t>
            </w:r>
          </w:p>
        </w:tc>
        <w:tc>
          <w:tcPr>
            <w:tcW w:w="567" w:type="dxa"/>
            <w:vAlign w:val="bottom"/>
          </w:tcPr>
          <w:p w14:paraId="387ADE34" w14:textId="3EF03205" w:rsidR="00D11177" w:rsidRPr="003958A0" w:rsidRDefault="00D11177" w:rsidP="00D11177">
            <w:pPr>
              <w:rPr>
                <w:rFonts w:ascii="Arial" w:hAnsi="Arial" w:cs="Arial"/>
                <w:sz w:val="18"/>
                <w:szCs w:val="18"/>
              </w:rPr>
            </w:pPr>
            <w:r w:rsidRPr="00D11177">
              <w:rPr>
                <w:rFonts w:ascii="Arial" w:hAnsi="Arial" w:cs="Arial"/>
                <w:sz w:val="18"/>
                <w:szCs w:val="18"/>
              </w:rPr>
              <w:t>3.95</w:t>
            </w:r>
          </w:p>
        </w:tc>
        <w:tc>
          <w:tcPr>
            <w:tcW w:w="1742" w:type="dxa"/>
            <w:vAlign w:val="bottom"/>
          </w:tcPr>
          <w:p w14:paraId="52238E05" w14:textId="4D01408A" w:rsidR="00D11177" w:rsidRPr="003958A0" w:rsidRDefault="00D11177" w:rsidP="00D11177">
            <w:pPr>
              <w:rPr>
                <w:rFonts w:ascii="Arial" w:hAnsi="Arial" w:cs="Arial"/>
                <w:sz w:val="18"/>
                <w:szCs w:val="18"/>
              </w:rPr>
            </w:pPr>
            <w:r w:rsidRPr="00D11177">
              <w:rPr>
                <w:rFonts w:ascii="Arial" w:hAnsi="Arial" w:cs="Arial"/>
                <w:sz w:val="18"/>
                <w:szCs w:val="18"/>
              </w:rPr>
              <w:t>-0.87 (-1.16, -0.59)</w:t>
            </w:r>
          </w:p>
        </w:tc>
        <w:tc>
          <w:tcPr>
            <w:tcW w:w="1027" w:type="dxa"/>
            <w:vAlign w:val="bottom"/>
          </w:tcPr>
          <w:p w14:paraId="390C42D6" w14:textId="70F7B1A6" w:rsidR="00D11177" w:rsidRPr="003958A0" w:rsidRDefault="00D11177" w:rsidP="00D11177">
            <w:pPr>
              <w:rPr>
                <w:rFonts w:ascii="Arial" w:hAnsi="Arial" w:cs="Arial"/>
                <w:sz w:val="18"/>
                <w:szCs w:val="18"/>
              </w:rPr>
            </w:pPr>
            <w:r>
              <w:rPr>
                <w:rFonts w:ascii="Arial" w:hAnsi="Arial" w:cs="Arial"/>
                <w:sz w:val="18"/>
                <w:szCs w:val="18"/>
              </w:rPr>
              <w:t>MIS</w:t>
            </w:r>
          </w:p>
        </w:tc>
        <w:tc>
          <w:tcPr>
            <w:tcW w:w="2627" w:type="dxa"/>
            <w:vAlign w:val="bottom"/>
          </w:tcPr>
          <w:p w14:paraId="266CF099" w14:textId="68843164" w:rsidR="00D11177" w:rsidRPr="003958A0" w:rsidRDefault="00D11177" w:rsidP="00D11177">
            <w:pPr>
              <w:rPr>
                <w:rFonts w:ascii="Arial" w:hAnsi="Arial" w:cs="Arial"/>
                <w:sz w:val="18"/>
                <w:szCs w:val="18"/>
              </w:rPr>
            </w:pPr>
            <w:r>
              <w:rPr>
                <w:rFonts w:ascii="Arial" w:hAnsi="Arial" w:cs="Arial"/>
                <w:sz w:val="18"/>
                <w:szCs w:val="18"/>
              </w:rPr>
              <w:t>1281; overturn</w:t>
            </w:r>
          </w:p>
        </w:tc>
        <w:tc>
          <w:tcPr>
            <w:tcW w:w="2659" w:type="dxa"/>
            <w:vAlign w:val="bottom"/>
          </w:tcPr>
          <w:p w14:paraId="3C56E3CA" w14:textId="55B1C5A2" w:rsidR="00D11177" w:rsidRPr="003958A0" w:rsidRDefault="00D11177" w:rsidP="00D11177">
            <w:pPr>
              <w:rPr>
                <w:rFonts w:ascii="Arial" w:hAnsi="Arial" w:cs="Arial"/>
                <w:sz w:val="18"/>
                <w:szCs w:val="18"/>
              </w:rPr>
            </w:pPr>
            <w:r>
              <w:rPr>
                <w:rFonts w:ascii="Arial" w:hAnsi="Arial" w:cs="Arial"/>
                <w:sz w:val="18"/>
                <w:szCs w:val="18"/>
              </w:rPr>
              <w:t>67% above; -0.58 cm</w:t>
            </w:r>
          </w:p>
        </w:tc>
      </w:tr>
      <w:tr w:rsidR="00D11177" w:rsidRPr="00D11177" w14:paraId="5BA506A2" w14:textId="77777777" w:rsidTr="00D11177">
        <w:tc>
          <w:tcPr>
            <w:tcW w:w="1246" w:type="dxa"/>
            <w:vAlign w:val="bottom"/>
          </w:tcPr>
          <w:p w14:paraId="444B2D51" w14:textId="5571C187" w:rsidR="00D11177" w:rsidRPr="003958A0" w:rsidRDefault="00D11177" w:rsidP="00D11177">
            <w:pPr>
              <w:rPr>
                <w:rFonts w:ascii="Arial" w:hAnsi="Arial" w:cs="Arial"/>
                <w:sz w:val="18"/>
                <w:szCs w:val="18"/>
              </w:rPr>
            </w:pPr>
            <w:r>
              <w:rPr>
                <w:rFonts w:ascii="Arial" w:hAnsi="Arial" w:cs="Arial"/>
                <w:sz w:val="18"/>
                <w:szCs w:val="18"/>
              </w:rPr>
              <w:t>Intermediate post-operative pain</w:t>
            </w:r>
          </w:p>
        </w:tc>
        <w:tc>
          <w:tcPr>
            <w:tcW w:w="534" w:type="dxa"/>
            <w:vAlign w:val="bottom"/>
          </w:tcPr>
          <w:p w14:paraId="13165BAA" w14:textId="1779AAF5" w:rsidR="00D11177" w:rsidRPr="003958A0" w:rsidRDefault="00D11177" w:rsidP="00D11177">
            <w:pPr>
              <w:rPr>
                <w:rFonts w:ascii="Arial" w:hAnsi="Arial" w:cs="Arial"/>
                <w:sz w:val="18"/>
                <w:szCs w:val="18"/>
              </w:rPr>
            </w:pPr>
            <w:r w:rsidRPr="00D11177">
              <w:rPr>
                <w:rFonts w:ascii="Arial" w:hAnsi="Arial" w:cs="Arial"/>
                <w:sz w:val="18"/>
                <w:szCs w:val="18"/>
              </w:rPr>
              <w:t>283</w:t>
            </w:r>
          </w:p>
        </w:tc>
        <w:tc>
          <w:tcPr>
            <w:tcW w:w="687" w:type="dxa"/>
            <w:vAlign w:val="bottom"/>
          </w:tcPr>
          <w:p w14:paraId="5BC73710" w14:textId="31A045A8" w:rsidR="00D11177" w:rsidRPr="003958A0" w:rsidRDefault="00D11177" w:rsidP="00D11177">
            <w:pPr>
              <w:rPr>
                <w:rFonts w:ascii="Arial" w:hAnsi="Arial" w:cs="Arial"/>
                <w:sz w:val="18"/>
                <w:szCs w:val="18"/>
              </w:rPr>
            </w:pPr>
            <w:r w:rsidRPr="00D11177">
              <w:rPr>
                <w:rFonts w:ascii="Arial" w:hAnsi="Arial" w:cs="Arial"/>
                <w:sz w:val="18"/>
                <w:szCs w:val="18"/>
              </w:rPr>
              <w:t>1.63</w:t>
            </w:r>
          </w:p>
        </w:tc>
        <w:tc>
          <w:tcPr>
            <w:tcW w:w="567" w:type="dxa"/>
            <w:vAlign w:val="bottom"/>
          </w:tcPr>
          <w:p w14:paraId="747AB439" w14:textId="6C9D10E6" w:rsidR="00D11177" w:rsidRPr="003958A0" w:rsidRDefault="00D11177" w:rsidP="00D11177">
            <w:pPr>
              <w:rPr>
                <w:rFonts w:ascii="Arial" w:hAnsi="Arial" w:cs="Arial"/>
                <w:sz w:val="18"/>
                <w:szCs w:val="18"/>
              </w:rPr>
            </w:pPr>
            <w:r w:rsidRPr="00D11177">
              <w:rPr>
                <w:rFonts w:ascii="Arial" w:hAnsi="Arial" w:cs="Arial"/>
                <w:sz w:val="18"/>
                <w:szCs w:val="18"/>
              </w:rPr>
              <w:t>1.64</w:t>
            </w:r>
          </w:p>
        </w:tc>
        <w:tc>
          <w:tcPr>
            <w:tcW w:w="617" w:type="dxa"/>
            <w:vAlign w:val="bottom"/>
          </w:tcPr>
          <w:p w14:paraId="04984465" w14:textId="69598574" w:rsidR="00D11177" w:rsidRPr="003958A0" w:rsidRDefault="00D11177" w:rsidP="00D11177">
            <w:pPr>
              <w:rPr>
                <w:rFonts w:ascii="Arial" w:hAnsi="Arial" w:cs="Arial"/>
                <w:sz w:val="18"/>
                <w:szCs w:val="18"/>
              </w:rPr>
            </w:pPr>
            <w:r w:rsidRPr="00D11177">
              <w:rPr>
                <w:rFonts w:ascii="Arial" w:hAnsi="Arial" w:cs="Arial"/>
                <w:sz w:val="18"/>
                <w:szCs w:val="18"/>
              </w:rPr>
              <w:t>294</w:t>
            </w:r>
          </w:p>
        </w:tc>
        <w:tc>
          <w:tcPr>
            <w:tcW w:w="677" w:type="dxa"/>
            <w:vAlign w:val="bottom"/>
          </w:tcPr>
          <w:p w14:paraId="60849987" w14:textId="2A61996B" w:rsidR="00D11177" w:rsidRPr="003958A0" w:rsidRDefault="00D11177" w:rsidP="00D11177">
            <w:pPr>
              <w:rPr>
                <w:rFonts w:ascii="Arial" w:hAnsi="Arial" w:cs="Arial"/>
                <w:sz w:val="18"/>
                <w:szCs w:val="18"/>
              </w:rPr>
            </w:pPr>
            <w:r w:rsidRPr="00D11177">
              <w:rPr>
                <w:rFonts w:ascii="Arial" w:hAnsi="Arial" w:cs="Arial"/>
                <w:sz w:val="18"/>
                <w:szCs w:val="18"/>
              </w:rPr>
              <w:t>1.25</w:t>
            </w:r>
          </w:p>
        </w:tc>
        <w:tc>
          <w:tcPr>
            <w:tcW w:w="567" w:type="dxa"/>
            <w:vAlign w:val="bottom"/>
          </w:tcPr>
          <w:p w14:paraId="33D188EC" w14:textId="7D477562" w:rsidR="00D11177" w:rsidRPr="003958A0" w:rsidRDefault="00D11177" w:rsidP="00D11177">
            <w:pPr>
              <w:rPr>
                <w:rFonts w:ascii="Arial" w:hAnsi="Arial" w:cs="Arial"/>
                <w:sz w:val="18"/>
                <w:szCs w:val="18"/>
              </w:rPr>
            </w:pPr>
            <w:r w:rsidRPr="00D11177">
              <w:rPr>
                <w:rFonts w:ascii="Arial" w:hAnsi="Arial" w:cs="Arial"/>
                <w:sz w:val="18"/>
                <w:szCs w:val="18"/>
              </w:rPr>
              <w:t>1.95</w:t>
            </w:r>
          </w:p>
        </w:tc>
        <w:tc>
          <w:tcPr>
            <w:tcW w:w="1742" w:type="dxa"/>
            <w:vAlign w:val="bottom"/>
          </w:tcPr>
          <w:p w14:paraId="5A02AAC8" w14:textId="0DB9D518" w:rsidR="00D11177" w:rsidRPr="00D11177" w:rsidRDefault="00D11177" w:rsidP="00D11177">
            <w:pPr>
              <w:rPr>
                <w:rFonts w:ascii="Arial" w:hAnsi="Arial" w:cs="Arial"/>
                <w:sz w:val="18"/>
                <w:szCs w:val="18"/>
              </w:rPr>
            </w:pPr>
            <w:r w:rsidRPr="00D11177">
              <w:rPr>
                <w:rFonts w:ascii="Arial" w:hAnsi="Arial" w:cs="Arial"/>
                <w:sz w:val="18"/>
                <w:szCs w:val="18"/>
              </w:rPr>
              <w:t>-0.38 (-0.67, -0.08)</w:t>
            </w:r>
          </w:p>
        </w:tc>
        <w:tc>
          <w:tcPr>
            <w:tcW w:w="1027" w:type="dxa"/>
            <w:vAlign w:val="bottom"/>
          </w:tcPr>
          <w:p w14:paraId="335E9339" w14:textId="3BC7756B" w:rsidR="00D11177" w:rsidRPr="003958A0" w:rsidRDefault="00D11177" w:rsidP="00D11177">
            <w:pPr>
              <w:rPr>
                <w:rFonts w:ascii="Arial" w:hAnsi="Arial" w:cs="Arial"/>
                <w:sz w:val="18"/>
                <w:szCs w:val="18"/>
              </w:rPr>
            </w:pPr>
            <w:r>
              <w:rPr>
                <w:rFonts w:ascii="Arial" w:hAnsi="Arial" w:cs="Arial"/>
                <w:sz w:val="18"/>
                <w:szCs w:val="18"/>
              </w:rPr>
              <w:t>MIS</w:t>
            </w:r>
          </w:p>
        </w:tc>
        <w:tc>
          <w:tcPr>
            <w:tcW w:w="2627" w:type="dxa"/>
            <w:vAlign w:val="bottom"/>
          </w:tcPr>
          <w:p w14:paraId="4E42C002" w14:textId="0C79BBC5" w:rsidR="00D11177" w:rsidRPr="003958A0" w:rsidRDefault="00D11177" w:rsidP="00D11177">
            <w:pPr>
              <w:rPr>
                <w:rFonts w:ascii="Arial" w:hAnsi="Arial" w:cs="Arial"/>
                <w:sz w:val="18"/>
                <w:szCs w:val="18"/>
              </w:rPr>
            </w:pPr>
            <w:r>
              <w:rPr>
                <w:rFonts w:ascii="Arial" w:hAnsi="Arial" w:cs="Arial"/>
                <w:sz w:val="18"/>
                <w:szCs w:val="18"/>
              </w:rPr>
              <w:t>122; overturn</w:t>
            </w:r>
          </w:p>
        </w:tc>
        <w:tc>
          <w:tcPr>
            <w:tcW w:w="2659" w:type="dxa"/>
            <w:vAlign w:val="bottom"/>
          </w:tcPr>
          <w:p w14:paraId="71CCDF72" w14:textId="6E4DF048" w:rsidR="00D11177" w:rsidRPr="003958A0" w:rsidRDefault="00D11177" w:rsidP="00D11177">
            <w:pPr>
              <w:rPr>
                <w:rFonts w:ascii="Arial" w:hAnsi="Arial" w:cs="Arial"/>
                <w:sz w:val="18"/>
                <w:szCs w:val="18"/>
              </w:rPr>
            </w:pPr>
            <w:r>
              <w:rPr>
                <w:rFonts w:ascii="Arial" w:hAnsi="Arial" w:cs="Arial"/>
                <w:sz w:val="18"/>
                <w:szCs w:val="18"/>
              </w:rPr>
              <w:t>21% above; -0.08 cm</w:t>
            </w:r>
          </w:p>
        </w:tc>
      </w:tr>
      <w:tr w:rsidR="00D11177" w:rsidRPr="00D11177" w14:paraId="1D40B8A6" w14:textId="77777777" w:rsidTr="00D11177">
        <w:tc>
          <w:tcPr>
            <w:tcW w:w="1246" w:type="dxa"/>
            <w:vAlign w:val="bottom"/>
          </w:tcPr>
          <w:p w14:paraId="64FC562E" w14:textId="184AF0DE" w:rsidR="00D11177" w:rsidRPr="003958A0" w:rsidRDefault="00D11177" w:rsidP="00D11177">
            <w:pPr>
              <w:rPr>
                <w:rFonts w:ascii="Arial" w:hAnsi="Arial" w:cs="Arial"/>
                <w:sz w:val="18"/>
                <w:szCs w:val="18"/>
              </w:rPr>
            </w:pPr>
            <w:r>
              <w:rPr>
                <w:rFonts w:ascii="Arial" w:hAnsi="Arial" w:cs="Arial"/>
                <w:sz w:val="18"/>
                <w:szCs w:val="18"/>
              </w:rPr>
              <w:t>Long-term post-operative pain</w:t>
            </w:r>
          </w:p>
        </w:tc>
        <w:tc>
          <w:tcPr>
            <w:tcW w:w="534" w:type="dxa"/>
            <w:vAlign w:val="bottom"/>
          </w:tcPr>
          <w:p w14:paraId="3F83210A" w14:textId="29B0BAA5" w:rsidR="00D11177" w:rsidRPr="003958A0" w:rsidRDefault="00D11177" w:rsidP="00D11177">
            <w:pPr>
              <w:rPr>
                <w:rFonts w:ascii="Arial" w:hAnsi="Arial" w:cs="Arial"/>
                <w:sz w:val="18"/>
                <w:szCs w:val="18"/>
              </w:rPr>
            </w:pPr>
            <w:r w:rsidRPr="00D11177">
              <w:rPr>
                <w:rFonts w:ascii="Arial" w:hAnsi="Arial" w:cs="Arial"/>
                <w:sz w:val="18"/>
                <w:szCs w:val="18"/>
              </w:rPr>
              <w:t>166</w:t>
            </w:r>
          </w:p>
        </w:tc>
        <w:tc>
          <w:tcPr>
            <w:tcW w:w="687" w:type="dxa"/>
            <w:vAlign w:val="bottom"/>
          </w:tcPr>
          <w:p w14:paraId="24975FEA" w14:textId="7BF519A4" w:rsidR="00D11177" w:rsidRPr="003958A0" w:rsidRDefault="00D11177" w:rsidP="00D11177">
            <w:pPr>
              <w:rPr>
                <w:rFonts w:ascii="Arial" w:hAnsi="Arial" w:cs="Arial"/>
                <w:sz w:val="18"/>
                <w:szCs w:val="18"/>
              </w:rPr>
            </w:pPr>
            <w:r w:rsidRPr="00D11177">
              <w:rPr>
                <w:rFonts w:ascii="Arial" w:hAnsi="Arial" w:cs="Arial"/>
                <w:sz w:val="18"/>
                <w:szCs w:val="18"/>
              </w:rPr>
              <w:t>1</w:t>
            </w:r>
          </w:p>
        </w:tc>
        <w:tc>
          <w:tcPr>
            <w:tcW w:w="567" w:type="dxa"/>
            <w:vAlign w:val="bottom"/>
          </w:tcPr>
          <w:p w14:paraId="792ACFE0" w14:textId="04E59048" w:rsidR="00D11177" w:rsidRPr="003958A0" w:rsidRDefault="00D11177" w:rsidP="00D11177">
            <w:pPr>
              <w:rPr>
                <w:rFonts w:ascii="Arial" w:hAnsi="Arial" w:cs="Arial"/>
                <w:sz w:val="18"/>
                <w:szCs w:val="18"/>
              </w:rPr>
            </w:pPr>
            <w:r w:rsidRPr="00D11177">
              <w:rPr>
                <w:rFonts w:ascii="Arial" w:hAnsi="Arial" w:cs="Arial"/>
                <w:sz w:val="18"/>
                <w:szCs w:val="18"/>
              </w:rPr>
              <w:t>1.28</w:t>
            </w:r>
          </w:p>
        </w:tc>
        <w:tc>
          <w:tcPr>
            <w:tcW w:w="617" w:type="dxa"/>
            <w:vAlign w:val="bottom"/>
          </w:tcPr>
          <w:p w14:paraId="5E476155" w14:textId="7C257B61" w:rsidR="00D11177" w:rsidRPr="003958A0" w:rsidRDefault="00D11177" w:rsidP="00D11177">
            <w:pPr>
              <w:rPr>
                <w:rFonts w:ascii="Arial" w:hAnsi="Arial" w:cs="Arial"/>
                <w:sz w:val="18"/>
                <w:szCs w:val="18"/>
              </w:rPr>
            </w:pPr>
            <w:r w:rsidRPr="00D11177">
              <w:rPr>
                <w:rFonts w:ascii="Arial" w:hAnsi="Arial" w:cs="Arial"/>
                <w:sz w:val="18"/>
                <w:szCs w:val="18"/>
              </w:rPr>
              <w:t>159</w:t>
            </w:r>
          </w:p>
        </w:tc>
        <w:tc>
          <w:tcPr>
            <w:tcW w:w="677" w:type="dxa"/>
            <w:vAlign w:val="bottom"/>
          </w:tcPr>
          <w:p w14:paraId="736DE519" w14:textId="44FB2569" w:rsidR="00D11177" w:rsidRPr="003958A0" w:rsidRDefault="00D11177" w:rsidP="00D11177">
            <w:pPr>
              <w:rPr>
                <w:rFonts w:ascii="Arial" w:hAnsi="Arial" w:cs="Arial"/>
                <w:sz w:val="18"/>
                <w:szCs w:val="18"/>
              </w:rPr>
            </w:pPr>
            <w:r w:rsidRPr="00D11177">
              <w:rPr>
                <w:rFonts w:ascii="Arial" w:hAnsi="Arial" w:cs="Arial"/>
                <w:sz w:val="18"/>
                <w:szCs w:val="18"/>
              </w:rPr>
              <w:t>0.83</w:t>
            </w:r>
          </w:p>
        </w:tc>
        <w:tc>
          <w:tcPr>
            <w:tcW w:w="567" w:type="dxa"/>
            <w:vAlign w:val="bottom"/>
          </w:tcPr>
          <w:p w14:paraId="7D7D3368" w14:textId="71D6F9A5" w:rsidR="00D11177" w:rsidRPr="003958A0" w:rsidRDefault="00D11177" w:rsidP="00D11177">
            <w:pPr>
              <w:rPr>
                <w:rFonts w:ascii="Arial" w:hAnsi="Arial" w:cs="Arial"/>
                <w:sz w:val="18"/>
                <w:szCs w:val="18"/>
              </w:rPr>
            </w:pPr>
            <w:r w:rsidRPr="00D11177">
              <w:rPr>
                <w:rFonts w:ascii="Arial" w:hAnsi="Arial" w:cs="Arial"/>
                <w:sz w:val="18"/>
                <w:szCs w:val="18"/>
              </w:rPr>
              <w:t>1.35</w:t>
            </w:r>
          </w:p>
        </w:tc>
        <w:tc>
          <w:tcPr>
            <w:tcW w:w="1742" w:type="dxa"/>
            <w:vAlign w:val="bottom"/>
          </w:tcPr>
          <w:p w14:paraId="59FAED83" w14:textId="4415DB9A" w:rsidR="00D11177" w:rsidRPr="003958A0" w:rsidRDefault="00D11177" w:rsidP="00D11177">
            <w:pPr>
              <w:rPr>
                <w:rFonts w:ascii="Arial" w:hAnsi="Arial" w:cs="Arial"/>
                <w:sz w:val="18"/>
                <w:szCs w:val="18"/>
              </w:rPr>
            </w:pPr>
            <w:r w:rsidRPr="00D11177">
              <w:rPr>
                <w:rFonts w:ascii="Arial" w:hAnsi="Arial" w:cs="Arial"/>
                <w:sz w:val="18"/>
                <w:szCs w:val="18"/>
              </w:rPr>
              <w:t>-0.17 (-0.46, 0.11)</w:t>
            </w:r>
          </w:p>
        </w:tc>
        <w:tc>
          <w:tcPr>
            <w:tcW w:w="1027" w:type="dxa"/>
            <w:vAlign w:val="bottom"/>
          </w:tcPr>
          <w:p w14:paraId="0A7696FB" w14:textId="67A85030" w:rsidR="00D11177" w:rsidRPr="003958A0" w:rsidRDefault="00D11177" w:rsidP="00D11177">
            <w:pPr>
              <w:rPr>
                <w:rFonts w:ascii="Arial" w:hAnsi="Arial" w:cs="Arial"/>
                <w:sz w:val="18"/>
                <w:szCs w:val="18"/>
              </w:rPr>
            </w:pPr>
            <w:r>
              <w:rPr>
                <w:rFonts w:ascii="Arial" w:hAnsi="Arial" w:cs="Arial"/>
                <w:sz w:val="18"/>
                <w:szCs w:val="18"/>
              </w:rPr>
              <w:t>MIS, but not significant</w:t>
            </w:r>
          </w:p>
        </w:tc>
        <w:tc>
          <w:tcPr>
            <w:tcW w:w="2627" w:type="dxa"/>
            <w:vAlign w:val="bottom"/>
          </w:tcPr>
          <w:p w14:paraId="028ACD3D" w14:textId="10D20828" w:rsidR="00D11177" w:rsidRPr="003958A0" w:rsidRDefault="00D11177" w:rsidP="00D11177">
            <w:pPr>
              <w:rPr>
                <w:rFonts w:ascii="Arial" w:hAnsi="Arial" w:cs="Arial"/>
                <w:sz w:val="18"/>
                <w:szCs w:val="18"/>
              </w:rPr>
            </w:pPr>
            <w:r>
              <w:rPr>
                <w:rFonts w:ascii="Arial" w:hAnsi="Arial" w:cs="Arial"/>
                <w:sz w:val="18"/>
                <w:szCs w:val="18"/>
              </w:rPr>
              <w:t>127; generate</w:t>
            </w:r>
          </w:p>
        </w:tc>
        <w:tc>
          <w:tcPr>
            <w:tcW w:w="2659" w:type="dxa"/>
            <w:vAlign w:val="bottom"/>
          </w:tcPr>
          <w:p w14:paraId="21F05D87" w14:textId="6302CD51" w:rsidR="00D11177" w:rsidRPr="003958A0" w:rsidRDefault="00D11177" w:rsidP="00D11177">
            <w:pPr>
              <w:rPr>
                <w:rFonts w:ascii="Arial" w:hAnsi="Arial" w:cs="Arial"/>
                <w:sz w:val="18"/>
                <w:szCs w:val="18"/>
              </w:rPr>
            </w:pPr>
            <w:r>
              <w:rPr>
                <w:rFonts w:ascii="Arial" w:hAnsi="Arial" w:cs="Arial"/>
                <w:sz w:val="18"/>
                <w:szCs w:val="18"/>
              </w:rPr>
              <w:t>39% below, -0.07 cm</w:t>
            </w:r>
          </w:p>
        </w:tc>
      </w:tr>
    </w:tbl>
    <w:p w14:paraId="5B12FF5E" w14:textId="77777777" w:rsidR="003958A0" w:rsidRDefault="003958A0" w:rsidP="003958A0">
      <w:pPr>
        <w:rPr>
          <w:rFonts w:ascii="Arial" w:hAnsi="Arial" w:cs="Arial"/>
          <w:b/>
          <w:bCs/>
          <w:sz w:val="20"/>
          <w:szCs w:val="20"/>
        </w:rPr>
      </w:pPr>
    </w:p>
    <w:p w14:paraId="40E7F31D" w14:textId="7E5997C4" w:rsidR="001A04FD" w:rsidRDefault="00D11177" w:rsidP="001A04FD">
      <w:pPr>
        <w:rPr>
          <w:rFonts w:ascii="Arial" w:hAnsi="Arial" w:cs="Arial"/>
          <w:b/>
          <w:bCs/>
          <w:sz w:val="20"/>
          <w:szCs w:val="20"/>
        </w:rPr>
      </w:pPr>
      <w:r w:rsidRPr="457B398F">
        <w:rPr>
          <w:rFonts w:ascii="Arial" w:hAnsi="Arial" w:cs="Arial"/>
          <w:sz w:val="16"/>
          <w:szCs w:val="16"/>
        </w:rPr>
        <w:t xml:space="preserve">NOTES: RIR = robustness of inference to replacement. MIS = minimally invasive surgery. FEAST = fraction of the effect above the significance threshold. FEBST = fraction of the effect below the significance threshold. VAS = Visual Analog Scale. </w:t>
      </w:r>
    </w:p>
    <w:p w14:paraId="360FF521" w14:textId="46BAB9CB" w:rsidR="001A04FD" w:rsidRDefault="001A04FD" w:rsidP="000E505D">
      <w:pPr>
        <w:rPr>
          <w:b/>
          <w:bCs/>
        </w:rPr>
        <w:sectPr w:rsidR="001A04FD" w:rsidSect="00265490">
          <w:headerReference w:type="default" r:id="rId21"/>
          <w:footerReference w:type="default" r:id="rId22"/>
          <w:pgSz w:w="15840" w:h="12240" w:orient="landscape"/>
          <w:pgMar w:top="1440" w:right="1440" w:bottom="1440" w:left="1440" w:header="720" w:footer="720" w:gutter="0"/>
          <w:cols w:space="720"/>
          <w:docGrid w:linePitch="360"/>
        </w:sectPr>
      </w:pPr>
    </w:p>
    <w:p w14:paraId="10CBBF3F" w14:textId="7A198EFF" w:rsidR="00265490" w:rsidRDefault="00F913B1" w:rsidP="00D54241">
      <w:pPr>
        <w:rPr>
          <w:b/>
          <w:bCs/>
        </w:rPr>
      </w:pPr>
      <w:r>
        <w:rPr>
          <w:b/>
          <w:bCs/>
        </w:rPr>
        <w:lastRenderedPageBreak/>
        <w:t>Technical</w:t>
      </w:r>
      <w:r w:rsidR="00265490" w:rsidRPr="5D15F2DB">
        <w:rPr>
          <w:b/>
          <w:bCs/>
        </w:rPr>
        <w:t xml:space="preserve"> Appendix</w:t>
      </w:r>
    </w:p>
    <w:p w14:paraId="1CBAD6EA" w14:textId="77777777" w:rsidR="00D54241" w:rsidRDefault="00D54241" w:rsidP="00D54241">
      <w:pPr>
        <w:rPr>
          <w:b/>
          <w:bCs/>
        </w:rPr>
      </w:pPr>
    </w:p>
    <w:p w14:paraId="02EC9720" w14:textId="1E4B194B" w:rsidR="00D54241" w:rsidRPr="00D54241" w:rsidRDefault="00DD1E00" w:rsidP="00D54241">
      <w:r>
        <w:t>F</w:t>
      </w:r>
      <w:r w:rsidR="005942E8">
        <w:t xml:space="preserve">urther discussion about the </w:t>
      </w:r>
      <w:r>
        <w:t xml:space="preserve">theory of the RIR is provided here: </w:t>
      </w:r>
      <w:r w:rsidR="00D54241" w:rsidRPr="00E66719">
        <w:rPr>
          <w:i/>
          <w:iCs/>
        </w:rPr>
        <w:t>Frank KA, Lin Q, Maroulis S, et al. Hypothetical case replacement can be used to quantify the robustness of trial results. J Clin Epidemiol. 2021;134:150-159. doi:10.1016/j.jclinepi.2021.01.025</w:t>
      </w:r>
    </w:p>
    <w:p w14:paraId="3BE57959" w14:textId="496E6078" w:rsidR="00D54241" w:rsidRPr="00D54241" w:rsidRDefault="00D54241" w:rsidP="00D54241"/>
    <w:p w14:paraId="0E718395" w14:textId="4A68F463" w:rsidR="00D54241" w:rsidRDefault="499BE696" w:rsidP="00D54241">
      <w:r w:rsidRPr="08C634CE">
        <w:t>Th</w:t>
      </w:r>
      <w:r w:rsidR="432E5DCF" w:rsidRPr="08C634CE">
        <w:t>is appendix outlines</w:t>
      </w:r>
      <w:r w:rsidRPr="08C634CE">
        <w:t xml:space="preserve"> the analytic decisions made by </w:t>
      </w:r>
      <w:r w:rsidR="237390D2" w:rsidRPr="08C634CE">
        <w:t>our team of</w:t>
      </w:r>
      <w:r w:rsidRPr="08C634CE">
        <w:t xml:space="preserve"> authors while applying the </w:t>
      </w:r>
      <w:r w:rsidR="63F88BBA" w:rsidRPr="08C634CE">
        <w:t>RIR method, which was originally developed in the field of education,</w:t>
      </w:r>
      <w:r w:rsidRPr="08C634CE">
        <w:t xml:space="preserve"> to </w:t>
      </w:r>
      <w:r w:rsidR="49F86EE7" w:rsidRPr="08C634CE">
        <w:t>a research question in general surgery.</w:t>
      </w:r>
    </w:p>
    <w:p w14:paraId="3C083786" w14:textId="77777777" w:rsidR="005528CD" w:rsidRDefault="005528CD" w:rsidP="00D54241"/>
    <w:p w14:paraId="3FB35CE7" w14:textId="1FF7A27C" w:rsidR="005528CD" w:rsidRDefault="005528CD" w:rsidP="00D54241">
      <w:r>
        <w:rPr>
          <w:u w:val="single"/>
        </w:rPr>
        <w:t>RIR for dichotomous outcomes</w:t>
      </w:r>
    </w:p>
    <w:p w14:paraId="6760DBE1" w14:textId="1C43B18B" w:rsidR="00513748" w:rsidRDefault="00A54D36" w:rsidP="00D54241">
      <w:r>
        <w:t>For findings reported as</w:t>
      </w:r>
      <w:r w:rsidR="00C07004">
        <w:t xml:space="preserve"> odds ratio</w:t>
      </w:r>
      <w:r>
        <w:t>s</w:t>
      </w:r>
      <w:r w:rsidR="00C07004">
        <w:t xml:space="preserve"> derived from standard epidemiological 2x2 table</w:t>
      </w:r>
      <w:r>
        <w:t>s</w:t>
      </w:r>
      <w:r w:rsidR="00C07004">
        <w:t xml:space="preserve">, the RIR software asks the researcher to answer </w:t>
      </w:r>
      <w:r w:rsidR="007F040F">
        <w:t>two</w:t>
      </w:r>
      <w:r w:rsidR="00C07004">
        <w:t xml:space="preserve"> specific questions:</w:t>
      </w:r>
    </w:p>
    <w:p w14:paraId="640102A5" w14:textId="1F53FD73" w:rsidR="00C07004" w:rsidRDefault="00C07004" w:rsidP="00C07004">
      <w:pPr>
        <w:pStyle w:val="ListParagraph"/>
        <w:numPr>
          <w:ilvl w:val="0"/>
          <w:numId w:val="8"/>
        </w:numPr>
        <w:rPr>
          <w:rFonts w:ascii="Times New Roman" w:hAnsi="Times New Roman" w:cs="Times New Roman"/>
        </w:rPr>
      </w:pPr>
      <w:r>
        <w:rPr>
          <w:rFonts w:ascii="Times New Roman" w:hAnsi="Times New Roman" w:cs="Times New Roman"/>
        </w:rPr>
        <w:t xml:space="preserve">For the calculation of </w:t>
      </w:r>
      <w:r w:rsidR="00AD6859">
        <w:rPr>
          <w:rFonts w:ascii="Times New Roman" w:hAnsi="Times New Roman" w:cs="Times New Roman"/>
        </w:rPr>
        <w:t>Fragility</w:t>
      </w:r>
      <w:r>
        <w:rPr>
          <w:rFonts w:ascii="Times New Roman" w:hAnsi="Times New Roman" w:cs="Times New Roman"/>
        </w:rPr>
        <w:t xml:space="preserve">: </w:t>
      </w:r>
      <w:r w:rsidR="007F040F">
        <w:rPr>
          <w:rFonts w:ascii="Times New Roman" w:hAnsi="Times New Roman" w:cs="Times New Roman"/>
        </w:rPr>
        <w:t>should case movement originate in the treatment group or the control group?</w:t>
      </w:r>
    </w:p>
    <w:p w14:paraId="04AD322E" w14:textId="447B83AA" w:rsidR="00C57EFC" w:rsidRDefault="007F040F" w:rsidP="00C57EFC">
      <w:pPr>
        <w:pStyle w:val="ListParagraph"/>
        <w:numPr>
          <w:ilvl w:val="0"/>
          <w:numId w:val="8"/>
        </w:numPr>
        <w:rPr>
          <w:rFonts w:ascii="Times New Roman" w:hAnsi="Times New Roman" w:cs="Times New Roman"/>
        </w:rPr>
      </w:pPr>
      <w:r>
        <w:rPr>
          <w:rFonts w:ascii="Times New Roman" w:hAnsi="Times New Roman" w:cs="Times New Roman"/>
        </w:rPr>
        <w:t xml:space="preserve">For the conversion from </w:t>
      </w:r>
      <w:r w:rsidR="00AD6859">
        <w:rPr>
          <w:rFonts w:ascii="Times New Roman" w:hAnsi="Times New Roman" w:cs="Times New Roman"/>
        </w:rPr>
        <w:t>Fragility</w:t>
      </w:r>
      <w:r>
        <w:rPr>
          <w:rFonts w:ascii="Times New Roman" w:hAnsi="Times New Roman" w:cs="Times New Roman"/>
        </w:rPr>
        <w:t xml:space="preserve"> to RIR: should </w:t>
      </w:r>
      <w:r w:rsidR="00D02EC4">
        <w:rPr>
          <w:rFonts w:ascii="Times New Roman" w:hAnsi="Times New Roman" w:cs="Times New Roman"/>
        </w:rPr>
        <w:t xml:space="preserve">this </w:t>
      </w:r>
      <w:r w:rsidR="008821F0">
        <w:rPr>
          <w:rFonts w:ascii="Times New Roman" w:hAnsi="Times New Roman" w:cs="Times New Roman"/>
        </w:rPr>
        <w:t>use</w:t>
      </w:r>
      <w:r w:rsidR="00D02EC4">
        <w:rPr>
          <w:rFonts w:ascii="Times New Roman" w:hAnsi="Times New Roman" w:cs="Times New Roman"/>
        </w:rPr>
        <w:t xml:space="preserve"> the probability of the outcome in the </w:t>
      </w:r>
      <w:r w:rsidR="00C57EFC">
        <w:rPr>
          <w:rFonts w:ascii="Times New Roman" w:hAnsi="Times New Roman" w:cs="Times New Roman"/>
        </w:rPr>
        <w:t xml:space="preserve">control group, or should this </w:t>
      </w:r>
      <w:r w:rsidR="008821F0">
        <w:rPr>
          <w:rFonts w:ascii="Times New Roman" w:hAnsi="Times New Roman" w:cs="Times New Roman"/>
        </w:rPr>
        <w:t>use</w:t>
      </w:r>
      <w:r w:rsidR="00C57EFC">
        <w:rPr>
          <w:rFonts w:ascii="Times New Roman" w:hAnsi="Times New Roman" w:cs="Times New Roman"/>
        </w:rPr>
        <w:t xml:space="preserve"> the probability of the outcome in the entire study population?</w:t>
      </w:r>
    </w:p>
    <w:p w14:paraId="14C2AB6D" w14:textId="62B82BFE" w:rsidR="00C57EFC" w:rsidRDefault="00C57EFC" w:rsidP="00C57EFC"/>
    <w:p w14:paraId="6E88D620" w14:textId="331B5B2D" w:rsidR="00C57EFC" w:rsidRDefault="6758D175" w:rsidP="00C57EFC">
      <w:r w:rsidRPr="08C634CE">
        <w:t xml:space="preserve">The answers to these questions affect the RIR </w:t>
      </w:r>
      <w:r w:rsidR="075AFB38" w:rsidRPr="08C634CE">
        <w:t xml:space="preserve">results. For </w:t>
      </w:r>
      <w:r w:rsidR="4853BF6A" w:rsidRPr="08C634CE">
        <w:t>the</w:t>
      </w:r>
      <w:r w:rsidR="075AFB38" w:rsidRPr="08C634CE">
        <w:t xml:space="preserve"> current study, </w:t>
      </w:r>
      <w:r w:rsidR="177B87C4" w:rsidRPr="08C634CE">
        <w:t>we programmed the software</w:t>
      </w:r>
      <w:r w:rsidR="075AFB38" w:rsidRPr="08C634CE">
        <w:t xml:space="preserve"> as follows</w:t>
      </w:r>
      <w:r w:rsidR="002E4A5B">
        <w:t>. We made these decisions with the motivation to allow the RIR to be comparable across different studies and outcomes.</w:t>
      </w:r>
    </w:p>
    <w:p w14:paraId="4A6BFBA4" w14:textId="315B9A4B" w:rsidR="005942E8" w:rsidRPr="00080DC0" w:rsidRDefault="4930714F" w:rsidP="08C634CE">
      <w:pPr>
        <w:pStyle w:val="ListParagraph"/>
        <w:numPr>
          <w:ilvl w:val="0"/>
          <w:numId w:val="11"/>
        </w:numPr>
        <w:rPr>
          <w:rFonts w:ascii="Times New Roman" w:hAnsi="Times New Roman" w:cs="Times New Roman"/>
        </w:rPr>
      </w:pPr>
      <w:r w:rsidRPr="08C634CE">
        <w:rPr>
          <w:rFonts w:ascii="Times New Roman" w:hAnsi="Times New Roman" w:cs="Times New Roman"/>
        </w:rPr>
        <w:t xml:space="preserve">When there </w:t>
      </w:r>
      <w:r w:rsidRPr="08C634CE">
        <w:rPr>
          <w:rFonts w:ascii="Times New Roman" w:hAnsi="Times New Roman" w:cs="Times New Roman"/>
          <w:b/>
          <w:bCs/>
        </w:rPr>
        <w:t>is</w:t>
      </w:r>
      <w:r w:rsidRPr="08C634CE">
        <w:rPr>
          <w:rFonts w:ascii="Times New Roman" w:hAnsi="Times New Roman" w:cs="Times New Roman"/>
        </w:rPr>
        <w:t xml:space="preserve"> </w:t>
      </w:r>
      <w:r w:rsidRPr="08C634CE">
        <w:rPr>
          <w:rFonts w:ascii="Times New Roman" w:hAnsi="Times New Roman" w:cs="Times New Roman"/>
          <w:b/>
          <w:bCs/>
        </w:rPr>
        <w:t>a statistically significant difference</w:t>
      </w:r>
      <w:r w:rsidRPr="08C634CE">
        <w:rPr>
          <w:rFonts w:ascii="Times New Roman" w:hAnsi="Times New Roman" w:cs="Times New Roman"/>
        </w:rPr>
        <w:t xml:space="preserve"> between MIS and open surgery, </w:t>
      </w:r>
      <w:r w:rsidRPr="08C634CE">
        <w:rPr>
          <w:rFonts w:ascii="Times New Roman" w:hAnsi="Times New Roman" w:cs="Times New Roman"/>
          <w:u w:val="single"/>
        </w:rPr>
        <w:t>case movement should originate in the group with higher incidence of the outcome</w:t>
      </w:r>
      <w:r w:rsidRPr="08C634CE">
        <w:rPr>
          <w:rFonts w:ascii="Times New Roman" w:hAnsi="Times New Roman" w:cs="Times New Roman"/>
        </w:rPr>
        <w:t xml:space="preserve">. When there </w:t>
      </w:r>
      <w:r w:rsidRPr="08C634CE">
        <w:rPr>
          <w:rFonts w:ascii="Times New Roman" w:hAnsi="Times New Roman" w:cs="Times New Roman"/>
          <w:b/>
          <w:bCs/>
        </w:rPr>
        <w:t>is no statistically significant difference</w:t>
      </w:r>
      <w:r w:rsidRPr="08C634CE">
        <w:rPr>
          <w:rFonts w:ascii="Times New Roman" w:hAnsi="Times New Roman" w:cs="Times New Roman"/>
        </w:rPr>
        <w:t xml:space="preserve">, </w:t>
      </w:r>
      <w:r w:rsidRPr="08C634CE">
        <w:rPr>
          <w:rFonts w:ascii="Times New Roman" w:hAnsi="Times New Roman" w:cs="Times New Roman"/>
          <w:u w:val="single"/>
        </w:rPr>
        <w:t>case movement should originate in the group with lower incidence of the outcome</w:t>
      </w:r>
      <w:r w:rsidRPr="08C634CE">
        <w:rPr>
          <w:rFonts w:ascii="Times New Roman" w:hAnsi="Times New Roman" w:cs="Times New Roman"/>
        </w:rPr>
        <w:t xml:space="preserve">. </w:t>
      </w:r>
    </w:p>
    <w:p w14:paraId="2EC9D19B" w14:textId="59F6028C" w:rsidR="00B76199" w:rsidRDefault="4930714F" w:rsidP="08C634CE">
      <w:pPr>
        <w:pStyle w:val="ListParagraph"/>
        <w:numPr>
          <w:ilvl w:val="1"/>
          <w:numId w:val="3"/>
        </w:numPr>
        <w:rPr>
          <w:rFonts w:ascii="Times New Roman" w:hAnsi="Times New Roman" w:cs="Times New Roman"/>
        </w:rPr>
      </w:pPr>
      <w:r w:rsidRPr="08C634CE">
        <w:rPr>
          <w:rFonts w:ascii="Times New Roman" w:hAnsi="Times New Roman" w:cs="Times New Roman"/>
        </w:rPr>
        <w:t>T</w:t>
      </w:r>
      <w:r w:rsidR="49DF9891" w:rsidRPr="08C634CE">
        <w:rPr>
          <w:rFonts w:ascii="Times New Roman" w:hAnsi="Times New Roman" w:cs="Times New Roman"/>
        </w:rPr>
        <w:t xml:space="preserve">his allows </w:t>
      </w:r>
      <w:r w:rsidR="00AD6859">
        <w:rPr>
          <w:rFonts w:ascii="Times New Roman" w:hAnsi="Times New Roman" w:cs="Times New Roman"/>
        </w:rPr>
        <w:t>Fragility</w:t>
      </w:r>
      <w:r w:rsidR="49DF9891" w:rsidRPr="08C634CE">
        <w:rPr>
          <w:rFonts w:ascii="Times New Roman" w:hAnsi="Times New Roman" w:cs="Times New Roman"/>
        </w:rPr>
        <w:t xml:space="preserve"> to be conceptualized</w:t>
      </w:r>
      <w:r w:rsidR="7D79783F" w:rsidRPr="08C634CE">
        <w:rPr>
          <w:rFonts w:ascii="Times New Roman" w:hAnsi="Times New Roman" w:cs="Times New Roman"/>
        </w:rPr>
        <w:t xml:space="preserve"> in every </w:t>
      </w:r>
      <w:r w:rsidR="007A6E4E">
        <w:rPr>
          <w:rFonts w:ascii="Times New Roman" w:hAnsi="Times New Roman" w:cs="Times New Roman"/>
        </w:rPr>
        <w:t>scenario</w:t>
      </w:r>
      <w:r w:rsidR="7D79783F" w:rsidRPr="08C634CE">
        <w:rPr>
          <w:rFonts w:ascii="Times New Roman" w:hAnsi="Times New Roman" w:cs="Times New Roman"/>
        </w:rPr>
        <w:t xml:space="preserve"> as how many </w:t>
      </w:r>
      <w:r w:rsidR="7D79783F" w:rsidRPr="08C634CE">
        <w:rPr>
          <w:rFonts w:ascii="Times New Roman" w:hAnsi="Times New Roman" w:cs="Times New Roman"/>
          <w:u w:val="single"/>
        </w:rPr>
        <w:t>fewer</w:t>
      </w:r>
      <w:r w:rsidR="7D79783F" w:rsidRPr="08C634CE">
        <w:rPr>
          <w:rFonts w:ascii="Times New Roman" w:hAnsi="Times New Roman" w:cs="Times New Roman"/>
        </w:rPr>
        <w:t xml:space="preserve"> complications must occur for the result to change. </w:t>
      </w:r>
      <w:r w:rsidR="00B76199" w:rsidRPr="00B76199">
        <w:rPr>
          <w:rFonts w:ascii="Times New Roman" w:hAnsi="Times New Roman" w:cs="Times New Roman"/>
        </w:rPr>
        <w:t>This reflects the fact that many surgeons believe that technical advancements in both open surgery (e.g. targeted injection of local anesthetic and ERAS protocols) and MIS (e.g. improved laparoscopic skills) may result in fewer complications.</w:t>
      </w:r>
    </w:p>
    <w:p w14:paraId="4545ABD6" w14:textId="4744A063" w:rsidR="005942E8" w:rsidRPr="00080DC0" w:rsidRDefault="6407F11B" w:rsidP="08C634CE">
      <w:pPr>
        <w:pStyle w:val="ListParagraph"/>
        <w:numPr>
          <w:ilvl w:val="1"/>
          <w:numId w:val="3"/>
        </w:numPr>
        <w:rPr>
          <w:rFonts w:ascii="Times New Roman" w:hAnsi="Times New Roman" w:cs="Times New Roman"/>
        </w:rPr>
      </w:pPr>
      <w:r w:rsidRPr="08C634CE">
        <w:rPr>
          <w:rFonts w:ascii="Times New Roman" w:hAnsi="Times New Roman" w:cs="Times New Roman"/>
        </w:rPr>
        <w:t>Th</w:t>
      </w:r>
      <w:r w:rsidR="616D6D5B" w:rsidRPr="08C634CE">
        <w:rPr>
          <w:rFonts w:ascii="Times New Roman" w:hAnsi="Times New Roman" w:cs="Times New Roman"/>
        </w:rPr>
        <w:t>erefore,</w:t>
      </w:r>
      <w:r w:rsidRPr="08C634CE">
        <w:rPr>
          <w:rFonts w:ascii="Times New Roman" w:hAnsi="Times New Roman" w:cs="Times New Roman"/>
        </w:rPr>
        <w:t xml:space="preserve"> the “destination” cell </w:t>
      </w:r>
      <w:r w:rsidR="5FA2AA78" w:rsidRPr="08C634CE">
        <w:rPr>
          <w:rFonts w:ascii="Times New Roman" w:hAnsi="Times New Roman" w:cs="Times New Roman"/>
        </w:rPr>
        <w:t>within the 2x2 table</w:t>
      </w:r>
      <w:r w:rsidRPr="08C634CE">
        <w:rPr>
          <w:rFonts w:ascii="Times New Roman" w:hAnsi="Times New Roman" w:cs="Times New Roman"/>
        </w:rPr>
        <w:t xml:space="preserve"> is always within the row for </w:t>
      </w:r>
      <w:r w:rsidR="247FEECD" w:rsidRPr="08C634CE">
        <w:rPr>
          <w:rFonts w:ascii="Times New Roman" w:hAnsi="Times New Roman" w:cs="Times New Roman"/>
        </w:rPr>
        <w:t>“success” (no complication).</w:t>
      </w:r>
      <w:r w:rsidR="1A12532F" w:rsidRPr="08C634CE">
        <w:rPr>
          <w:rFonts w:ascii="Times New Roman" w:hAnsi="Times New Roman" w:cs="Times New Roman"/>
        </w:rPr>
        <w:t xml:space="preserve"> This is represented in the 2x2 table below. </w:t>
      </w:r>
      <w:r w:rsidR="4F16E898" w:rsidRPr="08C634CE">
        <w:rPr>
          <w:rFonts w:ascii="Times New Roman" w:hAnsi="Times New Roman" w:cs="Times New Roman"/>
        </w:rPr>
        <w:t xml:space="preserve">Regardless of </w:t>
      </w:r>
      <w:r w:rsidR="1A12532F" w:rsidRPr="08C634CE">
        <w:rPr>
          <w:rFonts w:ascii="Times New Roman" w:hAnsi="Times New Roman" w:cs="Times New Roman"/>
        </w:rPr>
        <w:t xml:space="preserve">whether the outcome occurs more frequently in the MIS or open surgery groups, or whether there is or is not a statistically significant different between groups, the “destination” cell </w:t>
      </w:r>
      <w:r w:rsidR="1AB2A5EE" w:rsidRPr="08C634CE">
        <w:rPr>
          <w:rFonts w:ascii="Times New Roman" w:hAnsi="Times New Roman" w:cs="Times New Roman"/>
        </w:rPr>
        <w:t xml:space="preserve">for the case movement </w:t>
      </w:r>
      <w:r w:rsidR="1A12532F" w:rsidRPr="08C634CE">
        <w:rPr>
          <w:rFonts w:ascii="Times New Roman" w:hAnsi="Times New Roman" w:cs="Times New Roman"/>
        </w:rPr>
        <w:t>will always be C or D.</w:t>
      </w:r>
    </w:p>
    <w:tbl>
      <w:tblPr>
        <w:tblStyle w:val="TableGrid"/>
        <w:tblW w:w="0" w:type="auto"/>
        <w:tblInd w:w="2160" w:type="dxa"/>
        <w:tblLayout w:type="fixed"/>
        <w:tblLook w:val="06A0" w:firstRow="1" w:lastRow="0" w:firstColumn="1" w:lastColumn="0" w:noHBand="1" w:noVBand="1"/>
      </w:tblPr>
      <w:tblGrid>
        <w:gridCol w:w="3345"/>
        <w:gridCol w:w="1965"/>
        <w:gridCol w:w="1890"/>
      </w:tblGrid>
      <w:tr w:rsidR="08C634CE" w14:paraId="356D4DF4" w14:textId="77777777" w:rsidTr="08C634CE">
        <w:trPr>
          <w:trHeight w:val="300"/>
        </w:trPr>
        <w:tc>
          <w:tcPr>
            <w:tcW w:w="3345" w:type="dxa"/>
          </w:tcPr>
          <w:p w14:paraId="4E820162" w14:textId="554A483C" w:rsidR="08C634CE" w:rsidRDefault="08C634CE" w:rsidP="08C634CE"/>
        </w:tc>
        <w:tc>
          <w:tcPr>
            <w:tcW w:w="1965" w:type="dxa"/>
          </w:tcPr>
          <w:p w14:paraId="28931846" w14:textId="28099CFA" w:rsidR="1A12532F" w:rsidRDefault="1A12532F" w:rsidP="08C634CE">
            <w:r w:rsidRPr="08C634CE">
              <w:t>Open Surgery</w:t>
            </w:r>
          </w:p>
        </w:tc>
        <w:tc>
          <w:tcPr>
            <w:tcW w:w="1890" w:type="dxa"/>
          </w:tcPr>
          <w:p w14:paraId="54DD5BD0" w14:textId="24FCB1D5" w:rsidR="1A12532F" w:rsidRDefault="1A12532F" w:rsidP="08C634CE">
            <w:r w:rsidRPr="08C634CE">
              <w:t>MIS</w:t>
            </w:r>
          </w:p>
        </w:tc>
      </w:tr>
      <w:tr w:rsidR="08C634CE" w14:paraId="7BA967B7" w14:textId="77777777" w:rsidTr="08C634CE">
        <w:trPr>
          <w:trHeight w:val="300"/>
        </w:trPr>
        <w:tc>
          <w:tcPr>
            <w:tcW w:w="3345" w:type="dxa"/>
          </w:tcPr>
          <w:p w14:paraId="3B340366" w14:textId="433F226C" w:rsidR="1A12532F" w:rsidRDefault="1A12532F" w:rsidP="08C634CE">
            <w:r w:rsidRPr="08C634CE">
              <w:t>Complication (“failure”)</w:t>
            </w:r>
          </w:p>
        </w:tc>
        <w:tc>
          <w:tcPr>
            <w:tcW w:w="1965" w:type="dxa"/>
          </w:tcPr>
          <w:p w14:paraId="6EC31B02" w14:textId="3DE347B7" w:rsidR="1A12532F" w:rsidRDefault="1A12532F" w:rsidP="08C634CE">
            <w:r w:rsidRPr="08C634CE">
              <w:t>A</w:t>
            </w:r>
          </w:p>
        </w:tc>
        <w:tc>
          <w:tcPr>
            <w:tcW w:w="1890" w:type="dxa"/>
          </w:tcPr>
          <w:p w14:paraId="4798CE25" w14:textId="7387381B" w:rsidR="1A12532F" w:rsidRDefault="1A12532F" w:rsidP="08C634CE">
            <w:r w:rsidRPr="08C634CE">
              <w:t>B</w:t>
            </w:r>
          </w:p>
        </w:tc>
      </w:tr>
      <w:tr w:rsidR="08C634CE" w14:paraId="05C6A996" w14:textId="77777777" w:rsidTr="08C634CE">
        <w:trPr>
          <w:trHeight w:val="300"/>
        </w:trPr>
        <w:tc>
          <w:tcPr>
            <w:tcW w:w="3345" w:type="dxa"/>
          </w:tcPr>
          <w:p w14:paraId="209DD614" w14:textId="551B030C" w:rsidR="1A12532F" w:rsidRDefault="1A12532F" w:rsidP="08C634CE">
            <w:r w:rsidRPr="08C634CE">
              <w:t>No Complication (“success”)</w:t>
            </w:r>
          </w:p>
        </w:tc>
        <w:tc>
          <w:tcPr>
            <w:tcW w:w="1965" w:type="dxa"/>
          </w:tcPr>
          <w:p w14:paraId="701E752E" w14:textId="395F2E25" w:rsidR="1A12532F" w:rsidRDefault="1A12532F" w:rsidP="08C634CE">
            <w:r w:rsidRPr="08C634CE">
              <w:t>C</w:t>
            </w:r>
          </w:p>
        </w:tc>
        <w:tc>
          <w:tcPr>
            <w:tcW w:w="1890" w:type="dxa"/>
          </w:tcPr>
          <w:p w14:paraId="302054C1" w14:textId="72459EFD" w:rsidR="1A12532F" w:rsidRDefault="1A12532F" w:rsidP="08C634CE">
            <w:r w:rsidRPr="08C634CE">
              <w:t>D</w:t>
            </w:r>
          </w:p>
        </w:tc>
      </w:tr>
    </w:tbl>
    <w:p w14:paraId="0E26D6E5" w14:textId="15BAE396" w:rsidR="005942E8" w:rsidRPr="00080DC0" w:rsidRDefault="38F7AD63" w:rsidP="08C634CE">
      <w:pPr>
        <w:pStyle w:val="ListParagraph"/>
        <w:numPr>
          <w:ilvl w:val="1"/>
          <w:numId w:val="3"/>
        </w:numPr>
        <w:rPr>
          <w:rFonts w:ascii="Times New Roman" w:hAnsi="Times New Roman" w:cs="Times New Roman"/>
        </w:rPr>
      </w:pPr>
      <w:r w:rsidRPr="08C634CE">
        <w:rPr>
          <w:rFonts w:ascii="Times New Roman" w:hAnsi="Times New Roman" w:cs="Times New Roman"/>
        </w:rPr>
        <w:t xml:space="preserve">Remember that the probability of patients landing in this “destination” cell is used to convert the </w:t>
      </w:r>
      <w:r w:rsidR="00AD6859">
        <w:rPr>
          <w:rFonts w:ascii="Times New Roman" w:hAnsi="Times New Roman" w:cs="Times New Roman"/>
        </w:rPr>
        <w:t>Fragility</w:t>
      </w:r>
      <w:r w:rsidRPr="08C634CE">
        <w:rPr>
          <w:rFonts w:ascii="Times New Roman" w:hAnsi="Times New Roman" w:cs="Times New Roman"/>
        </w:rPr>
        <w:t xml:space="preserve"> into RIR [RIR = </w:t>
      </w:r>
      <w:r w:rsidR="00AD6859">
        <w:rPr>
          <w:rFonts w:ascii="Times New Roman" w:hAnsi="Times New Roman" w:cs="Times New Roman"/>
        </w:rPr>
        <w:t>Fragility</w:t>
      </w:r>
      <w:r w:rsidRPr="08C634CE">
        <w:rPr>
          <w:rFonts w:ascii="Times New Roman" w:hAnsi="Times New Roman" w:cs="Times New Roman"/>
        </w:rPr>
        <w:t xml:space="preserve"> / P(destination cell)]. </w:t>
      </w:r>
      <w:r w:rsidR="3061DACE" w:rsidRPr="08C634CE">
        <w:rPr>
          <w:rFonts w:ascii="Times New Roman" w:hAnsi="Times New Roman" w:cs="Times New Roman"/>
        </w:rPr>
        <w:t>So,</w:t>
      </w:r>
      <w:r w:rsidR="5E8C13F5" w:rsidRPr="08C634CE">
        <w:rPr>
          <w:rFonts w:ascii="Times New Roman" w:hAnsi="Times New Roman" w:cs="Times New Roman"/>
        </w:rPr>
        <w:t xml:space="preserve"> for this calculation,</w:t>
      </w:r>
      <w:r w:rsidR="3061DACE" w:rsidRPr="08C634CE">
        <w:rPr>
          <w:rFonts w:ascii="Times New Roman" w:hAnsi="Times New Roman" w:cs="Times New Roman"/>
        </w:rPr>
        <w:t xml:space="preserve"> the “outcome” is always the probability of </w:t>
      </w:r>
      <w:r w:rsidR="3061DACE" w:rsidRPr="08C634CE">
        <w:rPr>
          <w:rFonts w:ascii="Times New Roman" w:hAnsi="Times New Roman" w:cs="Times New Roman"/>
          <w:i/>
          <w:iCs/>
        </w:rPr>
        <w:t>success</w:t>
      </w:r>
      <w:r w:rsidR="3061DACE" w:rsidRPr="08C634CE">
        <w:rPr>
          <w:rFonts w:ascii="Times New Roman" w:hAnsi="Times New Roman" w:cs="Times New Roman"/>
        </w:rPr>
        <w:t xml:space="preserve">, meaning </w:t>
      </w:r>
      <w:r w:rsidR="3061DACE" w:rsidRPr="08C634CE">
        <w:rPr>
          <w:rFonts w:ascii="Times New Roman" w:hAnsi="Times New Roman" w:cs="Times New Roman"/>
          <w:i/>
          <w:iCs/>
        </w:rPr>
        <w:t>non-</w:t>
      </w:r>
      <w:r w:rsidR="3061DACE" w:rsidRPr="08C634CE">
        <w:rPr>
          <w:rFonts w:ascii="Times New Roman" w:hAnsi="Times New Roman" w:cs="Times New Roman"/>
        </w:rPr>
        <w:t xml:space="preserve">occurrence of the complication, regardless of whether this is within the open surgery group or the MIS group. </w:t>
      </w:r>
      <w:r w:rsidR="2A84AF38" w:rsidRPr="08C634CE">
        <w:rPr>
          <w:rFonts w:ascii="Times New Roman" w:hAnsi="Times New Roman" w:cs="Times New Roman"/>
        </w:rPr>
        <w:t xml:space="preserve">Importantly, this “destination cell” </w:t>
      </w:r>
      <w:r w:rsidR="3061DACE" w:rsidRPr="08C634CE">
        <w:rPr>
          <w:rFonts w:ascii="Times New Roman" w:hAnsi="Times New Roman" w:cs="Times New Roman"/>
        </w:rPr>
        <w:t xml:space="preserve">represents the “null hypothesis population” from which case replacements are drawn. </w:t>
      </w:r>
    </w:p>
    <w:p w14:paraId="109252FF" w14:textId="35364335" w:rsidR="005942E8" w:rsidRPr="00080DC0" w:rsidRDefault="3061DACE" w:rsidP="08C634CE">
      <w:pPr>
        <w:pStyle w:val="ListParagraph"/>
        <w:numPr>
          <w:ilvl w:val="1"/>
          <w:numId w:val="3"/>
        </w:numPr>
        <w:spacing w:line="259" w:lineRule="auto"/>
        <w:rPr>
          <w:rFonts w:ascii="Times New Roman" w:hAnsi="Times New Roman" w:cs="Times New Roman"/>
        </w:rPr>
      </w:pPr>
      <w:r w:rsidRPr="08C634CE">
        <w:rPr>
          <w:rFonts w:ascii="Times New Roman" w:hAnsi="Times New Roman" w:cs="Times New Roman"/>
        </w:rPr>
        <w:lastRenderedPageBreak/>
        <w:t>If ca</w:t>
      </w:r>
      <w:r w:rsidR="2185EBD9" w:rsidRPr="08C634CE">
        <w:rPr>
          <w:rFonts w:ascii="Times New Roman" w:hAnsi="Times New Roman" w:cs="Times New Roman"/>
        </w:rPr>
        <w:t xml:space="preserve">se movement were </w:t>
      </w:r>
      <w:r w:rsidR="567A55EA" w:rsidRPr="08C634CE">
        <w:rPr>
          <w:rFonts w:ascii="Times New Roman" w:hAnsi="Times New Roman" w:cs="Times New Roman"/>
        </w:rPr>
        <w:t xml:space="preserve">instead </w:t>
      </w:r>
      <w:r w:rsidR="2185EBD9" w:rsidRPr="08C634CE">
        <w:rPr>
          <w:rFonts w:ascii="Times New Roman" w:hAnsi="Times New Roman" w:cs="Times New Roman"/>
        </w:rPr>
        <w:t>restricted to originate from either the open surgery group or the MIS group</w:t>
      </w:r>
      <w:r w:rsidR="3C003C9D" w:rsidRPr="08C634CE">
        <w:rPr>
          <w:rFonts w:ascii="Times New Roman" w:hAnsi="Times New Roman" w:cs="Times New Roman"/>
        </w:rPr>
        <w:t xml:space="preserve"> in every case</w:t>
      </w:r>
      <w:r w:rsidR="2185EBD9" w:rsidRPr="08C634CE">
        <w:rPr>
          <w:rFonts w:ascii="Times New Roman" w:hAnsi="Times New Roman" w:cs="Times New Roman"/>
        </w:rPr>
        <w:t xml:space="preserve">, then sometimes the “destination” cell would be “success” </w:t>
      </w:r>
      <w:r w:rsidR="0DEAA313" w:rsidRPr="08C634CE">
        <w:rPr>
          <w:rFonts w:ascii="Times New Roman" w:hAnsi="Times New Roman" w:cs="Times New Roman"/>
        </w:rPr>
        <w:t xml:space="preserve">or </w:t>
      </w:r>
      <w:r w:rsidR="2185EBD9" w:rsidRPr="08C634CE">
        <w:rPr>
          <w:rFonts w:ascii="Times New Roman" w:hAnsi="Times New Roman" w:cs="Times New Roman"/>
        </w:rPr>
        <w:t>“failure”</w:t>
      </w:r>
      <w:r w:rsidR="00C52DA4" w:rsidRPr="08C634CE">
        <w:rPr>
          <w:rFonts w:ascii="Times New Roman" w:hAnsi="Times New Roman" w:cs="Times New Roman"/>
        </w:rPr>
        <w:t xml:space="preserve"> depending on what </w:t>
      </w:r>
      <w:r w:rsidR="41ED5F19" w:rsidRPr="08C634CE">
        <w:rPr>
          <w:rFonts w:ascii="Times New Roman" w:hAnsi="Times New Roman" w:cs="Times New Roman"/>
        </w:rPr>
        <w:t xml:space="preserve">type </w:t>
      </w:r>
      <w:r w:rsidR="00C52DA4" w:rsidRPr="08C634CE">
        <w:rPr>
          <w:rFonts w:ascii="Times New Roman" w:hAnsi="Times New Roman" w:cs="Times New Roman"/>
        </w:rPr>
        <w:t>of case movement is required to overturn the inference.</w:t>
      </w:r>
      <w:r w:rsidR="2185EBD9" w:rsidRPr="08C634CE">
        <w:rPr>
          <w:rFonts w:ascii="Times New Roman" w:hAnsi="Times New Roman" w:cs="Times New Roman"/>
        </w:rPr>
        <w:t xml:space="preserve"> This would lead to </w:t>
      </w:r>
      <w:r w:rsidR="682F92CC" w:rsidRPr="08C634CE">
        <w:rPr>
          <w:rFonts w:ascii="Times New Roman" w:hAnsi="Times New Roman" w:cs="Times New Roman"/>
        </w:rPr>
        <w:t>major i</w:t>
      </w:r>
      <w:r w:rsidR="2185EBD9" w:rsidRPr="08C634CE">
        <w:rPr>
          <w:rFonts w:ascii="Times New Roman" w:hAnsi="Times New Roman" w:cs="Times New Roman"/>
        </w:rPr>
        <w:t xml:space="preserve">nconsistencies in the RIR </w:t>
      </w:r>
      <w:r w:rsidR="7CE461FB" w:rsidRPr="08C634CE">
        <w:rPr>
          <w:rFonts w:ascii="Times New Roman" w:hAnsi="Times New Roman" w:cs="Times New Roman"/>
        </w:rPr>
        <w:t>between studies favoring open surgery versus MIS, because of the large difference in magnitude between the probability of “failure” (usually close to 0) and the probability of “success” (usually close to 1)</w:t>
      </w:r>
      <w:r w:rsidR="1CC0A3DD" w:rsidRPr="08C634CE">
        <w:rPr>
          <w:rFonts w:ascii="Times New Roman" w:hAnsi="Times New Roman" w:cs="Times New Roman"/>
        </w:rPr>
        <w:t xml:space="preserve"> for the </w:t>
      </w:r>
      <w:r w:rsidR="053526FA" w:rsidRPr="08C634CE">
        <w:rPr>
          <w:rFonts w:ascii="Times New Roman" w:hAnsi="Times New Roman" w:cs="Times New Roman"/>
        </w:rPr>
        <w:t>relatively rare</w:t>
      </w:r>
      <w:r w:rsidR="1CC0A3DD" w:rsidRPr="08C634CE">
        <w:rPr>
          <w:rFonts w:ascii="Times New Roman" w:hAnsi="Times New Roman" w:cs="Times New Roman"/>
        </w:rPr>
        <w:t xml:space="preserve"> study outcomes</w:t>
      </w:r>
      <w:r w:rsidR="7CE461FB" w:rsidRPr="08C634CE">
        <w:rPr>
          <w:rFonts w:ascii="Times New Roman" w:hAnsi="Times New Roman" w:cs="Times New Roman"/>
        </w:rPr>
        <w:t>.</w:t>
      </w:r>
    </w:p>
    <w:p w14:paraId="4EE4229C" w14:textId="56300B81" w:rsidR="005942E8" w:rsidRPr="00080DC0" w:rsidRDefault="2BDF2A42" w:rsidP="08C634CE">
      <w:pPr>
        <w:pStyle w:val="ListParagraph"/>
        <w:numPr>
          <w:ilvl w:val="1"/>
          <w:numId w:val="3"/>
        </w:numPr>
        <w:rPr>
          <w:rFonts w:ascii="Times New Roman" w:hAnsi="Times New Roman" w:cs="Times New Roman"/>
          <w:i/>
          <w:iCs/>
        </w:rPr>
      </w:pPr>
      <w:r w:rsidRPr="08C634CE">
        <w:rPr>
          <w:rFonts w:ascii="Times New Roman" w:hAnsi="Times New Roman" w:cs="Times New Roman"/>
          <w:i/>
          <w:iCs/>
        </w:rPr>
        <w:t xml:space="preserve">NOTE: </w:t>
      </w:r>
      <w:r w:rsidR="3ED78FB9" w:rsidRPr="08C634CE">
        <w:rPr>
          <w:rFonts w:ascii="Times New Roman" w:hAnsi="Times New Roman" w:cs="Times New Roman"/>
          <w:i/>
          <w:iCs/>
        </w:rPr>
        <w:t xml:space="preserve">This decision is appropriate for </w:t>
      </w:r>
      <w:r w:rsidR="13EDF3A6" w:rsidRPr="08C634CE">
        <w:rPr>
          <w:rFonts w:ascii="Times New Roman" w:hAnsi="Times New Roman" w:cs="Times New Roman"/>
          <w:i/>
          <w:iCs/>
        </w:rPr>
        <w:t>our</w:t>
      </w:r>
      <w:r w:rsidR="3ED78FB9" w:rsidRPr="08C634CE">
        <w:rPr>
          <w:rFonts w:ascii="Times New Roman" w:hAnsi="Times New Roman" w:cs="Times New Roman"/>
          <w:i/>
          <w:iCs/>
        </w:rPr>
        <w:t xml:space="preserve"> scenario because MIS and open surgery are </w:t>
      </w:r>
      <w:r w:rsidR="13EDF3A6" w:rsidRPr="08C634CE">
        <w:rPr>
          <w:rFonts w:ascii="Times New Roman" w:hAnsi="Times New Roman" w:cs="Times New Roman"/>
          <w:i/>
          <w:iCs/>
        </w:rPr>
        <w:t xml:space="preserve">conceptually </w:t>
      </w:r>
      <w:r w:rsidR="3ED78FB9" w:rsidRPr="08C634CE">
        <w:rPr>
          <w:rFonts w:ascii="Times New Roman" w:hAnsi="Times New Roman" w:cs="Times New Roman"/>
          <w:i/>
          <w:iCs/>
        </w:rPr>
        <w:t>“equivalent” treatments</w:t>
      </w:r>
      <w:r w:rsidR="28848F7A" w:rsidRPr="08C634CE">
        <w:rPr>
          <w:rFonts w:ascii="Times New Roman" w:hAnsi="Times New Roman" w:cs="Times New Roman"/>
          <w:i/>
          <w:iCs/>
        </w:rPr>
        <w:t xml:space="preserve">. </w:t>
      </w:r>
      <w:r w:rsidR="13EDF3A6" w:rsidRPr="08C634CE">
        <w:rPr>
          <w:rFonts w:ascii="Times New Roman" w:hAnsi="Times New Roman" w:cs="Times New Roman"/>
          <w:i/>
          <w:iCs/>
        </w:rPr>
        <w:t>I</w:t>
      </w:r>
      <w:r w:rsidR="28848F7A" w:rsidRPr="08C634CE">
        <w:rPr>
          <w:rFonts w:ascii="Times New Roman" w:hAnsi="Times New Roman" w:cs="Times New Roman"/>
          <w:i/>
          <w:iCs/>
        </w:rPr>
        <w:t>t</w:t>
      </w:r>
      <w:r w:rsidR="3ED78FB9" w:rsidRPr="08C634CE">
        <w:rPr>
          <w:rFonts w:ascii="Times New Roman" w:hAnsi="Times New Roman" w:cs="Times New Roman"/>
          <w:i/>
          <w:iCs/>
        </w:rPr>
        <w:t xml:space="preserve"> does not </w:t>
      </w:r>
      <w:r w:rsidR="13EDF3A6" w:rsidRPr="08C634CE">
        <w:rPr>
          <w:rFonts w:ascii="Times New Roman" w:hAnsi="Times New Roman" w:cs="Times New Roman"/>
          <w:i/>
          <w:iCs/>
        </w:rPr>
        <w:t xml:space="preserve">really </w:t>
      </w:r>
      <w:r w:rsidR="3ED78FB9" w:rsidRPr="08C634CE">
        <w:rPr>
          <w:rFonts w:ascii="Times New Roman" w:hAnsi="Times New Roman" w:cs="Times New Roman"/>
          <w:i/>
          <w:iCs/>
        </w:rPr>
        <w:t xml:space="preserve">matter </w:t>
      </w:r>
      <w:r w:rsidR="28848F7A" w:rsidRPr="08C634CE">
        <w:rPr>
          <w:rFonts w:ascii="Times New Roman" w:hAnsi="Times New Roman" w:cs="Times New Roman"/>
          <w:i/>
          <w:iCs/>
        </w:rPr>
        <w:t>whether open surgery or MIS</w:t>
      </w:r>
      <w:r w:rsidR="3ED78FB9" w:rsidRPr="08C634CE">
        <w:rPr>
          <w:rFonts w:ascii="Times New Roman" w:hAnsi="Times New Roman" w:cs="Times New Roman"/>
          <w:i/>
          <w:iCs/>
        </w:rPr>
        <w:t xml:space="preserve"> is specified as “treatment” or “control</w:t>
      </w:r>
      <w:r w:rsidR="089EA4A4" w:rsidRPr="08C634CE">
        <w:rPr>
          <w:rFonts w:ascii="Times New Roman" w:hAnsi="Times New Roman" w:cs="Times New Roman"/>
          <w:i/>
          <w:iCs/>
        </w:rPr>
        <w:t>.</w:t>
      </w:r>
      <w:r w:rsidR="3ED78FB9" w:rsidRPr="08C634CE">
        <w:rPr>
          <w:rFonts w:ascii="Times New Roman" w:hAnsi="Times New Roman" w:cs="Times New Roman"/>
          <w:i/>
          <w:iCs/>
        </w:rPr>
        <w:t xml:space="preserve">” In other settings where there would be a more obvious treatment and control, such as </w:t>
      </w:r>
      <w:r w:rsidR="64A6AAEC" w:rsidRPr="08C634CE">
        <w:rPr>
          <w:rFonts w:ascii="Times New Roman" w:hAnsi="Times New Roman" w:cs="Times New Roman"/>
          <w:i/>
          <w:iCs/>
        </w:rPr>
        <w:t xml:space="preserve">comparing </w:t>
      </w:r>
      <w:r w:rsidR="13EDF3A6" w:rsidRPr="08C634CE">
        <w:rPr>
          <w:rFonts w:ascii="Times New Roman" w:hAnsi="Times New Roman" w:cs="Times New Roman"/>
          <w:i/>
          <w:iCs/>
        </w:rPr>
        <w:t>non-operative to operative management for acute appendicitis</w:t>
      </w:r>
      <w:r w:rsidR="089EA4A4" w:rsidRPr="08C634CE">
        <w:rPr>
          <w:rFonts w:ascii="Times New Roman" w:hAnsi="Times New Roman" w:cs="Times New Roman"/>
          <w:i/>
          <w:iCs/>
        </w:rPr>
        <w:t>,</w:t>
      </w:r>
      <w:r w:rsidR="64A6AAEC" w:rsidRPr="08C634CE">
        <w:rPr>
          <w:rFonts w:ascii="Times New Roman" w:hAnsi="Times New Roman" w:cs="Times New Roman"/>
          <w:i/>
          <w:iCs/>
        </w:rPr>
        <w:t xml:space="preserve"> it may make more sense to ensure that case replacements always begin in the control group</w:t>
      </w:r>
      <w:r w:rsidR="26ADFD19" w:rsidRPr="08C634CE">
        <w:rPr>
          <w:rFonts w:ascii="Times New Roman" w:hAnsi="Times New Roman" w:cs="Times New Roman"/>
          <w:i/>
          <w:iCs/>
        </w:rPr>
        <w:t xml:space="preserve"> [operative management]</w:t>
      </w:r>
      <w:r w:rsidR="64A6AAEC" w:rsidRPr="08C634CE">
        <w:rPr>
          <w:rFonts w:ascii="Times New Roman" w:hAnsi="Times New Roman" w:cs="Times New Roman"/>
          <w:i/>
          <w:iCs/>
        </w:rPr>
        <w:t>, regardless of which group has the higher outcome rate</w:t>
      </w:r>
      <w:r w:rsidR="781F9E30" w:rsidRPr="08C634CE">
        <w:rPr>
          <w:rFonts w:ascii="Times New Roman" w:hAnsi="Times New Roman" w:cs="Times New Roman"/>
          <w:i/>
          <w:iCs/>
        </w:rPr>
        <w:t xml:space="preserve">. This would ensure </w:t>
      </w:r>
      <w:r w:rsidR="64A6AAEC" w:rsidRPr="08C634CE">
        <w:rPr>
          <w:rFonts w:ascii="Times New Roman" w:hAnsi="Times New Roman" w:cs="Times New Roman"/>
          <w:i/>
          <w:iCs/>
        </w:rPr>
        <w:t xml:space="preserve">that case replacements always </w:t>
      </w:r>
      <w:r w:rsidRPr="08C634CE">
        <w:rPr>
          <w:rFonts w:ascii="Times New Roman" w:hAnsi="Times New Roman" w:cs="Times New Roman"/>
          <w:i/>
          <w:iCs/>
        </w:rPr>
        <w:t xml:space="preserve">reflect the concept of replacement from </w:t>
      </w:r>
      <w:r w:rsidR="26ADFD19" w:rsidRPr="08C634CE">
        <w:rPr>
          <w:rFonts w:ascii="Times New Roman" w:hAnsi="Times New Roman" w:cs="Times New Roman"/>
          <w:i/>
          <w:iCs/>
        </w:rPr>
        <w:t>a</w:t>
      </w:r>
      <w:r w:rsidRPr="08C634CE">
        <w:rPr>
          <w:rFonts w:ascii="Times New Roman" w:hAnsi="Times New Roman" w:cs="Times New Roman"/>
          <w:i/>
          <w:iCs/>
        </w:rPr>
        <w:t xml:space="preserve"> “null hypothesis”</w:t>
      </w:r>
      <w:r w:rsidR="26ADFD19" w:rsidRPr="08C634CE">
        <w:rPr>
          <w:rFonts w:ascii="Times New Roman" w:hAnsi="Times New Roman" w:cs="Times New Roman"/>
          <w:i/>
          <w:iCs/>
        </w:rPr>
        <w:t xml:space="preserve"> population</w:t>
      </w:r>
      <w:r w:rsidR="07A84BCF" w:rsidRPr="08C634CE">
        <w:rPr>
          <w:rFonts w:ascii="Times New Roman" w:hAnsi="Times New Roman" w:cs="Times New Roman"/>
          <w:i/>
          <w:iCs/>
        </w:rPr>
        <w:t>.</w:t>
      </w:r>
    </w:p>
    <w:p w14:paraId="04A48328" w14:textId="19F9E1BA" w:rsidR="00D07B61" w:rsidRDefault="457B398F" w:rsidP="08C634CE">
      <w:pPr>
        <w:pStyle w:val="ListParagraph"/>
        <w:numPr>
          <w:ilvl w:val="0"/>
          <w:numId w:val="11"/>
        </w:numPr>
        <w:spacing w:line="259" w:lineRule="auto"/>
        <w:rPr>
          <w:rFonts w:ascii="Times New Roman" w:hAnsi="Times New Roman" w:cs="Times New Roman"/>
        </w:rPr>
      </w:pPr>
      <w:r w:rsidRPr="457B398F">
        <w:rPr>
          <w:rFonts w:ascii="Times New Roman" w:hAnsi="Times New Roman" w:cs="Times New Roman"/>
        </w:rPr>
        <w:t xml:space="preserve">To convert </w:t>
      </w:r>
      <w:r w:rsidR="00AD6859">
        <w:rPr>
          <w:rFonts w:ascii="Times New Roman" w:hAnsi="Times New Roman" w:cs="Times New Roman"/>
        </w:rPr>
        <w:t>Fragility</w:t>
      </w:r>
      <w:r w:rsidRPr="457B398F">
        <w:rPr>
          <w:rFonts w:ascii="Times New Roman" w:hAnsi="Times New Roman" w:cs="Times New Roman"/>
        </w:rPr>
        <w:t xml:space="preserve"> into RIR, </w:t>
      </w:r>
      <w:r w:rsidRPr="457B398F">
        <w:rPr>
          <w:rFonts w:ascii="Times New Roman" w:hAnsi="Times New Roman" w:cs="Times New Roman"/>
          <w:u w:val="single"/>
        </w:rPr>
        <w:t>always use the probability of the outcome in the entire study population</w:t>
      </w:r>
      <w:r w:rsidRPr="457B398F">
        <w:rPr>
          <w:rFonts w:ascii="Times New Roman" w:hAnsi="Times New Roman" w:cs="Times New Roman"/>
        </w:rPr>
        <w:t xml:space="preserve">. We made this decision to ensure  consistency of the calculations across many different studies for many different outcomes with results that sometimes favored open surgery and sometimes favored MIS. </w:t>
      </w:r>
    </w:p>
    <w:p w14:paraId="69DF7832" w14:textId="4236BCA1" w:rsidR="00D07B61" w:rsidRDefault="457B398F" w:rsidP="457B398F">
      <w:pPr>
        <w:pStyle w:val="ListParagraph"/>
        <w:numPr>
          <w:ilvl w:val="0"/>
          <w:numId w:val="1"/>
        </w:numPr>
        <w:spacing w:line="259" w:lineRule="auto"/>
        <w:rPr>
          <w:rFonts w:ascii="Times New Roman" w:hAnsi="Times New Roman" w:cs="Times New Roman"/>
          <w:i/>
          <w:iCs/>
        </w:rPr>
      </w:pPr>
      <w:r w:rsidRPr="457B398F">
        <w:rPr>
          <w:rFonts w:ascii="Times New Roman" w:hAnsi="Times New Roman" w:cs="Times New Roman"/>
          <w:i/>
          <w:iCs/>
        </w:rPr>
        <w:t xml:space="preserve">NOTE: in other scenarios, one may choose to always use the probability of the outcome in the control group to convert </w:t>
      </w:r>
      <w:r w:rsidR="00AD6859">
        <w:rPr>
          <w:rFonts w:ascii="Times New Roman" w:hAnsi="Times New Roman" w:cs="Times New Roman"/>
          <w:i/>
          <w:iCs/>
        </w:rPr>
        <w:t>Fragility</w:t>
      </w:r>
      <w:r w:rsidRPr="457B398F">
        <w:rPr>
          <w:rFonts w:ascii="Times New Roman" w:hAnsi="Times New Roman" w:cs="Times New Roman"/>
          <w:i/>
          <w:iCs/>
        </w:rPr>
        <w:t xml:space="preserve"> to RIR. The argument for this approach is that this always leads to a smaller RIR estimate and thus a more conservative conclusion about the strength of the evidence supporting the inference. </w:t>
      </w:r>
    </w:p>
    <w:p w14:paraId="63C77289" w14:textId="51E9AE0A" w:rsidR="08C634CE" w:rsidRDefault="08C634CE" w:rsidP="08C634CE">
      <w:pPr>
        <w:pStyle w:val="ListParagraph"/>
        <w:spacing w:line="259" w:lineRule="auto"/>
        <w:ind w:left="1440"/>
        <w:rPr>
          <w:rFonts w:ascii="Times New Roman" w:hAnsi="Times New Roman" w:cs="Times New Roman"/>
          <w:i/>
          <w:iCs/>
        </w:rPr>
      </w:pPr>
    </w:p>
    <w:p w14:paraId="53EAB676" w14:textId="30830E1F" w:rsidR="00C1099D" w:rsidRDefault="5742CBA1" w:rsidP="00D07B61">
      <w:pPr>
        <w:rPr>
          <w:i/>
          <w:iCs/>
        </w:rPr>
      </w:pPr>
      <w:r w:rsidRPr="08C634CE">
        <w:t xml:space="preserve">The following diagram </w:t>
      </w:r>
      <w:r w:rsidR="5FD6C752" w:rsidRPr="08C634CE">
        <w:t xml:space="preserve">depicts how our answers to </w:t>
      </w:r>
      <w:r w:rsidRPr="08C634CE">
        <w:t>Questions 1 and 2 a</w:t>
      </w:r>
      <w:r w:rsidR="5ECB5161" w:rsidRPr="08C634CE">
        <w:t>ffect the directions of case transfer and probabilities used for case replacement in different situations</w:t>
      </w:r>
      <w:r w:rsidRPr="08C634CE">
        <w:t>:</w:t>
      </w:r>
      <w:r w:rsidRPr="08C634CE">
        <w:rPr>
          <w:i/>
          <w:iCs/>
        </w:rPr>
        <w:t xml:space="preserve"> </w:t>
      </w:r>
    </w:p>
    <w:p w14:paraId="288F3F18" w14:textId="77777777" w:rsidR="003136C5" w:rsidRPr="00D07B61" w:rsidRDefault="003136C5" w:rsidP="00D07B61"/>
    <w:p w14:paraId="1F7390D8" w14:textId="71C236D8" w:rsidR="0044408C" w:rsidRDefault="003136C5" w:rsidP="00504220">
      <w:pPr>
        <w:spacing w:line="480" w:lineRule="auto"/>
        <w:jc w:val="center"/>
        <w:rPr>
          <w:b/>
          <w:bCs/>
        </w:rPr>
      </w:pPr>
      <w:r w:rsidRPr="003136C5">
        <w:rPr>
          <w:b/>
          <w:bCs/>
          <w:noProof/>
        </w:rPr>
        <w:drawing>
          <wp:inline distT="0" distB="0" distL="0" distR="0" wp14:anchorId="42BEFD92" wp14:editId="13803C97">
            <wp:extent cx="5232903" cy="2449848"/>
            <wp:effectExtent l="0" t="0" r="0" b="1270"/>
            <wp:docPr id="1124062641" name="Picture 1" descr="A diagram of a failure r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62641" name="Picture 1" descr="A diagram of a failure rate&#10;&#10;AI-generated content may be incorrect."/>
                    <pic:cNvPicPr/>
                  </pic:nvPicPr>
                  <pic:blipFill>
                    <a:blip r:embed="rId23"/>
                    <a:stretch>
                      <a:fillRect/>
                    </a:stretch>
                  </pic:blipFill>
                  <pic:spPr>
                    <a:xfrm>
                      <a:off x="0" y="0"/>
                      <a:ext cx="5262823" cy="2463855"/>
                    </a:xfrm>
                    <a:prstGeom prst="rect">
                      <a:avLst/>
                    </a:prstGeom>
                  </pic:spPr>
                </pic:pic>
              </a:graphicData>
            </a:graphic>
          </wp:inline>
        </w:drawing>
      </w:r>
    </w:p>
    <w:p w14:paraId="70160543" w14:textId="67F1B996" w:rsidR="00E87355" w:rsidRDefault="00CD7009" w:rsidP="08C634CE">
      <w:r w:rsidRPr="08C634CE">
        <w:lastRenderedPageBreak/>
        <w:t>The RIR software also allows the researcher to specify whether the Chi-squared test or Fisher’s exact te</w:t>
      </w:r>
      <w:r w:rsidR="00C47F51" w:rsidRPr="08C634CE">
        <w:t xml:space="preserve">st should be used to </w:t>
      </w:r>
      <w:r w:rsidR="1EF0AF9F" w:rsidRPr="08C634CE">
        <w:t>determine</w:t>
      </w:r>
      <w:r w:rsidR="00C47F51" w:rsidRPr="08C634CE">
        <w:t xml:space="preserve"> statistical significance. We chose Fisher’s exact test because this was more reliable when there were small cell sizes. There were many studies where very small numbers of patients</w:t>
      </w:r>
      <w:r w:rsidR="002749A0" w:rsidRPr="08C634CE">
        <w:t xml:space="preserve"> in both the open surgery and MIS groups</w:t>
      </w:r>
      <w:r w:rsidR="00C47F51" w:rsidRPr="08C634CE">
        <w:t xml:space="preserve"> experienced the study outcomes.</w:t>
      </w:r>
    </w:p>
    <w:p w14:paraId="7AB5D46F" w14:textId="6309BAB5" w:rsidR="00C02D38" w:rsidRDefault="00C02D38" w:rsidP="415FC425"/>
    <w:p w14:paraId="459E77A3" w14:textId="1E24D94B" w:rsidR="00C02D38" w:rsidRDefault="415FC425" w:rsidP="415FC425">
      <w:r w:rsidRPr="415FC425">
        <w:t xml:space="preserve">There were several studies where case transfers within the study group with higher incidence of the outcome were not sufficient to overturn the inference and change the study result. This often happened when the difference in the incidence rate between the study groups was relatively large, and it was more likely to happen when the overall incidence rate was relatively low. In these situations, the RIR could still be calculated by initiating additional case transfers within the study group with lower incidence of the outcome. This is called a “double switch,” because overturning the association between repair type and outcome incidence would require both (1) in the group with higher outcome incidence, fewer patients experiencing the outcome, and (2) in the group with lower outcome incidence, more patients experiencing the outcome. In these cases, we reported </w:t>
      </w:r>
      <w:r w:rsidR="00AD6859">
        <w:t>Fragility</w:t>
      </w:r>
      <w:r w:rsidRPr="415FC425">
        <w:t xml:space="preserve"> and RIR as two separate numbers, indicating the case transfers and replacements required for both (1) and (2). For (2), note that the patients in the published study need to be replaced with hypothetical patients who experienced the same probability of experiencing the outcome as the entire study population (versus </w:t>
      </w:r>
      <w:r w:rsidRPr="415FC425">
        <w:rPr>
          <w:i/>
          <w:iCs/>
        </w:rPr>
        <w:t xml:space="preserve">not </w:t>
      </w:r>
      <w:r w:rsidRPr="415FC425">
        <w:t>experiencing the outcome as was the case for the other replacements.) Since the outcomes in our study were relatively rare, this resulted in higher RIRs, reflecting the fact that it would be difficult to identify these additional patients who experienced the outcomes of interest by sampling from the null hypothesis population.</w:t>
      </w:r>
    </w:p>
    <w:p w14:paraId="60A034CB" w14:textId="65278F87" w:rsidR="00C02D38" w:rsidRDefault="00C02D38" w:rsidP="415FC425"/>
    <w:p w14:paraId="4D2D4FED" w14:textId="37770E35" w:rsidR="00C02D38" w:rsidRDefault="415FC425" w:rsidP="415FC425">
      <w:r w:rsidRPr="415FC425">
        <w:t>There were some cases where calculating the RIR for a specific study was impossible. If zero patients in the Open Surgery group experienced the outcome, then the odds ratio for the association between MIS and the outcome was undefined, and therefore so too the RIR was undefined</w:t>
      </w:r>
      <w:r w:rsidRPr="415FC425">
        <w:rPr>
          <w:b/>
          <w:bCs/>
        </w:rPr>
        <w:t xml:space="preserve">. </w:t>
      </w:r>
      <w:r w:rsidRPr="415FC425">
        <w:t>(It is still possible to calculate an RIR for a study where zero MIS patients experience an outcome but one open surgery patient does experience the outcome.)</w:t>
      </w:r>
    </w:p>
    <w:p w14:paraId="427B3F5A" w14:textId="0234ED58" w:rsidR="00C02D38" w:rsidRDefault="00C02D38" w:rsidP="415FC425"/>
    <w:p w14:paraId="33B39FDB" w14:textId="10369E9B" w:rsidR="00C02D38" w:rsidRDefault="415FC425" w:rsidP="415FC425">
      <w:pPr>
        <w:rPr>
          <w:u w:val="single"/>
        </w:rPr>
      </w:pPr>
      <w:r w:rsidRPr="415FC425">
        <w:rPr>
          <w:u w:val="single"/>
        </w:rPr>
        <w:t>Note about our approach to the cumulative analysis</w:t>
      </w:r>
    </w:p>
    <w:p w14:paraId="26D9FB5B" w14:textId="72077B03" w:rsidR="007816C5" w:rsidRDefault="0091311C" w:rsidP="415FC425">
      <w:r>
        <w:t xml:space="preserve">As the results of each “new” study were added to the cumulative case counts, </w:t>
      </w:r>
      <w:r w:rsidR="0072140E">
        <w:t xml:space="preserve">when we calculated </w:t>
      </w:r>
      <w:r w:rsidR="00AD6859">
        <w:t>Fragility</w:t>
      </w:r>
      <w:r w:rsidR="0072140E">
        <w:t>, we allowed the directionality of the case transfers to chang</w:t>
      </w:r>
      <w:r w:rsidR="005B5111">
        <w:t xml:space="preserve">e if there was a change in which study group (either MIS or open surgery) had higher </w:t>
      </w:r>
      <w:r w:rsidR="007816C5">
        <w:t xml:space="preserve">incidence of the outcome. This </w:t>
      </w:r>
      <w:r w:rsidR="415FC425" w:rsidRPr="415FC425">
        <w:t xml:space="preserve">helped ensure that </w:t>
      </w:r>
      <w:r w:rsidR="007816C5">
        <w:t xml:space="preserve">in every row of the figure, a </w:t>
      </w:r>
      <w:r w:rsidR="415FC425" w:rsidRPr="415FC425">
        <w:t xml:space="preserve">probability of “success” was always used to convert </w:t>
      </w:r>
      <w:r w:rsidR="00AD6859">
        <w:t>Fragility</w:t>
      </w:r>
      <w:r w:rsidR="415FC425" w:rsidRPr="415FC425">
        <w:t xml:space="preserve"> to RIR, to support consistency </w:t>
      </w:r>
      <w:r w:rsidR="007816C5">
        <w:t>in</w:t>
      </w:r>
      <w:r w:rsidR="415FC425" w:rsidRPr="415FC425">
        <w:t xml:space="preserve"> interpretation </w:t>
      </w:r>
      <w:r w:rsidR="007816C5">
        <w:t xml:space="preserve">the RIR. </w:t>
      </w:r>
    </w:p>
    <w:p w14:paraId="74A483E9" w14:textId="77777777" w:rsidR="007816C5" w:rsidRDefault="007816C5" w:rsidP="415FC425"/>
    <w:p w14:paraId="47454573" w14:textId="66FCCA2C" w:rsidR="00C02D38" w:rsidRDefault="00742B33" w:rsidP="415FC425">
      <w:r>
        <w:t xml:space="preserve">Alternatively, in each row of the figure, we could have forced the directionality of </w:t>
      </w:r>
      <w:r w:rsidR="00AD6859">
        <w:t>Fragility</w:t>
      </w:r>
      <w:r>
        <w:t xml:space="preserve"> to match the direction indicated at the final time point in the cumulative analysis, after the last study was added. This </w:t>
      </w:r>
      <w:r w:rsidR="415FC425" w:rsidRPr="415FC425">
        <w:t xml:space="preserve">would have ensured consistency in interpretation of </w:t>
      </w:r>
      <w:r w:rsidR="00AD6859">
        <w:t>Fragility</w:t>
      </w:r>
      <w:r w:rsidR="415FC425" w:rsidRPr="415FC425">
        <w:t xml:space="preserve"> across each row of the figure, in the spirit of traditional meta-analysis</w:t>
      </w:r>
      <w:r w:rsidR="006D2532">
        <w:t>, but it does not reflect the state of the data at earlier time points before the final outcome is known, avoiding presentism bias.</w:t>
      </w:r>
    </w:p>
    <w:p w14:paraId="2D470EEB" w14:textId="4990EE9A" w:rsidR="00C02D38" w:rsidRDefault="00C02D38" w:rsidP="415FC425"/>
    <w:p w14:paraId="76576DB3" w14:textId="7587E611" w:rsidR="00C02D38" w:rsidRDefault="415FC425" w:rsidP="08C634CE">
      <w:r w:rsidRPr="415FC425">
        <w:rPr>
          <w:u w:val="single"/>
        </w:rPr>
        <w:t>RIR for continuous outcomes</w:t>
      </w:r>
    </w:p>
    <w:p w14:paraId="72BFF3AD" w14:textId="495A346C" w:rsidR="00C02D38" w:rsidRDefault="130D660D" w:rsidP="08C634CE">
      <w:r w:rsidRPr="08C634CE">
        <w:t xml:space="preserve">For continuous outcomes, the RIR is designed to evaluate the strength of an inference described by a mean difference and its 95% confidence interval. </w:t>
      </w:r>
    </w:p>
    <w:p w14:paraId="34170E14" w14:textId="77777777" w:rsidR="00C02D38" w:rsidRDefault="00C02D38" w:rsidP="08C634CE"/>
    <w:p w14:paraId="1B0950DE" w14:textId="5FD24C6C" w:rsidR="0089434D" w:rsidRPr="0089434D" w:rsidRDefault="415FC425" w:rsidP="006D43C4">
      <w:pPr>
        <w:rPr>
          <w:b/>
          <w:bCs/>
        </w:rPr>
      </w:pPr>
      <w:r w:rsidRPr="415FC425">
        <w:t>Most studies reported the average pain scores in the open surgery and MIS groups and provided p-values to assess statistical significance. We used standard statistical formulae to convert the p-values into standard errors, to calculate the mean difference between groups, and then to calculate the 95% confidence interval for this mean difference using the pooled standard error. Studies were only included when they provided the mean and standard deviation (or standard error) for both open surgery patients and MIS patients. When a study reported only median and interquartile range, we could not include it in our analysis.</w:t>
      </w:r>
    </w:p>
    <w:sectPr w:rsidR="0089434D" w:rsidRPr="0089434D">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ABE79F" w14:textId="77777777" w:rsidR="00AF1D47" w:rsidRDefault="00AF1D47" w:rsidP="001D3734">
      <w:r>
        <w:separator/>
      </w:r>
    </w:p>
  </w:endnote>
  <w:endnote w:type="continuationSeparator" w:id="0">
    <w:p w14:paraId="033A08FC" w14:textId="77777777" w:rsidR="00AF1D47" w:rsidRDefault="00AF1D47" w:rsidP="001D3734">
      <w:r>
        <w:continuationSeparator/>
      </w:r>
    </w:p>
  </w:endnote>
  <w:endnote w:type="continuationNotice" w:id="1">
    <w:p w14:paraId="540F0923" w14:textId="77777777" w:rsidR="00AF1D47" w:rsidRDefault="00AF1D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1127AC65" w14:paraId="6EA8F1B3" w14:textId="77777777" w:rsidTr="1127AC65">
      <w:trPr>
        <w:trHeight w:val="300"/>
      </w:trPr>
      <w:tc>
        <w:tcPr>
          <w:tcW w:w="4320" w:type="dxa"/>
        </w:tcPr>
        <w:p w14:paraId="4DD8B17B" w14:textId="50B041E7" w:rsidR="1127AC65" w:rsidRDefault="1127AC65" w:rsidP="1127AC65">
          <w:pPr>
            <w:pStyle w:val="Header"/>
            <w:ind w:left="-115"/>
          </w:pPr>
        </w:p>
      </w:tc>
      <w:tc>
        <w:tcPr>
          <w:tcW w:w="4320" w:type="dxa"/>
        </w:tcPr>
        <w:p w14:paraId="66CEAC05" w14:textId="2180D7E7" w:rsidR="1127AC65" w:rsidRDefault="1127AC65" w:rsidP="1127AC65">
          <w:pPr>
            <w:pStyle w:val="Header"/>
            <w:jc w:val="center"/>
          </w:pPr>
        </w:p>
      </w:tc>
      <w:tc>
        <w:tcPr>
          <w:tcW w:w="4320" w:type="dxa"/>
        </w:tcPr>
        <w:p w14:paraId="3DEC3568" w14:textId="5D691C9E" w:rsidR="1127AC65" w:rsidRDefault="1127AC65" w:rsidP="1127AC65">
          <w:pPr>
            <w:pStyle w:val="Header"/>
            <w:ind w:right="-115"/>
            <w:jc w:val="right"/>
          </w:pPr>
        </w:p>
      </w:tc>
    </w:tr>
  </w:tbl>
  <w:p w14:paraId="18093A3F" w14:textId="03F06684" w:rsidR="1127AC65" w:rsidRDefault="1127AC65" w:rsidP="1127AC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08B7DDF" w14:paraId="1BCDAABD" w14:textId="77777777" w:rsidTr="1127AC65">
      <w:trPr>
        <w:trHeight w:val="300"/>
      </w:trPr>
      <w:tc>
        <w:tcPr>
          <w:tcW w:w="4320" w:type="dxa"/>
        </w:tcPr>
        <w:p w14:paraId="51CA29FF" w14:textId="77777777" w:rsidR="008B7DDF" w:rsidRDefault="008B7DDF" w:rsidP="1127AC65">
          <w:pPr>
            <w:pStyle w:val="Header"/>
            <w:ind w:left="-115"/>
          </w:pPr>
        </w:p>
      </w:tc>
      <w:tc>
        <w:tcPr>
          <w:tcW w:w="4320" w:type="dxa"/>
        </w:tcPr>
        <w:p w14:paraId="53BA068F" w14:textId="77777777" w:rsidR="008B7DDF" w:rsidRDefault="008B7DDF" w:rsidP="1127AC65">
          <w:pPr>
            <w:pStyle w:val="Header"/>
            <w:jc w:val="center"/>
          </w:pPr>
        </w:p>
      </w:tc>
      <w:tc>
        <w:tcPr>
          <w:tcW w:w="4320" w:type="dxa"/>
        </w:tcPr>
        <w:p w14:paraId="229A7D82" w14:textId="77777777" w:rsidR="008B7DDF" w:rsidRDefault="008B7DDF" w:rsidP="1127AC65">
          <w:pPr>
            <w:pStyle w:val="Header"/>
            <w:ind w:right="-115"/>
            <w:jc w:val="right"/>
          </w:pPr>
        </w:p>
      </w:tc>
    </w:tr>
  </w:tbl>
  <w:p w14:paraId="3C1BC537" w14:textId="77777777" w:rsidR="008B7DDF" w:rsidRDefault="008B7DDF" w:rsidP="1127AC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27AC65" w14:paraId="3B9960DC" w14:textId="77777777" w:rsidTr="1127AC65">
      <w:trPr>
        <w:trHeight w:val="300"/>
      </w:trPr>
      <w:tc>
        <w:tcPr>
          <w:tcW w:w="3120" w:type="dxa"/>
        </w:tcPr>
        <w:p w14:paraId="26893E20" w14:textId="6EA310E7" w:rsidR="1127AC65" w:rsidRDefault="1127AC65" w:rsidP="1127AC65">
          <w:pPr>
            <w:pStyle w:val="Header"/>
            <w:ind w:left="-115"/>
          </w:pPr>
        </w:p>
      </w:tc>
      <w:tc>
        <w:tcPr>
          <w:tcW w:w="3120" w:type="dxa"/>
        </w:tcPr>
        <w:p w14:paraId="007BA6E5" w14:textId="057CEB34" w:rsidR="1127AC65" w:rsidRDefault="1127AC65" w:rsidP="1127AC65">
          <w:pPr>
            <w:pStyle w:val="Header"/>
            <w:jc w:val="center"/>
          </w:pPr>
        </w:p>
      </w:tc>
      <w:tc>
        <w:tcPr>
          <w:tcW w:w="3120" w:type="dxa"/>
        </w:tcPr>
        <w:p w14:paraId="7805D22D" w14:textId="4A576BB3" w:rsidR="1127AC65" w:rsidRDefault="1127AC65" w:rsidP="1127AC65">
          <w:pPr>
            <w:pStyle w:val="Header"/>
            <w:ind w:right="-115"/>
            <w:jc w:val="right"/>
          </w:pPr>
        </w:p>
      </w:tc>
    </w:tr>
  </w:tbl>
  <w:p w14:paraId="2923A22D" w14:textId="05AD86B3" w:rsidR="1127AC65" w:rsidRDefault="1127AC65" w:rsidP="1127A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E87911" w14:textId="77777777" w:rsidR="00AF1D47" w:rsidRDefault="00AF1D47" w:rsidP="001D3734">
      <w:r>
        <w:separator/>
      </w:r>
    </w:p>
  </w:footnote>
  <w:footnote w:type="continuationSeparator" w:id="0">
    <w:p w14:paraId="5DC518B3" w14:textId="77777777" w:rsidR="00AF1D47" w:rsidRDefault="00AF1D47" w:rsidP="001D3734">
      <w:r>
        <w:continuationSeparator/>
      </w:r>
    </w:p>
  </w:footnote>
  <w:footnote w:type="continuationNotice" w:id="1">
    <w:p w14:paraId="6B3A94E8" w14:textId="77777777" w:rsidR="00AF1D47" w:rsidRDefault="00AF1D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1127AC65" w14:paraId="6C6FAEC9" w14:textId="77777777" w:rsidTr="1127AC65">
      <w:trPr>
        <w:trHeight w:val="300"/>
      </w:trPr>
      <w:tc>
        <w:tcPr>
          <w:tcW w:w="4320" w:type="dxa"/>
        </w:tcPr>
        <w:p w14:paraId="2856CA84" w14:textId="4558DF03" w:rsidR="1127AC65" w:rsidRDefault="1127AC65" w:rsidP="1127AC65">
          <w:pPr>
            <w:pStyle w:val="Header"/>
            <w:ind w:left="-115"/>
          </w:pPr>
        </w:p>
      </w:tc>
      <w:tc>
        <w:tcPr>
          <w:tcW w:w="4320" w:type="dxa"/>
        </w:tcPr>
        <w:p w14:paraId="7198026E" w14:textId="2034A3A5" w:rsidR="1127AC65" w:rsidRDefault="1127AC65" w:rsidP="1127AC65">
          <w:pPr>
            <w:pStyle w:val="Header"/>
            <w:jc w:val="center"/>
          </w:pPr>
        </w:p>
      </w:tc>
      <w:tc>
        <w:tcPr>
          <w:tcW w:w="4320" w:type="dxa"/>
        </w:tcPr>
        <w:p w14:paraId="34D64814" w14:textId="7AD076A1" w:rsidR="1127AC65" w:rsidRDefault="1127AC65" w:rsidP="1127AC65">
          <w:pPr>
            <w:pStyle w:val="Header"/>
            <w:ind w:right="-115"/>
            <w:jc w:val="right"/>
          </w:pPr>
        </w:p>
      </w:tc>
    </w:tr>
  </w:tbl>
  <w:p w14:paraId="39D99B05" w14:textId="297CECA4" w:rsidR="1127AC65" w:rsidRDefault="1127AC65" w:rsidP="1127AC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08B7DDF" w14:paraId="76A0B9D8" w14:textId="77777777" w:rsidTr="1127AC65">
      <w:trPr>
        <w:trHeight w:val="300"/>
      </w:trPr>
      <w:tc>
        <w:tcPr>
          <w:tcW w:w="4320" w:type="dxa"/>
        </w:tcPr>
        <w:p w14:paraId="328FFD0F" w14:textId="77777777" w:rsidR="008B7DDF" w:rsidRDefault="008B7DDF" w:rsidP="1127AC65">
          <w:pPr>
            <w:pStyle w:val="Header"/>
            <w:ind w:left="-115"/>
          </w:pPr>
        </w:p>
      </w:tc>
      <w:tc>
        <w:tcPr>
          <w:tcW w:w="4320" w:type="dxa"/>
        </w:tcPr>
        <w:p w14:paraId="58EBF819" w14:textId="77777777" w:rsidR="008B7DDF" w:rsidRDefault="008B7DDF" w:rsidP="1127AC65">
          <w:pPr>
            <w:pStyle w:val="Header"/>
            <w:jc w:val="center"/>
          </w:pPr>
        </w:p>
      </w:tc>
      <w:tc>
        <w:tcPr>
          <w:tcW w:w="4320" w:type="dxa"/>
        </w:tcPr>
        <w:p w14:paraId="6F99B424" w14:textId="77777777" w:rsidR="008B7DDF" w:rsidRDefault="008B7DDF" w:rsidP="1127AC65">
          <w:pPr>
            <w:pStyle w:val="Header"/>
            <w:ind w:right="-115"/>
            <w:jc w:val="right"/>
          </w:pPr>
        </w:p>
      </w:tc>
    </w:tr>
  </w:tbl>
  <w:p w14:paraId="0F067B8C" w14:textId="77777777" w:rsidR="008B7DDF" w:rsidRDefault="008B7DDF" w:rsidP="1127AC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127AC65" w14:paraId="45CD267B" w14:textId="77777777" w:rsidTr="1127AC65">
      <w:trPr>
        <w:trHeight w:val="300"/>
      </w:trPr>
      <w:tc>
        <w:tcPr>
          <w:tcW w:w="3120" w:type="dxa"/>
        </w:tcPr>
        <w:p w14:paraId="22C119CB" w14:textId="46303842" w:rsidR="1127AC65" w:rsidRDefault="1127AC65" w:rsidP="1127AC65">
          <w:pPr>
            <w:pStyle w:val="Header"/>
            <w:ind w:left="-115"/>
          </w:pPr>
        </w:p>
      </w:tc>
      <w:tc>
        <w:tcPr>
          <w:tcW w:w="3120" w:type="dxa"/>
        </w:tcPr>
        <w:p w14:paraId="00871EEC" w14:textId="052B496E" w:rsidR="1127AC65" w:rsidRDefault="1127AC65" w:rsidP="1127AC65">
          <w:pPr>
            <w:pStyle w:val="Header"/>
            <w:jc w:val="center"/>
          </w:pPr>
        </w:p>
      </w:tc>
      <w:tc>
        <w:tcPr>
          <w:tcW w:w="3120" w:type="dxa"/>
        </w:tcPr>
        <w:p w14:paraId="2D0C7B0A" w14:textId="5B4888B6" w:rsidR="1127AC65" w:rsidRDefault="1127AC65" w:rsidP="1127AC65">
          <w:pPr>
            <w:pStyle w:val="Header"/>
            <w:ind w:right="-115"/>
            <w:jc w:val="right"/>
          </w:pPr>
        </w:p>
      </w:tc>
    </w:tr>
  </w:tbl>
  <w:p w14:paraId="58809FA2" w14:textId="44A5979E" w:rsidR="1127AC65" w:rsidRDefault="1127AC65" w:rsidP="1127A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16C48"/>
    <w:multiLevelType w:val="hybridMultilevel"/>
    <w:tmpl w:val="C6C27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3AF"/>
    <w:multiLevelType w:val="hybridMultilevel"/>
    <w:tmpl w:val="BEC64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9A12E"/>
    <w:multiLevelType w:val="hybridMultilevel"/>
    <w:tmpl w:val="E97264AC"/>
    <w:lvl w:ilvl="0" w:tplc="B3901774">
      <w:start w:val="1"/>
      <w:numFmt w:val="bullet"/>
      <w:lvlText w:val="o"/>
      <w:lvlJc w:val="left"/>
      <w:pPr>
        <w:ind w:left="1440" w:hanging="360"/>
      </w:pPr>
      <w:rPr>
        <w:rFonts w:ascii="Courier New" w:hAnsi="Courier New" w:hint="default"/>
      </w:rPr>
    </w:lvl>
    <w:lvl w:ilvl="1" w:tplc="FEF21A46">
      <w:start w:val="1"/>
      <w:numFmt w:val="bullet"/>
      <w:lvlText w:val="o"/>
      <w:lvlJc w:val="left"/>
      <w:pPr>
        <w:ind w:left="2160" w:hanging="360"/>
      </w:pPr>
      <w:rPr>
        <w:rFonts w:ascii="Courier New" w:hAnsi="Courier New" w:hint="default"/>
      </w:rPr>
    </w:lvl>
    <w:lvl w:ilvl="2" w:tplc="4F12B8C0">
      <w:start w:val="1"/>
      <w:numFmt w:val="bullet"/>
      <w:lvlText w:val=""/>
      <w:lvlJc w:val="left"/>
      <w:pPr>
        <w:ind w:left="2880" w:hanging="360"/>
      </w:pPr>
      <w:rPr>
        <w:rFonts w:ascii="Wingdings" w:hAnsi="Wingdings" w:hint="default"/>
      </w:rPr>
    </w:lvl>
    <w:lvl w:ilvl="3" w:tplc="278A392C">
      <w:start w:val="1"/>
      <w:numFmt w:val="bullet"/>
      <w:lvlText w:val=""/>
      <w:lvlJc w:val="left"/>
      <w:pPr>
        <w:ind w:left="3600" w:hanging="360"/>
      </w:pPr>
      <w:rPr>
        <w:rFonts w:ascii="Symbol" w:hAnsi="Symbol" w:hint="default"/>
      </w:rPr>
    </w:lvl>
    <w:lvl w:ilvl="4" w:tplc="C1080888">
      <w:start w:val="1"/>
      <w:numFmt w:val="bullet"/>
      <w:lvlText w:val="o"/>
      <w:lvlJc w:val="left"/>
      <w:pPr>
        <w:ind w:left="4320" w:hanging="360"/>
      </w:pPr>
      <w:rPr>
        <w:rFonts w:ascii="Courier New" w:hAnsi="Courier New" w:hint="default"/>
      </w:rPr>
    </w:lvl>
    <w:lvl w:ilvl="5" w:tplc="CCF8CC18">
      <w:start w:val="1"/>
      <w:numFmt w:val="bullet"/>
      <w:lvlText w:val=""/>
      <w:lvlJc w:val="left"/>
      <w:pPr>
        <w:ind w:left="5040" w:hanging="360"/>
      </w:pPr>
      <w:rPr>
        <w:rFonts w:ascii="Wingdings" w:hAnsi="Wingdings" w:hint="default"/>
      </w:rPr>
    </w:lvl>
    <w:lvl w:ilvl="6" w:tplc="3D0C8274">
      <w:start w:val="1"/>
      <w:numFmt w:val="bullet"/>
      <w:lvlText w:val=""/>
      <w:lvlJc w:val="left"/>
      <w:pPr>
        <w:ind w:left="5760" w:hanging="360"/>
      </w:pPr>
      <w:rPr>
        <w:rFonts w:ascii="Symbol" w:hAnsi="Symbol" w:hint="default"/>
      </w:rPr>
    </w:lvl>
    <w:lvl w:ilvl="7" w:tplc="1004AA52">
      <w:start w:val="1"/>
      <w:numFmt w:val="bullet"/>
      <w:lvlText w:val="o"/>
      <w:lvlJc w:val="left"/>
      <w:pPr>
        <w:ind w:left="6480" w:hanging="360"/>
      </w:pPr>
      <w:rPr>
        <w:rFonts w:ascii="Courier New" w:hAnsi="Courier New" w:hint="default"/>
      </w:rPr>
    </w:lvl>
    <w:lvl w:ilvl="8" w:tplc="88E6732A">
      <w:start w:val="1"/>
      <w:numFmt w:val="bullet"/>
      <w:lvlText w:val=""/>
      <w:lvlJc w:val="left"/>
      <w:pPr>
        <w:ind w:left="7200" w:hanging="360"/>
      </w:pPr>
      <w:rPr>
        <w:rFonts w:ascii="Wingdings" w:hAnsi="Wingdings" w:hint="default"/>
      </w:rPr>
    </w:lvl>
  </w:abstractNum>
  <w:abstractNum w:abstractNumId="3" w15:restartNumberingAfterBreak="0">
    <w:nsid w:val="1138465E"/>
    <w:multiLevelType w:val="hybridMultilevel"/>
    <w:tmpl w:val="EC0419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D6F7B"/>
    <w:multiLevelType w:val="hybridMultilevel"/>
    <w:tmpl w:val="006C6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0542A"/>
    <w:multiLevelType w:val="hybridMultilevel"/>
    <w:tmpl w:val="49A2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23B88"/>
    <w:multiLevelType w:val="hybridMultilevel"/>
    <w:tmpl w:val="FEE8B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71DB2"/>
    <w:multiLevelType w:val="hybridMultilevel"/>
    <w:tmpl w:val="1D9E771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5B6B41"/>
    <w:multiLevelType w:val="hybridMultilevel"/>
    <w:tmpl w:val="4176A7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24754"/>
    <w:multiLevelType w:val="hybridMultilevel"/>
    <w:tmpl w:val="C50E3270"/>
    <w:lvl w:ilvl="0" w:tplc="7A98B854">
      <w:start w:val="1"/>
      <w:numFmt w:val="bullet"/>
      <w:lvlText w:val=""/>
      <w:lvlJc w:val="left"/>
      <w:pPr>
        <w:ind w:left="1440" w:hanging="360"/>
      </w:pPr>
      <w:rPr>
        <w:rFonts w:ascii="Symbol" w:hAnsi="Symbol" w:hint="default"/>
      </w:rPr>
    </w:lvl>
    <w:lvl w:ilvl="1" w:tplc="0C767E3E">
      <w:start w:val="1"/>
      <w:numFmt w:val="bullet"/>
      <w:lvlText w:val="o"/>
      <w:lvlJc w:val="left"/>
      <w:pPr>
        <w:ind w:left="2160" w:hanging="360"/>
      </w:pPr>
      <w:rPr>
        <w:rFonts w:ascii="Courier New" w:hAnsi="Courier New" w:hint="default"/>
      </w:rPr>
    </w:lvl>
    <w:lvl w:ilvl="2" w:tplc="9788CD86">
      <w:start w:val="1"/>
      <w:numFmt w:val="bullet"/>
      <w:lvlText w:val=""/>
      <w:lvlJc w:val="left"/>
      <w:pPr>
        <w:ind w:left="2880" w:hanging="360"/>
      </w:pPr>
      <w:rPr>
        <w:rFonts w:ascii="Wingdings" w:hAnsi="Wingdings" w:hint="default"/>
      </w:rPr>
    </w:lvl>
    <w:lvl w:ilvl="3" w:tplc="42F65C98">
      <w:start w:val="1"/>
      <w:numFmt w:val="bullet"/>
      <w:lvlText w:val=""/>
      <w:lvlJc w:val="left"/>
      <w:pPr>
        <w:ind w:left="3600" w:hanging="360"/>
      </w:pPr>
      <w:rPr>
        <w:rFonts w:ascii="Symbol" w:hAnsi="Symbol" w:hint="default"/>
      </w:rPr>
    </w:lvl>
    <w:lvl w:ilvl="4" w:tplc="97BCB550">
      <w:start w:val="1"/>
      <w:numFmt w:val="bullet"/>
      <w:lvlText w:val="o"/>
      <w:lvlJc w:val="left"/>
      <w:pPr>
        <w:ind w:left="4320" w:hanging="360"/>
      </w:pPr>
      <w:rPr>
        <w:rFonts w:ascii="Courier New" w:hAnsi="Courier New" w:hint="default"/>
      </w:rPr>
    </w:lvl>
    <w:lvl w:ilvl="5" w:tplc="2FC86F5E">
      <w:start w:val="1"/>
      <w:numFmt w:val="bullet"/>
      <w:lvlText w:val=""/>
      <w:lvlJc w:val="left"/>
      <w:pPr>
        <w:ind w:left="5040" w:hanging="360"/>
      </w:pPr>
      <w:rPr>
        <w:rFonts w:ascii="Wingdings" w:hAnsi="Wingdings" w:hint="default"/>
      </w:rPr>
    </w:lvl>
    <w:lvl w:ilvl="6" w:tplc="006A3A78">
      <w:start w:val="1"/>
      <w:numFmt w:val="bullet"/>
      <w:lvlText w:val=""/>
      <w:lvlJc w:val="left"/>
      <w:pPr>
        <w:ind w:left="5760" w:hanging="360"/>
      </w:pPr>
      <w:rPr>
        <w:rFonts w:ascii="Symbol" w:hAnsi="Symbol" w:hint="default"/>
      </w:rPr>
    </w:lvl>
    <w:lvl w:ilvl="7" w:tplc="9BB62E80">
      <w:start w:val="1"/>
      <w:numFmt w:val="bullet"/>
      <w:lvlText w:val="o"/>
      <w:lvlJc w:val="left"/>
      <w:pPr>
        <w:ind w:left="6480" w:hanging="360"/>
      </w:pPr>
      <w:rPr>
        <w:rFonts w:ascii="Courier New" w:hAnsi="Courier New" w:hint="default"/>
      </w:rPr>
    </w:lvl>
    <w:lvl w:ilvl="8" w:tplc="4A5AB87A">
      <w:start w:val="1"/>
      <w:numFmt w:val="bullet"/>
      <w:lvlText w:val=""/>
      <w:lvlJc w:val="left"/>
      <w:pPr>
        <w:ind w:left="7200" w:hanging="360"/>
      </w:pPr>
      <w:rPr>
        <w:rFonts w:ascii="Wingdings" w:hAnsi="Wingdings" w:hint="default"/>
      </w:rPr>
    </w:lvl>
  </w:abstractNum>
  <w:abstractNum w:abstractNumId="10" w15:restartNumberingAfterBreak="0">
    <w:nsid w:val="508F38CA"/>
    <w:multiLevelType w:val="hybridMultilevel"/>
    <w:tmpl w:val="963AC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023029"/>
    <w:multiLevelType w:val="hybridMultilevel"/>
    <w:tmpl w:val="94285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E3009"/>
    <w:multiLevelType w:val="hybridMultilevel"/>
    <w:tmpl w:val="17A0D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DF4B1C"/>
    <w:multiLevelType w:val="hybridMultilevel"/>
    <w:tmpl w:val="969097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F3192A"/>
    <w:multiLevelType w:val="hybridMultilevel"/>
    <w:tmpl w:val="CEECA830"/>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656180"/>
    <w:multiLevelType w:val="hybridMultilevel"/>
    <w:tmpl w:val="65784BC2"/>
    <w:lvl w:ilvl="0" w:tplc="B50652B0">
      <w:start w:val="1"/>
      <w:numFmt w:val="bullet"/>
      <w:lvlText w:val=""/>
      <w:lvlJc w:val="left"/>
      <w:pPr>
        <w:ind w:left="720" w:hanging="360"/>
      </w:pPr>
      <w:rPr>
        <w:rFonts w:ascii="Symbol" w:hAnsi="Symbol" w:hint="default"/>
      </w:rPr>
    </w:lvl>
    <w:lvl w:ilvl="1" w:tplc="B4F49000">
      <w:start w:val="1"/>
      <w:numFmt w:val="bullet"/>
      <w:lvlText w:val="o"/>
      <w:lvlJc w:val="left"/>
      <w:pPr>
        <w:ind w:left="1440" w:hanging="360"/>
      </w:pPr>
      <w:rPr>
        <w:rFonts w:ascii="Courier New" w:hAnsi="Courier New" w:hint="default"/>
      </w:rPr>
    </w:lvl>
    <w:lvl w:ilvl="2" w:tplc="F88C9896">
      <w:start w:val="1"/>
      <w:numFmt w:val="bullet"/>
      <w:lvlText w:val=""/>
      <w:lvlJc w:val="left"/>
      <w:pPr>
        <w:ind w:left="2160" w:hanging="360"/>
      </w:pPr>
      <w:rPr>
        <w:rFonts w:ascii="Wingdings" w:hAnsi="Wingdings" w:hint="default"/>
      </w:rPr>
    </w:lvl>
    <w:lvl w:ilvl="3" w:tplc="5912930C">
      <w:start w:val="1"/>
      <w:numFmt w:val="bullet"/>
      <w:lvlText w:val=""/>
      <w:lvlJc w:val="left"/>
      <w:pPr>
        <w:ind w:left="2880" w:hanging="360"/>
      </w:pPr>
      <w:rPr>
        <w:rFonts w:ascii="Symbol" w:hAnsi="Symbol" w:hint="default"/>
      </w:rPr>
    </w:lvl>
    <w:lvl w:ilvl="4" w:tplc="B90220BE">
      <w:start w:val="1"/>
      <w:numFmt w:val="bullet"/>
      <w:lvlText w:val="o"/>
      <w:lvlJc w:val="left"/>
      <w:pPr>
        <w:ind w:left="3600" w:hanging="360"/>
      </w:pPr>
      <w:rPr>
        <w:rFonts w:ascii="Courier New" w:hAnsi="Courier New" w:hint="default"/>
      </w:rPr>
    </w:lvl>
    <w:lvl w:ilvl="5" w:tplc="6F3856E8">
      <w:start w:val="1"/>
      <w:numFmt w:val="bullet"/>
      <w:lvlText w:val=""/>
      <w:lvlJc w:val="left"/>
      <w:pPr>
        <w:ind w:left="4320" w:hanging="360"/>
      </w:pPr>
      <w:rPr>
        <w:rFonts w:ascii="Wingdings" w:hAnsi="Wingdings" w:hint="default"/>
      </w:rPr>
    </w:lvl>
    <w:lvl w:ilvl="6" w:tplc="79B8E8B0">
      <w:start w:val="1"/>
      <w:numFmt w:val="bullet"/>
      <w:lvlText w:val=""/>
      <w:lvlJc w:val="left"/>
      <w:pPr>
        <w:ind w:left="5040" w:hanging="360"/>
      </w:pPr>
      <w:rPr>
        <w:rFonts w:ascii="Symbol" w:hAnsi="Symbol" w:hint="default"/>
      </w:rPr>
    </w:lvl>
    <w:lvl w:ilvl="7" w:tplc="6FFC88D0">
      <w:start w:val="1"/>
      <w:numFmt w:val="bullet"/>
      <w:lvlText w:val="o"/>
      <w:lvlJc w:val="left"/>
      <w:pPr>
        <w:ind w:left="5760" w:hanging="360"/>
      </w:pPr>
      <w:rPr>
        <w:rFonts w:ascii="Courier New" w:hAnsi="Courier New" w:hint="default"/>
      </w:rPr>
    </w:lvl>
    <w:lvl w:ilvl="8" w:tplc="383A5142">
      <w:start w:val="1"/>
      <w:numFmt w:val="bullet"/>
      <w:lvlText w:val=""/>
      <w:lvlJc w:val="left"/>
      <w:pPr>
        <w:ind w:left="6480" w:hanging="360"/>
      </w:pPr>
      <w:rPr>
        <w:rFonts w:ascii="Wingdings" w:hAnsi="Wingdings" w:hint="default"/>
      </w:rPr>
    </w:lvl>
  </w:abstractNum>
  <w:num w:numId="1" w16cid:durableId="580917971">
    <w:abstractNumId w:val="2"/>
  </w:num>
  <w:num w:numId="2" w16cid:durableId="698508344">
    <w:abstractNumId w:val="9"/>
  </w:num>
  <w:num w:numId="3" w16cid:durableId="2081783645">
    <w:abstractNumId w:val="15"/>
  </w:num>
  <w:num w:numId="4" w16cid:durableId="1608581543">
    <w:abstractNumId w:val="6"/>
  </w:num>
  <w:num w:numId="5" w16cid:durableId="1285306484">
    <w:abstractNumId w:val="0"/>
  </w:num>
  <w:num w:numId="6" w16cid:durableId="588272315">
    <w:abstractNumId w:val="5"/>
  </w:num>
  <w:num w:numId="7" w16cid:durableId="2033720646">
    <w:abstractNumId w:val="10"/>
  </w:num>
  <w:num w:numId="8" w16cid:durableId="1357265902">
    <w:abstractNumId w:val="11"/>
  </w:num>
  <w:num w:numId="9" w16cid:durableId="111242453">
    <w:abstractNumId w:val="1"/>
  </w:num>
  <w:num w:numId="10" w16cid:durableId="1811048191">
    <w:abstractNumId w:val="7"/>
  </w:num>
  <w:num w:numId="11" w16cid:durableId="1607886407">
    <w:abstractNumId w:val="14"/>
  </w:num>
  <w:num w:numId="12" w16cid:durableId="1341080209">
    <w:abstractNumId w:val="8"/>
  </w:num>
  <w:num w:numId="13" w16cid:durableId="2245453">
    <w:abstractNumId w:val="4"/>
  </w:num>
  <w:num w:numId="14" w16cid:durableId="1566641587">
    <w:abstractNumId w:val="13"/>
  </w:num>
  <w:num w:numId="15" w16cid:durableId="118694449">
    <w:abstractNumId w:val="12"/>
  </w:num>
  <w:num w:numId="16" w16cid:durableId="47699213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8ECFB66-C896-46A4-831B-162615988DD8}"/>
    <w:docVar w:name="dgnword-eventsink" w:val="1842394838256"/>
  </w:docVars>
  <w:rsids>
    <w:rsidRoot w:val="0034146B"/>
    <w:rsid w:val="00000A59"/>
    <w:rsid w:val="00001572"/>
    <w:rsid w:val="00002B5A"/>
    <w:rsid w:val="00003F53"/>
    <w:rsid w:val="00004956"/>
    <w:rsid w:val="0000745B"/>
    <w:rsid w:val="000111B7"/>
    <w:rsid w:val="00017F80"/>
    <w:rsid w:val="0002332A"/>
    <w:rsid w:val="000233C8"/>
    <w:rsid w:val="000242BE"/>
    <w:rsid w:val="00025517"/>
    <w:rsid w:val="000267A2"/>
    <w:rsid w:val="000304F2"/>
    <w:rsid w:val="00030B0A"/>
    <w:rsid w:val="00031700"/>
    <w:rsid w:val="00031F05"/>
    <w:rsid w:val="00032219"/>
    <w:rsid w:val="0003433C"/>
    <w:rsid w:val="00036EF5"/>
    <w:rsid w:val="000371F7"/>
    <w:rsid w:val="00040D09"/>
    <w:rsid w:val="00040F9F"/>
    <w:rsid w:val="00041310"/>
    <w:rsid w:val="000427E6"/>
    <w:rsid w:val="000467C8"/>
    <w:rsid w:val="00046AE5"/>
    <w:rsid w:val="00046E76"/>
    <w:rsid w:val="00047F32"/>
    <w:rsid w:val="00050476"/>
    <w:rsid w:val="0005113D"/>
    <w:rsid w:val="00051951"/>
    <w:rsid w:val="000525D1"/>
    <w:rsid w:val="000529C0"/>
    <w:rsid w:val="00053C05"/>
    <w:rsid w:val="00053D6C"/>
    <w:rsid w:val="00056440"/>
    <w:rsid w:val="00057AB0"/>
    <w:rsid w:val="00060B4A"/>
    <w:rsid w:val="00061A66"/>
    <w:rsid w:val="00061B18"/>
    <w:rsid w:val="00061E9C"/>
    <w:rsid w:val="0006393E"/>
    <w:rsid w:val="00064ACC"/>
    <w:rsid w:val="00064E8D"/>
    <w:rsid w:val="000655C4"/>
    <w:rsid w:val="00065DC5"/>
    <w:rsid w:val="000669E5"/>
    <w:rsid w:val="000675AC"/>
    <w:rsid w:val="0007117D"/>
    <w:rsid w:val="00071919"/>
    <w:rsid w:val="00071D49"/>
    <w:rsid w:val="00075C25"/>
    <w:rsid w:val="000778E1"/>
    <w:rsid w:val="00080DC0"/>
    <w:rsid w:val="00083785"/>
    <w:rsid w:val="00084531"/>
    <w:rsid w:val="00084928"/>
    <w:rsid w:val="00085AA3"/>
    <w:rsid w:val="00086D6A"/>
    <w:rsid w:val="00091A90"/>
    <w:rsid w:val="00091CBB"/>
    <w:rsid w:val="00095EB9"/>
    <w:rsid w:val="00096269"/>
    <w:rsid w:val="00096A95"/>
    <w:rsid w:val="00097A43"/>
    <w:rsid w:val="000A0942"/>
    <w:rsid w:val="000A22B9"/>
    <w:rsid w:val="000A3763"/>
    <w:rsid w:val="000A4646"/>
    <w:rsid w:val="000A709F"/>
    <w:rsid w:val="000A752D"/>
    <w:rsid w:val="000A7F2A"/>
    <w:rsid w:val="000B0ED7"/>
    <w:rsid w:val="000B1E62"/>
    <w:rsid w:val="000B2236"/>
    <w:rsid w:val="000B31BB"/>
    <w:rsid w:val="000B3873"/>
    <w:rsid w:val="000B4456"/>
    <w:rsid w:val="000B5294"/>
    <w:rsid w:val="000B5C13"/>
    <w:rsid w:val="000C2D8E"/>
    <w:rsid w:val="000C2ED3"/>
    <w:rsid w:val="000C38A8"/>
    <w:rsid w:val="000D0300"/>
    <w:rsid w:val="000D1DC3"/>
    <w:rsid w:val="000D3DEE"/>
    <w:rsid w:val="000D4826"/>
    <w:rsid w:val="000E04D2"/>
    <w:rsid w:val="000E36EA"/>
    <w:rsid w:val="000E505D"/>
    <w:rsid w:val="000E5890"/>
    <w:rsid w:val="000E633D"/>
    <w:rsid w:val="000F1092"/>
    <w:rsid w:val="000F402A"/>
    <w:rsid w:val="000F4B01"/>
    <w:rsid w:val="000F57D2"/>
    <w:rsid w:val="000F6AB9"/>
    <w:rsid w:val="000F6EF9"/>
    <w:rsid w:val="000F7176"/>
    <w:rsid w:val="00101025"/>
    <w:rsid w:val="00101E72"/>
    <w:rsid w:val="00102520"/>
    <w:rsid w:val="001044E2"/>
    <w:rsid w:val="00106724"/>
    <w:rsid w:val="001069E3"/>
    <w:rsid w:val="00110E65"/>
    <w:rsid w:val="00111718"/>
    <w:rsid w:val="0011227E"/>
    <w:rsid w:val="00112DE2"/>
    <w:rsid w:val="00116373"/>
    <w:rsid w:val="00116A01"/>
    <w:rsid w:val="00116A1B"/>
    <w:rsid w:val="00120814"/>
    <w:rsid w:val="00120B1E"/>
    <w:rsid w:val="00123687"/>
    <w:rsid w:val="001267EC"/>
    <w:rsid w:val="00127EFA"/>
    <w:rsid w:val="001316A1"/>
    <w:rsid w:val="0013487E"/>
    <w:rsid w:val="00135451"/>
    <w:rsid w:val="001366F8"/>
    <w:rsid w:val="0014097C"/>
    <w:rsid w:val="00142C0A"/>
    <w:rsid w:val="00143A5C"/>
    <w:rsid w:val="00143EE9"/>
    <w:rsid w:val="00144B33"/>
    <w:rsid w:val="001455C5"/>
    <w:rsid w:val="001462F4"/>
    <w:rsid w:val="00150E7B"/>
    <w:rsid w:val="0015102C"/>
    <w:rsid w:val="001513CB"/>
    <w:rsid w:val="0015219B"/>
    <w:rsid w:val="00153204"/>
    <w:rsid w:val="0015390F"/>
    <w:rsid w:val="001554F2"/>
    <w:rsid w:val="00155C89"/>
    <w:rsid w:val="00160303"/>
    <w:rsid w:val="00161F3B"/>
    <w:rsid w:val="0016203E"/>
    <w:rsid w:val="0016507D"/>
    <w:rsid w:val="00166052"/>
    <w:rsid w:val="001668C8"/>
    <w:rsid w:val="00167200"/>
    <w:rsid w:val="00170760"/>
    <w:rsid w:val="00170F83"/>
    <w:rsid w:val="001712E4"/>
    <w:rsid w:val="001714AE"/>
    <w:rsid w:val="00172C06"/>
    <w:rsid w:val="001736C3"/>
    <w:rsid w:val="00173CBD"/>
    <w:rsid w:val="00174A0E"/>
    <w:rsid w:val="0017554E"/>
    <w:rsid w:val="00176243"/>
    <w:rsid w:val="00177B2D"/>
    <w:rsid w:val="001814FD"/>
    <w:rsid w:val="001829DC"/>
    <w:rsid w:val="001846F1"/>
    <w:rsid w:val="00185F5D"/>
    <w:rsid w:val="00187312"/>
    <w:rsid w:val="001877AA"/>
    <w:rsid w:val="00187A16"/>
    <w:rsid w:val="00190E76"/>
    <w:rsid w:val="0019242F"/>
    <w:rsid w:val="00193D08"/>
    <w:rsid w:val="00195B38"/>
    <w:rsid w:val="001A04FD"/>
    <w:rsid w:val="001A1638"/>
    <w:rsid w:val="001A3470"/>
    <w:rsid w:val="001A3560"/>
    <w:rsid w:val="001A7AAE"/>
    <w:rsid w:val="001B4CDE"/>
    <w:rsid w:val="001B5B6E"/>
    <w:rsid w:val="001B6FD2"/>
    <w:rsid w:val="001C14A3"/>
    <w:rsid w:val="001C24D8"/>
    <w:rsid w:val="001C482D"/>
    <w:rsid w:val="001C4978"/>
    <w:rsid w:val="001C503B"/>
    <w:rsid w:val="001C77D8"/>
    <w:rsid w:val="001D16E2"/>
    <w:rsid w:val="001D3734"/>
    <w:rsid w:val="001D42EF"/>
    <w:rsid w:val="001D4E4C"/>
    <w:rsid w:val="001D582D"/>
    <w:rsid w:val="001D68DE"/>
    <w:rsid w:val="001D6945"/>
    <w:rsid w:val="001D702A"/>
    <w:rsid w:val="001D70B8"/>
    <w:rsid w:val="001E0364"/>
    <w:rsid w:val="001E0494"/>
    <w:rsid w:val="001E2F14"/>
    <w:rsid w:val="001E3B99"/>
    <w:rsid w:val="001E7A93"/>
    <w:rsid w:val="001E7B95"/>
    <w:rsid w:val="001F099A"/>
    <w:rsid w:val="001F4558"/>
    <w:rsid w:val="001F52BF"/>
    <w:rsid w:val="001F5452"/>
    <w:rsid w:val="001F5F88"/>
    <w:rsid w:val="001F73E7"/>
    <w:rsid w:val="00202868"/>
    <w:rsid w:val="00203026"/>
    <w:rsid w:val="0020596F"/>
    <w:rsid w:val="00205F76"/>
    <w:rsid w:val="00212ACA"/>
    <w:rsid w:val="0021389E"/>
    <w:rsid w:val="0021482D"/>
    <w:rsid w:val="00215509"/>
    <w:rsid w:val="00216EB3"/>
    <w:rsid w:val="0022004E"/>
    <w:rsid w:val="00220D2F"/>
    <w:rsid w:val="00221437"/>
    <w:rsid w:val="0022520C"/>
    <w:rsid w:val="002258C8"/>
    <w:rsid w:val="00226073"/>
    <w:rsid w:val="00226759"/>
    <w:rsid w:val="00227421"/>
    <w:rsid w:val="002358C2"/>
    <w:rsid w:val="00241269"/>
    <w:rsid w:val="002455E4"/>
    <w:rsid w:val="002468AF"/>
    <w:rsid w:val="00246BF6"/>
    <w:rsid w:val="00250046"/>
    <w:rsid w:val="00253087"/>
    <w:rsid w:val="002532D6"/>
    <w:rsid w:val="00253481"/>
    <w:rsid w:val="00256C5D"/>
    <w:rsid w:val="00260DC7"/>
    <w:rsid w:val="00262120"/>
    <w:rsid w:val="002626D4"/>
    <w:rsid w:val="00263876"/>
    <w:rsid w:val="00265490"/>
    <w:rsid w:val="002665B9"/>
    <w:rsid w:val="00266FCA"/>
    <w:rsid w:val="00270A4A"/>
    <w:rsid w:val="00270CF1"/>
    <w:rsid w:val="00273168"/>
    <w:rsid w:val="002749A0"/>
    <w:rsid w:val="00275A06"/>
    <w:rsid w:val="00276D16"/>
    <w:rsid w:val="00277EE0"/>
    <w:rsid w:val="00277EF1"/>
    <w:rsid w:val="00280781"/>
    <w:rsid w:val="00280DBA"/>
    <w:rsid w:val="0028191F"/>
    <w:rsid w:val="00282F0A"/>
    <w:rsid w:val="002854C5"/>
    <w:rsid w:val="002878B2"/>
    <w:rsid w:val="0029117B"/>
    <w:rsid w:val="00292236"/>
    <w:rsid w:val="002928B7"/>
    <w:rsid w:val="00293127"/>
    <w:rsid w:val="00293759"/>
    <w:rsid w:val="0029474D"/>
    <w:rsid w:val="002A3651"/>
    <w:rsid w:val="002A36C6"/>
    <w:rsid w:val="002A4566"/>
    <w:rsid w:val="002A47C2"/>
    <w:rsid w:val="002A7B40"/>
    <w:rsid w:val="002B1ED9"/>
    <w:rsid w:val="002B2740"/>
    <w:rsid w:val="002B3765"/>
    <w:rsid w:val="002C034C"/>
    <w:rsid w:val="002C231B"/>
    <w:rsid w:val="002C2BEC"/>
    <w:rsid w:val="002C5A67"/>
    <w:rsid w:val="002D15DE"/>
    <w:rsid w:val="002D5220"/>
    <w:rsid w:val="002D5460"/>
    <w:rsid w:val="002D7114"/>
    <w:rsid w:val="002E2BF5"/>
    <w:rsid w:val="002E3FB5"/>
    <w:rsid w:val="002E4A5B"/>
    <w:rsid w:val="002E50D8"/>
    <w:rsid w:val="002E62B9"/>
    <w:rsid w:val="002E762A"/>
    <w:rsid w:val="002E7B11"/>
    <w:rsid w:val="002F108B"/>
    <w:rsid w:val="002F3391"/>
    <w:rsid w:val="002F470B"/>
    <w:rsid w:val="002F5C14"/>
    <w:rsid w:val="002F7D85"/>
    <w:rsid w:val="00300448"/>
    <w:rsid w:val="003015E0"/>
    <w:rsid w:val="0030431C"/>
    <w:rsid w:val="0030531A"/>
    <w:rsid w:val="00307319"/>
    <w:rsid w:val="0030764A"/>
    <w:rsid w:val="00307712"/>
    <w:rsid w:val="00307B8D"/>
    <w:rsid w:val="003136C5"/>
    <w:rsid w:val="0031430F"/>
    <w:rsid w:val="00316452"/>
    <w:rsid w:val="003201DD"/>
    <w:rsid w:val="00320E1D"/>
    <w:rsid w:val="003210B6"/>
    <w:rsid w:val="003233EC"/>
    <w:rsid w:val="003243EC"/>
    <w:rsid w:val="0032490F"/>
    <w:rsid w:val="00325574"/>
    <w:rsid w:val="00325FB9"/>
    <w:rsid w:val="0033220A"/>
    <w:rsid w:val="00335EDB"/>
    <w:rsid w:val="00337C26"/>
    <w:rsid w:val="0034146B"/>
    <w:rsid w:val="003418F4"/>
    <w:rsid w:val="0034295E"/>
    <w:rsid w:val="003435FA"/>
    <w:rsid w:val="00345A89"/>
    <w:rsid w:val="00345FC4"/>
    <w:rsid w:val="00346C80"/>
    <w:rsid w:val="003475F7"/>
    <w:rsid w:val="003511B7"/>
    <w:rsid w:val="00352B8F"/>
    <w:rsid w:val="00352C05"/>
    <w:rsid w:val="003539A6"/>
    <w:rsid w:val="003558B1"/>
    <w:rsid w:val="00355AC5"/>
    <w:rsid w:val="00364479"/>
    <w:rsid w:val="00366F3D"/>
    <w:rsid w:val="003675FC"/>
    <w:rsid w:val="00370EF1"/>
    <w:rsid w:val="00374B25"/>
    <w:rsid w:val="00376655"/>
    <w:rsid w:val="00377863"/>
    <w:rsid w:val="003801DE"/>
    <w:rsid w:val="00382E7C"/>
    <w:rsid w:val="0038326D"/>
    <w:rsid w:val="00383A5C"/>
    <w:rsid w:val="003847B9"/>
    <w:rsid w:val="00384974"/>
    <w:rsid w:val="003853F5"/>
    <w:rsid w:val="003855BF"/>
    <w:rsid w:val="00385D56"/>
    <w:rsid w:val="00386127"/>
    <w:rsid w:val="0038694B"/>
    <w:rsid w:val="00386ADC"/>
    <w:rsid w:val="00391B42"/>
    <w:rsid w:val="00393E1F"/>
    <w:rsid w:val="00394597"/>
    <w:rsid w:val="00394B23"/>
    <w:rsid w:val="003958A0"/>
    <w:rsid w:val="00396384"/>
    <w:rsid w:val="00396953"/>
    <w:rsid w:val="00396ECE"/>
    <w:rsid w:val="00397151"/>
    <w:rsid w:val="003A07F5"/>
    <w:rsid w:val="003A13E2"/>
    <w:rsid w:val="003A646A"/>
    <w:rsid w:val="003A65D2"/>
    <w:rsid w:val="003B22DE"/>
    <w:rsid w:val="003B2CF1"/>
    <w:rsid w:val="003B49BE"/>
    <w:rsid w:val="003B76B2"/>
    <w:rsid w:val="003C4B9D"/>
    <w:rsid w:val="003C6DCB"/>
    <w:rsid w:val="003D14D7"/>
    <w:rsid w:val="003D1596"/>
    <w:rsid w:val="003D46B4"/>
    <w:rsid w:val="003D535A"/>
    <w:rsid w:val="003E1867"/>
    <w:rsid w:val="003E2F19"/>
    <w:rsid w:val="003E3271"/>
    <w:rsid w:val="003E365B"/>
    <w:rsid w:val="003E4172"/>
    <w:rsid w:val="003E4231"/>
    <w:rsid w:val="003E64F5"/>
    <w:rsid w:val="003F0506"/>
    <w:rsid w:val="003F10E0"/>
    <w:rsid w:val="003F1D5E"/>
    <w:rsid w:val="003F40ED"/>
    <w:rsid w:val="003F5BD1"/>
    <w:rsid w:val="003F7DC6"/>
    <w:rsid w:val="003F7EEC"/>
    <w:rsid w:val="0040061F"/>
    <w:rsid w:val="004017B5"/>
    <w:rsid w:val="00401A9C"/>
    <w:rsid w:val="00401F05"/>
    <w:rsid w:val="00402ECA"/>
    <w:rsid w:val="0040565F"/>
    <w:rsid w:val="00406F1F"/>
    <w:rsid w:val="0041044E"/>
    <w:rsid w:val="0041315B"/>
    <w:rsid w:val="004139B5"/>
    <w:rsid w:val="00414284"/>
    <w:rsid w:val="004149E2"/>
    <w:rsid w:val="00414CFD"/>
    <w:rsid w:val="00414F67"/>
    <w:rsid w:val="00415874"/>
    <w:rsid w:val="00416789"/>
    <w:rsid w:val="004169F6"/>
    <w:rsid w:val="00422CBA"/>
    <w:rsid w:val="00422FC2"/>
    <w:rsid w:val="0042516B"/>
    <w:rsid w:val="004266D2"/>
    <w:rsid w:val="004274B1"/>
    <w:rsid w:val="00427A99"/>
    <w:rsid w:val="00430C43"/>
    <w:rsid w:val="00432544"/>
    <w:rsid w:val="0043314E"/>
    <w:rsid w:val="004413D9"/>
    <w:rsid w:val="0044408C"/>
    <w:rsid w:val="0045335A"/>
    <w:rsid w:val="00453783"/>
    <w:rsid w:val="00454F17"/>
    <w:rsid w:val="00456247"/>
    <w:rsid w:val="004572F5"/>
    <w:rsid w:val="00457A13"/>
    <w:rsid w:val="004657B6"/>
    <w:rsid w:val="00467671"/>
    <w:rsid w:val="00467D6D"/>
    <w:rsid w:val="00470EAD"/>
    <w:rsid w:val="00471BA4"/>
    <w:rsid w:val="00472001"/>
    <w:rsid w:val="00472EE0"/>
    <w:rsid w:val="00472F26"/>
    <w:rsid w:val="004814FD"/>
    <w:rsid w:val="0048163E"/>
    <w:rsid w:val="004834E1"/>
    <w:rsid w:val="004845A7"/>
    <w:rsid w:val="00487A44"/>
    <w:rsid w:val="00487E5F"/>
    <w:rsid w:val="00491F47"/>
    <w:rsid w:val="00493087"/>
    <w:rsid w:val="004930BE"/>
    <w:rsid w:val="004930C3"/>
    <w:rsid w:val="00495621"/>
    <w:rsid w:val="00496174"/>
    <w:rsid w:val="0049645D"/>
    <w:rsid w:val="00496898"/>
    <w:rsid w:val="00496C0B"/>
    <w:rsid w:val="00496E73"/>
    <w:rsid w:val="004972B3"/>
    <w:rsid w:val="004A21E5"/>
    <w:rsid w:val="004A2B00"/>
    <w:rsid w:val="004A2B97"/>
    <w:rsid w:val="004A32FD"/>
    <w:rsid w:val="004A3433"/>
    <w:rsid w:val="004A6254"/>
    <w:rsid w:val="004A7863"/>
    <w:rsid w:val="004B0483"/>
    <w:rsid w:val="004B0D37"/>
    <w:rsid w:val="004B1EBC"/>
    <w:rsid w:val="004B5703"/>
    <w:rsid w:val="004B6346"/>
    <w:rsid w:val="004B6F77"/>
    <w:rsid w:val="004C0EE5"/>
    <w:rsid w:val="004C1C88"/>
    <w:rsid w:val="004C3693"/>
    <w:rsid w:val="004C3AD3"/>
    <w:rsid w:val="004D04F0"/>
    <w:rsid w:val="004D1B7A"/>
    <w:rsid w:val="004D47BE"/>
    <w:rsid w:val="004D55DB"/>
    <w:rsid w:val="004D7A92"/>
    <w:rsid w:val="004D7BC7"/>
    <w:rsid w:val="004E02A2"/>
    <w:rsid w:val="004E0388"/>
    <w:rsid w:val="004E3675"/>
    <w:rsid w:val="004E4461"/>
    <w:rsid w:val="004E5885"/>
    <w:rsid w:val="004F1B99"/>
    <w:rsid w:val="004F4990"/>
    <w:rsid w:val="004F5211"/>
    <w:rsid w:val="004F7F2D"/>
    <w:rsid w:val="005026E7"/>
    <w:rsid w:val="0050283F"/>
    <w:rsid w:val="0050332B"/>
    <w:rsid w:val="00504220"/>
    <w:rsid w:val="00506371"/>
    <w:rsid w:val="005068D0"/>
    <w:rsid w:val="005076B0"/>
    <w:rsid w:val="00513170"/>
    <w:rsid w:val="005134D1"/>
    <w:rsid w:val="00513594"/>
    <w:rsid w:val="00513748"/>
    <w:rsid w:val="005144D0"/>
    <w:rsid w:val="00514DA7"/>
    <w:rsid w:val="00514E00"/>
    <w:rsid w:val="00516F61"/>
    <w:rsid w:val="0051708E"/>
    <w:rsid w:val="00520274"/>
    <w:rsid w:val="00525360"/>
    <w:rsid w:val="00525AE8"/>
    <w:rsid w:val="00525EB5"/>
    <w:rsid w:val="005265EA"/>
    <w:rsid w:val="00527934"/>
    <w:rsid w:val="005309FF"/>
    <w:rsid w:val="0053232C"/>
    <w:rsid w:val="00533CA2"/>
    <w:rsid w:val="00533E01"/>
    <w:rsid w:val="00534787"/>
    <w:rsid w:val="00537060"/>
    <w:rsid w:val="005376CD"/>
    <w:rsid w:val="00540B38"/>
    <w:rsid w:val="005416AC"/>
    <w:rsid w:val="0054218E"/>
    <w:rsid w:val="005436C2"/>
    <w:rsid w:val="00544EE2"/>
    <w:rsid w:val="00546131"/>
    <w:rsid w:val="00546D7C"/>
    <w:rsid w:val="0055015D"/>
    <w:rsid w:val="005528CD"/>
    <w:rsid w:val="00552D83"/>
    <w:rsid w:val="00554378"/>
    <w:rsid w:val="0055450D"/>
    <w:rsid w:val="005548C6"/>
    <w:rsid w:val="0055571D"/>
    <w:rsid w:val="00555FC5"/>
    <w:rsid w:val="0055708F"/>
    <w:rsid w:val="00557437"/>
    <w:rsid w:val="00557E4B"/>
    <w:rsid w:val="00560D0A"/>
    <w:rsid w:val="00562F65"/>
    <w:rsid w:val="005640FE"/>
    <w:rsid w:val="00567856"/>
    <w:rsid w:val="005717DB"/>
    <w:rsid w:val="005745FC"/>
    <w:rsid w:val="00576CCA"/>
    <w:rsid w:val="005772C8"/>
    <w:rsid w:val="005816BE"/>
    <w:rsid w:val="00583026"/>
    <w:rsid w:val="0058612B"/>
    <w:rsid w:val="00586621"/>
    <w:rsid w:val="0058685C"/>
    <w:rsid w:val="00590DD5"/>
    <w:rsid w:val="00591427"/>
    <w:rsid w:val="0059149A"/>
    <w:rsid w:val="00592BCF"/>
    <w:rsid w:val="00593803"/>
    <w:rsid w:val="005942E8"/>
    <w:rsid w:val="005A1450"/>
    <w:rsid w:val="005A1B98"/>
    <w:rsid w:val="005A3C85"/>
    <w:rsid w:val="005A5AFF"/>
    <w:rsid w:val="005A6336"/>
    <w:rsid w:val="005A709F"/>
    <w:rsid w:val="005B1DE3"/>
    <w:rsid w:val="005B5111"/>
    <w:rsid w:val="005B6D24"/>
    <w:rsid w:val="005C19EF"/>
    <w:rsid w:val="005C1ACD"/>
    <w:rsid w:val="005C2A60"/>
    <w:rsid w:val="005C3880"/>
    <w:rsid w:val="005C3F11"/>
    <w:rsid w:val="005C42EA"/>
    <w:rsid w:val="005C43AE"/>
    <w:rsid w:val="005C48B1"/>
    <w:rsid w:val="005C5DF8"/>
    <w:rsid w:val="005C601C"/>
    <w:rsid w:val="005C740F"/>
    <w:rsid w:val="005D055C"/>
    <w:rsid w:val="005D0615"/>
    <w:rsid w:val="005D0CD3"/>
    <w:rsid w:val="005D2B75"/>
    <w:rsid w:val="005D3ED0"/>
    <w:rsid w:val="005D450E"/>
    <w:rsid w:val="005D7304"/>
    <w:rsid w:val="005D78AF"/>
    <w:rsid w:val="005E5345"/>
    <w:rsid w:val="005E645F"/>
    <w:rsid w:val="005F1786"/>
    <w:rsid w:val="005F3E99"/>
    <w:rsid w:val="006013F9"/>
    <w:rsid w:val="0060278F"/>
    <w:rsid w:val="00605470"/>
    <w:rsid w:val="0060565A"/>
    <w:rsid w:val="0061065F"/>
    <w:rsid w:val="00611A02"/>
    <w:rsid w:val="00612184"/>
    <w:rsid w:val="0061272F"/>
    <w:rsid w:val="006132CF"/>
    <w:rsid w:val="0061402B"/>
    <w:rsid w:val="00615C25"/>
    <w:rsid w:val="006207CC"/>
    <w:rsid w:val="00621A1B"/>
    <w:rsid w:val="00623F6D"/>
    <w:rsid w:val="006276A4"/>
    <w:rsid w:val="0063063C"/>
    <w:rsid w:val="0063106A"/>
    <w:rsid w:val="00632B8E"/>
    <w:rsid w:val="00633643"/>
    <w:rsid w:val="006340D0"/>
    <w:rsid w:val="006347D4"/>
    <w:rsid w:val="00635451"/>
    <w:rsid w:val="0063631D"/>
    <w:rsid w:val="00637152"/>
    <w:rsid w:val="0063756E"/>
    <w:rsid w:val="0063768B"/>
    <w:rsid w:val="00637DF8"/>
    <w:rsid w:val="006424F4"/>
    <w:rsid w:val="0064306B"/>
    <w:rsid w:val="00644513"/>
    <w:rsid w:val="00644C1B"/>
    <w:rsid w:val="006476D5"/>
    <w:rsid w:val="00647740"/>
    <w:rsid w:val="00647C85"/>
    <w:rsid w:val="006510F8"/>
    <w:rsid w:val="00651DFE"/>
    <w:rsid w:val="00652174"/>
    <w:rsid w:val="00653E98"/>
    <w:rsid w:val="00655877"/>
    <w:rsid w:val="0065F695"/>
    <w:rsid w:val="00661E5D"/>
    <w:rsid w:val="00662893"/>
    <w:rsid w:val="00664677"/>
    <w:rsid w:val="00665E48"/>
    <w:rsid w:val="00672E70"/>
    <w:rsid w:val="00682F83"/>
    <w:rsid w:val="00683B80"/>
    <w:rsid w:val="006852BC"/>
    <w:rsid w:val="00685691"/>
    <w:rsid w:val="0069290C"/>
    <w:rsid w:val="0069396A"/>
    <w:rsid w:val="00695067"/>
    <w:rsid w:val="0069711C"/>
    <w:rsid w:val="00697F82"/>
    <w:rsid w:val="006A0F58"/>
    <w:rsid w:val="006A1219"/>
    <w:rsid w:val="006A1F49"/>
    <w:rsid w:val="006A3746"/>
    <w:rsid w:val="006A3BD4"/>
    <w:rsid w:val="006A6680"/>
    <w:rsid w:val="006A7318"/>
    <w:rsid w:val="006A741C"/>
    <w:rsid w:val="006B0DA0"/>
    <w:rsid w:val="006B373B"/>
    <w:rsid w:val="006B4025"/>
    <w:rsid w:val="006B5344"/>
    <w:rsid w:val="006B7D37"/>
    <w:rsid w:val="006C632F"/>
    <w:rsid w:val="006C67DE"/>
    <w:rsid w:val="006C7B51"/>
    <w:rsid w:val="006C7D13"/>
    <w:rsid w:val="006D0198"/>
    <w:rsid w:val="006D14CE"/>
    <w:rsid w:val="006D2532"/>
    <w:rsid w:val="006D3265"/>
    <w:rsid w:val="006D43C4"/>
    <w:rsid w:val="006D576C"/>
    <w:rsid w:val="006D6825"/>
    <w:rsid w:val="006D74BD"/>
    <w:rsid w:val="006E1FED"/>
    <w:rsid w:val="006E2225"/>
    <w:rsid w:val="006E2299"/>
    <w:rsid w:val="006E23EB"/>
    <w:rsid w:val="006E3D49"/>
    <w:rsid w:val="006E59B8"/>
    <w:rsid w:val="006E6B30"/>
    <w:rsid w:val="006E7875"/>
    <w:rsid w:val="006F3420"/>
    <w:rsid w:val="006F3B9F"/>
    <w:rsid w:val="006F46C4"/>
    <w:rsid w:val="006F5126"/>
    <w:rsid w:val="006F54A9"/>
    <w:rsid w:val="006F6BD6"/>
    <w:rsid w:val="006F7333"/>
    <w:rsid w:val="00700700"/>
    <w:rsid w:val="00703BEE"/>
    <w:rsid w:val="00703E47"/>
    <w:rsid w:val="00703F0E"/>
    <w:rsid w:val="007061E3"/>
    <w:rsid w:val="00707261"/>
    <w:rsid w:val="00710165"/>
    <w:rsid w:val="007149FC"/>
    <w:rsid w:val="0071525C"/>
    <w:rsid w:val="007152CC"/>
    <w:rsid w:val="00716493"/>
    <w:rsid w:val="0071678F"/>
    <w:rsid w:val="00716E71"/>
    <w:rsid w:val="00717CB8"/>
    <w:rsid w:val="0072140E"/>
    <w:rsid w:val="00724E6B"/>
    <w:rsid w:val="00725FE7"/>
    <w:rsid w:val="007336AB"/>
    <w:rsid w:val="007344A8"/>
    <w:rsid w:val="00734797"/>
    <w:rsid w:val="00734FA7"/>
    <w:rsid w:val="00735552"/>
    <w:rsid w:val="007401AE"/>
    <w:rsid w:val="00740335"/>
    <w:rsid w:val="007406EA"/>
    <w:rsid w:val="00741025"/>
    <w:rsid w:val="00741EE8"/>
    <w:rsid w:val="00742B33"/>
    <w:rsid w:val="0074582D"/>
    <w:rsid w:val="0074735A"/>
    <w:rsid w:val="00751A56"/>
    <w:rsid w:val="00752349"/>
    <w:rsid w:val="00753536"/>
    <w:rsid w:val="00753661"/>
    <w:rsid w:val="007540BA"/>
    <w:rsid w:val="007550CF"/>
    <w:rsid w:val="00755717"/>
    <w:rsid w:val="007568B4"/>
    <w:rsid w:val="00761DE3"/>
    <w:rsid w:val="00763830"/>
    <w:rsid w:val="00771C27"/>
    <w:rsid w:val="00773032"/>
    <w:rsid w:val="0077510C"/>
    <w:rsid w:val="00775217"/>
    <w:rsid w:val="00776D2D"/>
    <w:rsid w:val="007771EB"/>
    <w:rsid w:val="007804BF"/>
    <w:rsid w:val="007816C5"/>
    <w:rsid w:val="007820AC"/>
    <w:rsid w:val="007844E3"/>
    <w:rsid w:val="00784B3F"/>
    <w:rsid w:val="00785EC4"/>
    <w:rsid w:val="00785FF7"/>
    <w:rsid w:val="007860D3"/>
    <w:rsid w:val="0078726A"/>
    <w:rsid w:val="007872A5"/>
    <w:rsid w:val="007908A4"/>
    <w:rsid w:val="00791BCD"/>
    <w:rsid w:val="0079204A"/>
    <w:rsid w:val="0079531C"/>
    <w:rsid w:val="00795353"/>
    <w:rsid w:val="00796D84"/>
    <w:rsid w:val="00796E86"/>
    <w:rsid w:val="00796F34"/>
    <w:rsid w:val="007A2333"/>
    <w:rsid w:val="007A4ABE"/>
    <w:rsid w:val="007A50E2"/>
    <w:rsid w:val="007A5230"/>
    <w:rsid w:val="007A631C"/>
    <w:rsid w:val="007A6436"/>
    <w:rsid w:val="007A6E4E"/>
    <w:rsid w:val="007B002D"/>
    <w:rsid w:val="007B074C"/>
    <w:rsid w:val="007B2F6A"/>
    <w:rsid w:val="007B3A6A"/>
    <w:rsid w:val="007B4AD9"/>
    <w:rsid w:val="007B4C16"/>
    <w:rsid w:val="007B75F4"/>
    <w:rsid w:val="007B7D78"/>
    <w:rsid w:val="007C05B0"/>
    <w:rsid w:val="007C07A0"/>
    <w:rsid w:val="007C1E5B"/>
    <w:rsid w:val="007C34C9"/>
    <w:rsid w:val="007C35EF"/>
    <w:rsid w:val="007C416C"/>
    <w:rsid w:val="007C4237"/>
    <w:rsid w:val="007C59F9"/>
    <w:rsid w:val="007C5D4E"/>
    <w:rsid w:val="007D174A"/>
    <w:rsid w:val="007D2134"/>
    <w:rsid w:val="007E3E73"/>
    <w:rsid w:val="007E5103"/>
    <w:rsid w:val="007E5DCE"/>
    <w:rsid w:val="007E6CD6"/>
    <w:rsid w:val="007F040F"/>
    <w:rsid w:val="007F051E"/>
    <w:rsid w:val="007F0C35"/>
    <w:rsid w:val="007F0E18"/>
    <w:rsid w:val="007F1120"/>
    <w:rsid w:val="007F160C"/>
    <w:rsid w:val="007F162A"/>
    <w:rsid w:val="007F26FA"/>
    <w:rsid w:val="007F2BA4"/>
    <w:rsid w:val="007F2CA6"/>
    <w:rsid w:val="007F3CAD"/>
    <w:rsid w:val="007F4F46"/>
    <w:rsid w:val="007F5641"/>
    <w:rsid w:val="007F6D42"/>
    <w:rsid w:val="007F7F59"/>
    <w:rsid w:val="00801650"/>
    <w:rsid w:val="008018F7"/>
    <w:rsid w:val="00801E90"/>
    <w:rsid w:val="00802EA8"/>
    <w:rsid w:val="00803031"/>
    <w:rsid w:val="00804104"/>
    <w:rsid w:val="00806EAA"/>
    <w:rsid w:val="008079BE"/>
    <w:rsid w:val="008107EA"/>
    <w:rsid w:val="008116F1"/>
    <w:rsid w:val="00814891"/>
    <w:rsid w:val="008148E8"/>
    <w:rsid w:val="008161B4"/>
    <w:rsid w:val="00820716"/>
    <w:rsid w:val="008209C4"/>
    <w:rsid w:val="00821002"/>
    <w:rsid w:val="008215EA"/>
    <w:rsid w:val="00821A7B"/>
    <w:rsid w:val="00822C8E"/>
    <w:rsid w:val="00826E4A"/>
    <w:rsid w:val="008304C5"/>
    <w:rsid w:val="00830673"/>
    <w:rsid w:val="00830C5D"/>
    <w:rsid w:val="00834146"/>
    <w:rsid w:val="00834570"/>
    <w:rsid w:val="008349A4"/>
    <w:rsid w:val="008353EC"/>
    <w:rsid w:val="00837148"/>
    <w:rsid w:val="00837628"/>
    <w:rsid w:val="00840513"/>
    <w:rsid w:val="0084387B"/>
    <w:rsid w:val="00843CAB"/>
    <w:rsid w:val="008441DA"/>
    <w:rsid w:val="00844752"/>
    <w:rsid w:val="00846414"/>
    <w:rsid w:val="00846FBF"/>
    <w:rsid w:val="008500EF"/>
    <w:rsid w:val="0085196F"/>
    <w:rsid w:val="0085211A"/>
    <w:rsid w:val="008521F3"/>
    <w:rsid w:val="00852BAB"/>
    <w:rsid w:val="008550B0"/>
    <w:rsid w:val="0085616D"/>
    <w:rsid w:val="0085791C"/>
    <w:rsid w:val="00864464"/>
    <w:rsid w:val="008652B5"/>
    <w:rsid w:val="00865980"/>
    <w:rsid w:val="00865A4C"/>
    <w:rsid w:val="00870709"/>
    <w:rsid w:val="00870929"/>
    <w:rsid w:val="00870A46"/>
    <w:rsid w:val="008753AE"/>
    <w:rsid w:val="008771CD"/>
    <w:rsid w:val="00881ADA"/>
    <w:rsid w:val="00881DC8"/>
    <w:rsid w:val="008821F0"/>
    <w:rsid w:val="00883B3D"/>
    <w:rsid w:val="008851BA"/>
    <w:rsid w:val="00891780"/>
    <w:rsid w:val="00892700"/>
    <w:rsid w:val="0089372F"/>
    <w:rsid w:val="00893B5C"/>
    <w:rsid w:val="0089434D"/>
    <w:rsid w:val="00894C0B"/>
    <w:rsid w:val="00895E04"/>
    <w:rsid w:val="008963B8"/>
    <w:rsid w:val="00896485"/>
    <w:rsid w:val="00896F61"/>
    <w:rsid w:val="008A08B2"/>
    <w:rsid w:val="008A0DB3"/>
    <w:rsid w:val="008A11CC"/>
    <w:rsid w:val="008A52D3"/>
    <w:rsid w:val="008A5573"/>
    <w:rsid w:val="008A5829"/>
    <w:rsid w:val="008A62C7"/>
    <w:rsid w:val="008A6E4A"/>
    <w:rsid w:val="008A6FC5"/>
    <w:rsid w:val="008A72B8"/>
    <w:rsid w:val="008A75E6"/>
    <w:rsid w:val="008A78F8"/>
    <w:rsid w:val="008B183F"/>
    <w:rsid w:val="008B32AC"/>
    <w:rsid w:val="008B5CE5"/>
    <w:rsid w:val="008B61A1"/>
    <w:rsid w:val="008B6272"/>
    <w:rsid w:val="008B710F"/>
    <w:rsid w:val="008B7DDF"/>
    <w:rsid w:val="008C0580"/>
    <w:rsid w:val="008C19FD"/>
    <w:rsid w:val="008C3603"/>
    <w:rsid w:val="008C6DD5"/>
    <w:rsid w:val="008C6E05"/>
    <w:rsid w:val="008C70B3"/>
    <w:rsid w:val="008C7713"/>
    <w:rsid w:val="008D1020"/>
    <w:rsid w:val="008D2720"/>
    <w:rsid w:val="008D38BB"/>
    <w:rsid w:val="008D3A80"/>
    <w:rsid w:val="008E0C7C"/>
    <w:rsid w:val="008E0D03"/>
    <w:rsid w:val="008E0E49"/>
    <w:rsid w:val="008E1E5F"/>
    <w:rsid w:val="008E2497"/>
    <w:rsid w:val="008E4A8E"/>
    <w:rsid w:val="008E532B"/>
    <w:rsid w:val="008F124D"/>
    <w:rsid w:val="008F1AC3"/>
    <w:rsid w:val="008F2A60"/>
    <w:rsid w:val="008F40A1"/>
    <w:rsid w:val="008F7657"/>
    <w:rsid w:val="00901D89"/>
    <w:rsid w:val="00905F21"/>
    <w:rsid w:val="009064D9"/>
    <w:rsid w:val="0090663F"/>
    <w:rsid w:val="009074AA"/>
    <w:rsid w:val="00907E07"/>
    <w:rsid w:val="00910CB5"/>
    <w:rsid w:val="00911FD3"/>
    <w:rsid w:val="0091311C"/>
    <w:rsid w:val="00914D21"/>
    <w:rsid w:val="00915DD4"/>
    <w:rsid w:val="009163FE"/>
    <w:rsid w:val="00917144"/>
    <w:rsid w:val="00920F40"/>
    <w:rsid w:val="009221DD"/>
    <w:rsid w:val="0092428A"/>
    <w:rsid w:val="00924BD5"/>
    <w:rsid w:val="00930838"/>
    <w:rsid w:val="00931729"/>
    <w:rsid w:val="009344A0"/>
    <w:rsid w:val="00936431"/>
    <w:rsid w:val="00942923"/>
    <w:rsid w:val="00942C3D"/>
    <w:rsid w:val="00942FAA"/>
    <w:rsid w:val="00943739"/>
    <w:rsid w:val="00947BBE"/>
    <w:rsid w:val="009521B0"/>
    <w:rsid w:val="0095362B"/>
    <w:rsid w:val="0096064F"/>
    <w:rsid w:val="0096216E"/>
    <w:rsid w:val="00965D10"/>
    <w:rsid w:val="00965F15"/>
    <w:rsid w:val="009715BB"/>
    <w:rsid w:val="0097268B"/>
    <w:rsid w:val="00972C54"/>
    <w:rsid w:val="00972C60"/>
    <w:rsid w:val="0097342B"/>
    <w:rsid w:val="009739F8"/>
    <w:rsid w:val="00974FA6"/>
    <w:rsid w:val="00976555"/>
    <w:rsid w:val="009766A8"/>
    <w:rsid w:val="00977B70"/>
    <w:rsid w:val="00980442"/>
    <w:rsid w:val="00980B7C"/>
    <w:rsid w:val="00982298"/>
    <w:rsid w:val="00982C8B"/>
    <w:rsid w:val="00982E70"/>
    <w:rsid w:val="00983390"/>
    <w:rsid w:val="00984222"/>
    <w:rsid w:val="009905B4"/>
    <w:rsid w:val="00990AB0"/>
    <w:rsid w:val="0099166D"/>
    <w:rsid w:val="00994899"/>
    <w:rsid w:val="009952C9"/>
    <w:rsid w:val="009956E4"/>
    <w:rsid w:val="00995DD5"/>
    <w:rsid w:val="00996A01"/>
    <w:rsid w:val="00997051"/>
    <w:rsid w:val="009A1B16"/>
    <w:rsid w:val="009A1D88"/>
    <w:rsid w:val="009A2741"/>
    <w:rsid w:val="009A3B99"/>
    <w:rsid w:val="009A4BBB"/>
    <w:rsid w:val="009A6B07"/>
    <w:rsid w:val="009A7E27"/>
    <w:rsid w:val="009B2766"/>
    <w:rsid w:val="009B37E8"/>
    <w:rsid w:val="009B45EB"/>
    <w:rsid w:val="009B5BD0"/>
    <w:rsid w:val="009B6820"/>
    <w:rsid w:val="009B7C5A"/>
    <w:rsid w:val="009C02C6"/>
    <w:rsid w:val="009C201A"/>
    <w:rsid w:val="009C210B"/>
    <w:rsid w:val="009C4DEC"/>
    <w:rsid w:val="009C5F70"/>
    <w:rsid w:val="009C6D4B"/>
    <w:rsid w:val="009D057B"/>
    <w:rsid w:val="009D2CC0"/>
    <w:rsid w:val="009D56DE"/>
    <w:rsid w:val="009D6B16"/>
    <w:rsid w:val="009D7EAF"/>
    <w:rsid w:val="009E10C3"/>
    <w:rsid w:val="009E145F"/>
    <w:rsid w:val="009E1F03"/>
    <w:rsid w:val="009E2BFE"/>
    <w:rsid w:val="009E2E0D"/>
    <w:rsid w:val="009E47F6"/>
    <w:rsid w:val="009E53BB"/>
    <w:rsid w:val="009E5E1E"/>
    <w:rsid w:val="009E7879"/>
    <w:rsid w:val="009F047A"/>
    <w:rsid w:val="009F1F9E"/>
    <w:rsid w:val="009F2D00"/>
    <w:rsid w:val="009F7EF8"/>
    <w:rsid w:val="00A03BA6"/>
    <w:rsid w:val="00A072E0"/>
    <w:rsid w:val="00A104C3"/>
    <w:rsid w:val="00A13042"/>
    <w:rsid w:val="00A149E3"/>
    <w:rsid w:val="00A158EB"/>
    <w:rsid w:val="00A15BF1"/>
    <w:rsid w:val="00A1659E"/>
    <w:rsid w:val="00A23607"/>
    <w:rsid w:val="00A236B2"/>
    <w:rsid w:val="00A237AF"/>
    <w:rsid w:val="00A322C9"/>
    <w:rsid w:val="00A3324A"/>
    <w:rsid w:val="00A3402C"/>
    <w:rsid w:val="00A349E3"/>
    <w:rsid w:val="00A37CAC"/>
    <w:rsid w:val="00A43F36"/>
    <w:rsid w:val="00A447E4"/>
    <w:rsid w:val="00A458EB"/>
    <w:rsid w:val="00A46227"/>
    <w:rsid w:val="00A46594"/>
    <w:rsid w:val="00A47C27"/>
    <w:rsid w:val="00A513EF"/>
    <w:rsid w:val="00A52FF6"/>
    <w:rsid w:val="00A546CB"/>
    <w:rsid w:val="00A54D36"/>
    <w:rsid w:val="00A55A62"/>
    <w:rsid w:val="00A56A1D"/>
    <w:rsid w:val="00A60922"/>
    <w:rsid w:val="00A663EF"/>
    <w:rsid w:val="00A713F9"/>
    <w:rsid w:val="00A71BB7"/>
    <w:rsid w:val="00A71D40"/>
    <w:rsid w:val="00A750B0"/>
    <w:rsid w:val="00A770DA"/>
    <w:rsid w:val="00A81A78"/>
    <w:rsid w:val="00A82E71"/>
    <w:rsid w:val="00A84D88"/>
    <w:rsid w:val="00A86C26"/>
    <w:rsid w:val="00A93F5E"/>
    <w:rsid w:val="00A95D05"/>
    <w:rsid w:val="00A96962"/>
    <w:rsid w:val="00A96DD7"/>
    <w:rsid w:val="00A97C44"/>
    <w:rsid w:val="00A97E44"/>
    <w:rsid w:val="00AA36CA"/>
    <w:rsid w:val="00AA36F6"/>
    <w:rsid w:val="00AA5707"/>
    <w:rsid w:val="00AA7FD6"/>
    <w:rsid w:val="00AB286F"/>
    <w:rsid w:val="00AB28C9"/>
    <w:rsid w:val="00AB4537"/>
    <w:rsid w:val="00AB49E8"/>
    <w:rsid w:val="00AC0DB3"/>
    <w:rsid w:val="00AC27C7"/>
    <w:rsid w:val="00AC3555"/>
    <w:rsid w:val="00AC6650"/>
    <w:rsid w:val="00AC69F3"/>
    <w:rsid w:val="00AC789C"/>
    <w:rsid w:val="00AD0E35"/>
    <w:rsid w:val="00AD66F0"/>
    <w:rsid w:val="00AD6859"/>
    <w:rsid w:val="00AE18CA"/>
    <w:rsid w:val="00AE5443"/>
    <w:rsid w:val="00AE6149"/>
    <w:rsid w:val="00AE6F2D"/>
    <w:rsid w:val="00AF06F0"/>
    <w:rsid w:val="00AF0A21"/>
    <w:rsid w:val="00AF1D47"/>
    <w:rsid w:val="00AF2A3F"/>
    <w:rsid w:val="00AF2B34"/>
    <w:rsid w:val="00AF35B4"/>
    <w:rsid w:val="00AF40BA"/>
    <w:rsid w:val="00AF7C5D"/>
    <w:rsid w:val="00B01BF4"/>
    <w:rsid w:val="00B023C8"/>
    <w:rsid w:val="00B0273A"/>
    <w:rsid w:val="00B06350"/>
    <w:rsid w:val="00B1051B"/>
    <w:rsid w:val="00B11FC2"/>
    <w:rsid w:val="00B129D2"/>
    <w:rsid w:val="00B13889"/>
    <w:rsid w:val="00B142D4"/>
    <w:rsid w:val="00B2105D"/>
    <w:rsid w:val="00B219A9"/>
    <w:rsid w:val="00B23DB8"/>
    <w:rsid w:val="00B24109"/>
    <w:rsid w:val="00B24DE2"/>
    <w:rsid w:val="00B2516B"/>
    <w:rsid w:val="00B25D21"/>
    <w:rsid w:val="00B36DFB"/>
    <w:rsid w:val="00B37CE6"/>
    <w:rsid w:val="00B40EBC"/>
    <w:rsid w:val="00B41B09"/>
    <w:rsid w:val="00B429F3"/>
    <w:rsid w:val="00B436A2"/>
    <w:rsid w:val="00B45663"/>
    <w:rsid w:val="00B463F8"/>
    <w:rsid w:val="00B46DF4"/>
    <w:rsid w:val="00B475D7"/>
    <w:rsid w:val="00B507A2"/>
    <w:rsid w:val="00B50E94"/>
    <w:rsid w:val="00B554E3"/>
    <w:rsid w:val="00B55541"/>
    <w:rsid w:val="00B57D2C"/>
    <w:rsid w:val="00B6167C"/>
    <w:rsid w:val="00B63F90"/>
    <w:rsid w:val="00B65634"/>
    <w:rsid w:val="00B672BD"/>
    <w:rsid w:val="00B70AC2"/>
    <w:rsid w:val="00B719FC"/>
    <w:rsid w:val="00B721DF"/>
    <w:rsid w:val="00B75943"/>
    <w:rsid w:val="00B76199"/>
    <w:rsid w:val="00B761A9"/>
    <w:rsid w:val="00B77C2A"/>
    <w:rsid w:val="00B8305D"/>
    <w:rsid w:val="00B84D79"/>
    <w:rsid w:val="00B87314"/>
    <w:rsid w:val="00B87A7F"/>
    <w:rsid w:val="00B9296C"/>
    <w:rsid w:val="00B96C5A"/>
    <w:rsid w:val="00B975BB"/>
    <w:rsid w:val="00BA0839"/>
    <w:rsid w:val="00BA1BAA"/>
    <w:rsid w:val="00BA2A1E"/>
    <w:rsid w:val="00BA4C6A"/>
    <w:rsid w:val="00BA5DA0"/>
    <w:rsid w:val="00BA7517"/>
    <w:rsid w:val="00BB0DA3"/>
    <w:rsid w:val="00BB4B83"/>
    <w:rsid w:val="00BB64FA"/>
    <w:rsid w:val="00BC03F4"/>
    <w:rsid w:val="00BC31DE"/>
    <w:rsid w:val="00BC3BD2"/>
    <w:rsid w:val="00BC3C9C"/>
    <w:rsid w:val="00BC3CE3"/>
    <w:rsid w:val="00BC44BE"/>
    <w:rsid w:val="00BC4CA9"/>
    <w:rsid w:val="00BC5449"/>
    <w:rsid w:val="00BD0523"/>
    <w:rsid w:val="00BD6550"/>
    <w:rsid w:val="00BD6CE4"/>
    <w:rsid w:val="00BE30B1"/>
    <w:rsid w:val="00BE38A8"/>
    <w:rsid w:val="00BE5BCE"/>
    <w:rsid w:val="00BE78EF"/>
    <w:rsid w:val="00BEAF6C"/>
    <w:rsid w:val="00BF0CE1"/>
    <w:rsid w:val="00BF1210"/>
    <w:rsid w:val="00BF2E6C"/>
    <w:rsid w:val="00BF2E8B"/>
    <w:rsid w:val="00BF3438"/>
    <w:rsid w:val="00BF354C"/>
    <w:rsid w:val="00BF52D8"/>
    <w:rsid w:val="00BF58E4"/>
    <w:rsid w:val="00BF6FA2"/>
    <w:rsid w:val="00BF79AB"/>
    <w:rsid w:val="00C005F8"/>
    <w:rsid w:val="00C02933"/>
    <w:rsid w:val="00C02AD1"/>
    <w:rsid w:val="00C02D38"/>
    <w:rsid w:val="00C02F9C"/>
    <w:rsid w:val="00C03EC7"/>
    <w:rsid w:val="00C05C26"/>
    <w:rsid w:val="00C061C6"/>
    <w:rsid w:val="00C07004"/>
    <w:rsid w:val="00C0789E"/>
    <w:rsid w:val="00C10808"/>
    <w:rsid w:val="00C1099D"/>
    <w:rsid w:val="00C12108"/>
    <w:rsid w:val="00C1239A"/>
    <w:rsid w:val="00C15F52"/>
    <w:rsid w:val="00C26439"/>
    <w:rsid w:val="00C32307"/>
    <w:rsid w:val="00C327A9"/>
    <w:rsid w:val="00C33400"/>
    <w:rsid w:val="00C34E7E"/>
    <w:rsid w:val="00C35219"/>
    <w:rsid w:val="00C37185"/>
    <w:rsid w:val="00C42412"/>
    <w:rsid w:val="00C42629"/>
    <w:rsid w:val="00C44874"/>
    <w:rsid w:val="00C44CB9"/>
    <w:rsid w:val="00C46231"/>
    <w:rsid w:val="00C463F4"/>
    <w:rsid w:val="00C46D05"/>
    <w:rsid w:val="00C46FED"/>
    <w:rsid w:val="00C47F51"/>
    <w:rsid w:val="00C52DA4"/>
    <w:rsid w:val="00C5385D"/>
    <w:rsid w:val="00C541F2"/>
    <w:rsid w:val="00C54A7D"/>
    <w:rsid w:val="00C5780A"/>
    <w:rsid w:val="00C57EFC"/>
    <w:rsid w:val="00C62A81"/>
    <w:rsid w:val="00C64556"/>
    <w:rsid w:val="00C64A19"/>
    <w:rsid w:val="00C64CB2"/>
    <w:rsid w:val="00C7202D"/>
    <w:rsid w:val="00C753A1"/>
    <w:rsid w:val="00C754D2"/>
    <w:rsid w:val="00C766C7"/>
    <w:rsid w:val="00C807E6"/>
    <w:rsid w:val="00C822E3"/>
    <w:rsid w:val="00C87079"/>
    <w:rsid w:val="00C87A1C"/>
    <w:rsid w:val="00C87EBE"/>
    <w:rsid w:val="00C90E1D"/>
    <w:rsid w:val="00C91703"/>
    <w:rsid w:val="00C94F36"/>
    <w:rsid w:val="00C959C4"/>
    <w:rsid w:val="00CA1940"/>
    <w:rsid w:val="00CA486E"/>
    <w:rsid w:val="00CA6BE4"/>
    <w:rsid w:val="00CB011E"/>
    <w:rsid w:val="00CB25DE"/>
    <w:rsid w:val="00CB323A"/>
    <w:rsid w:val="00CB5D13"/>
    <w:rsid w:val="00CB5DB7"/>
    <w:rsid w:val="00CB6688"/>
    <w:rsid w:val="00CB6783"/>
    <w:rsid w:val="00CB6C05"/>
    <w:rsid w:val="00CB6D3C"/>
    <w:rsid w:val="00CB7E7D"/>
    <w:rsid w:val="00CC06F6"/>
    <w:rsid w:val="00CC0A09"/>
    <w:rsid w:val="00CC15CB"/>
    <w:rsid w:val="00CC3C79"/>
    <w:rsid w:val="00CC3CC5"/>
    <w:rsid w:val="00CC4905"/>
    <w:rsid w:val="00CC58B6"/>
    <w:rsid w:val="00CC5917"/>
    <w:rsid w:val="00CD0B7C"/>
    <w:rsid w:val="00CD0BF2"/>
    <w:rsid w:val="00CD103A"/>
    <w:rsid w:val="00CD2C15"/>
    <w:rsid w:val="00CD2F59"/>
    <w:rsid w:val="00CD40DF"/>
    <w:rsid w:val="00CD45F0"/>
    <w:rsid w:val="00CD5AA8"/>
    <w:rsid w:val="00CD6AB7"/>
    <w:rsid w:val="00CD7009"/>
    <w:rsid w:val="00CD70A1"/>
    <w:rsid w:val="00CE13D0"/>
    <w:rsid w:val="00CE14AE"/>
    <w:rsid w:val="00CE1C67"/>
    <w:rsid w:val="00CE76E3"/>
    <w:rsid w:val="00CF0136"/>
    <w:rsid w:val="00CF07FE"/>
    <w:rsid w:val="00CF0C77"/>
    <w:rsid w:val="00CF0E84"/>
    <w:rsid w:val="00CF13B0"/>
    <w:rsid w:val="00CF534C"/>
    <w:rsid w:val="00CF683D"/>
    <w:rsid w:val="00CF7B70"/>
    <w:rsid w:val="00D02D5F"/>
    <w:rsid w:val="00D02EC4"/>
    <w:rsid w:val="00D034CB"/>
    <w:rsid w:val="00D05885"/>
    <w:rsid w:val="00D07B61"/>
    <w:rsid w:val="00D1048E"/>
    <w:rsid w:val="00D11177"/>
    <w:rsid w:val="00D1189B"/>
    <w:rsid w:val="00D12DC8"/>
    <w:rsid w:val="00D142EA"/>
    <w:rsid w:val="00D152C9"/>
    <w:rsid w:val="00D1656C"/>
    <w:rsid w:val="00D16BBB"/>
    <w:rsid w:val="00D171E0"/>
    <w:rsid w:val="00D20822"/>
    <w:rsid w:val="00D2234D"/>
    <w:rsid w:val="00D22521"/>
    <w:rsid w:val="00D22F7D"/>
    <w:rsid w:val="00D244AA"/>
    <w:rsid w:val="00D30E0F"/>
    <w:rsid w:val="00D317A4"/>
    <w:rsid w:val="00D3321E"/>
    <w:rsid w:val="00D3486C"/>
    <w:rsid w:val="00D35F46"/>
    <w:rsid w:val="00D40384"/>
    <w:rsid w:val="00D44234"/>
    <w:rsid w:val="00D452CD"/>
    <w:rsid w:val="00D478EC"/>
    <w:rsid w:val="00D532AA"/>
    <w:rsid w:val="00D54241"/>
    <w:rsid w:val="00D54B2D"/>
    <w:rsid w:val="00D55EA5"/>
    <w:rsid w:val="00D60AAB"/>
    <w:rsid w:val="00D60D97"/>
    <w:rsid w:val="00D6219D"/>
    <w:rsid w:val="00D625B8"/>
    <w:rsid w:val="00D63E30"/>
    <w:rsid w:val="00D64399"/>
    <w:rsid w:val="00D64640"/>
    <w:rsid w:val="00D64854"/>
    <w:rsid w:val="00D671F6"/>
    <w:rsid w:val="00D6722E"/>
    <w:rsid w:val="00D7253D"/>
    <w:rsid w:val="00D729B4"/>
    <w:rsid w:val="00D775D5"/>
    <w:rsid w:val="00D82783"/>
    <w:rsid w:val="00D8305F"/>
    <w:rsid w:val="00D8338D"/>
    <w:rsid w:val="00D90409"/>
    <w:rsid w:val="00D93BF0"/>
    <w:rsid w:val="00D9629D"/>
    <w:rsid w:val="00DA23D0"/>
    <w:rsid w:val="00DA2949"/>
    <w:rsid w:val="00DA31A9"/>
    <w:rsid w:val="00DA5317"/>
    <w:rsid w:val="00DB1431"/>
    <w:rsid w:val="00DB44BA"/>
    <w:rsid w:val="00DB4AEF"/>
    <w:rsid w:val="00DB4EFF"/>
    <w:rsid w:val="00DB6B19"/>
    <w:rsid w:val="00DC051A"/>
    <w:rsid w:val="00DC0E44"/>
    <w:rsid w:val="00DC13D8"/>
    <w:rsid w:val="00DC5248"/>
    <w:rsid w:val="00DC7610"/>
    <w:rsid w:val="00DD1E00"/>
    <w:rsid w:val="00DD3303"/>
    <w:rsid w:val="00DD5C5C"/>
    <w:rsid w:val="00DD64EF"/>
    <w:rsid w:val="00DE1239"/>
    <w:rsid w:val="00DE2C1B"/>
    <w:rsid w:val="00DE3965"/>
    <w:rsid w:val="00DE469B"/>
    <w:rsid w:val="00DE5193"/>
    <w:rsid w:val="00DE5488"/>
    <w:rsid w:val="00DE5EEF"/>
    <w:rsid w:val="00DE761E"/>
    <w:rsid w:val="00DE7B38"/>
    <w:rsid w:val="00DF1160"/>
    <w:rsid w:val="00DF4955"/>
    <w:rsid w:val="00DF5F93"/>
    <w:rsid w:val="00E0093C"/>
    <w:rsid w:val="00E00ED5"/>
    <w:rsid w:val="00E03F32"/>
    <w:rsid w:val="00E05AF5"/>
    <w:rsid w:val="00E05DF8"/>
    <w:rsid w:val="00E061B1"/>
    <w:rsid w:val="00E0697E"/>
    <w:rsid w:val="00E10756"/>
    <w:rsid w:val="00E11368"/>
    <w:rsid w:val="00E1270C"/>
    <w:rsid w:val="00E13181"/>
    <w:rsid w:val="00E14DC0"/>
    <w:rsid w:val="00E168C0"/>
    <w:rsid w:val="00E171D3"/>
    <w:rsid w:val="00E17242"/>
    <w:rsid w:val="00E17D76"/>
    <w:rsid w:val="00E200BF"/>
    <w:rsid w:val="00E22959"/>
    <w:rsid w:val="00E253F4"/>
    <w:rsid w:val="00E26F9C"/>
    <w:rsid w:val="00E31072"/>
    <w:rsid w:val="00E313DB"/>
    <w:rsid w:val="00E32D5F"/>
    <w:rsid w:val="00E33BA8"/>
    <w:rsid w:val="00E350FC"/>
    <w:rsid w:val="00E3596A"/>
    <w:rsid w:val="00E36486"/>
    <w:rsid w:val="00E37479"/>
    <w:rsid w:val="00E44B20"/>
    <w:rsid w:val="00E44C30"/>
    <w:rsid w:val="00E4506C"/>
    <w:rsid w:val="00E46880"/>
    <w:rsid w:val="00E4692E"/>
    <w:rsid w:val="00E4765A"/>
    <w:rsid w:val="00E51123"/>
    <w:rsid w:val="00E51309"/>
    <w:rsid w:val="00E51B62"/>
    <w:rsid w:val="00E539C9"/>
    <w:rsid w:val="00E560DC"/>
    <w:rsid w:val="00E57C08"/>
    <w:rsid w:val="00E62CFC"/>
    <w:rsid w:val="00E65EFB"/>
    <w:rsid w:val="00E6652C"/>
    <w:rsid w:val="00E665E7"/>
    <w:rsid w:val="00E6660F"/>
    <w:rsid w:val="00E66719"/>
    <w:rsid w:val="00E668DF"/>
    <w:rsid w:val="00E67C5C"/>
    <w:rsid w:val="00E70B5F"/>
    <w:rsid w:val="00E7119C"/>
    <w:rsid w:val="00E730BE"/>
    <w:rsid w:val="00E753E7"/>
    <w:rsid w:val="00E75A0F"/>
    <w:rsid w:val="00E76CF9"/>
    <w:rsid w:val="00E83658"/>
    <w:rsid w:val="00E83A03"/>
    <w:rsid w:val="00E848BB"/>
    <w:rsid w:val="00E84A63"/>
    <w:rsid w:val="00E86CC1"/>
    <w:rsid w:val="00E87355"/>
    <w:rsid w:val="00E87C22"/>
    <w:rsid w:val="00E916FF"/>
    <w:rsid w:val="00E91E46"/>
    <w:rsid w:val="00E92820"/>
    <w:rsid w:val="00E93A2D"/>
    <w:rsid w:val="00E9529C"/>
    <w:rsid w:val="00E95942"/>
    <w:rsid w:val="00E959B4"/>
    <w:rsid w:val="00E966E5"/>
    <w:rsid w:val="00EA1779"/>
    <w:rsid w:val="00EA22E4"/>
    <w:rsid w:val="00EA29D9"/>
    <w:rsid w:val="00EA2D04"/>
    <w:rsid w:val="00EA3B50"/>
    <w:rsid w:val="00EA623A"/>
    <w:rsid w:val="00EA7BD0"/>
    <w:rsid w:val="00EB02E2"/>
    <w:rsid w:val="00EB094B"/>
    <w:rsid w:val="00EB269A"/>
    <w:rsid w:val="00EB358F"/>
    <w:rsid w:val="00EB7298"/>
    <w:rsid w:val="00EC21C9"/>
    <w:rsid w:val="00EC656C"/>
    <w:rsid w:val="00ED2F71"/>
    <w:rsid w:val="00ED4BEB"/>
    <w:rsid w:val="00ED5886"/>
    <w:rsid w:val="00ED6C82"/>
    <w:rsid w:val="00EE0998"/>
    <w:rsid w:val="00EE0F3B"/>
    <w:rsid w:val="00EE6B2C"/>
    <w:rsid w:val="00EE719C"/>
    <w:rsid w:val="00EF2A4A"/>
    <w:rsid w:val="00EF33D9"/>
    <w:rsid w:val="00EF4163"/>
    <w:rsid w:val="00EF4F32"/>
    <w:rsid w:val="00EF5289"/>
    <w:rsid w:val="00EF575D"/>
    <w:rsid w:val="00EF5B06"/>
    <w:rsid w:val="00EF6F3D"/>
    <w:rsid w:val="00F004D4"/>
    <w:rsid w:val="00F0359A"/>
    <w:rsid w:val="00F03B0E"/>
    <w:rsid w:val="00F0408D"/>
    <w:rsid w:val="00F04A49"/>
    <w:rsid w:val="00F0604A"/>
    <w:rsid w:val="00F062D4"/>
    <w:rsid w:val="00F062F8"/>
    <w:rsid w:val="00F10B3D"/>
    <w:rsid w:val="00F10CC5"/>
    <w:rsid w:val="00F10E4A"/>
    <w:rsid w:val="00F11263"/>
    <w:rsid w:val="00F1185E"/>
    <w:rsid w:val="00F13DFD"/>
    <w:rsid w:val="00F14662"/>
    <w:rsid w:val="00F15FB6"/>
    <w:rsid w:val="00F17946"/>
    <w:rsid w:val="00F20F69"/>
    <w:rsid w:val="00F22E6A"/>
    <w:rsid w:val="00F25E30"/>
    <w:rsid w:val="00F3154E"/>
    <w:rsid w:val="00F31A8F"/>
    <w:rsid w:val="00F31C40"/>
    <w:rsid w:val="00F322EA"/>
    <w:rsid w:val="00F33283"/>
    <w:rsid w:val="00F3361C"/>
    <w:rsid w:val="00F336F4"/>
    <w:rsid w:val="00F346F0"/>
    <w:rsid w:val="00F37585"/>
    <w:rsid w:val="00F409CF"/>
    <w:rsid w:val="00F415F9"/>
    <w:rsid w:val="00F4544D"/>
    <w:rsid w:val="00F4590D"/>
    <w:rsid w:val="00F47D69"/>
    <w:rsid w:val="00F514A0"/>
    <w:rsid w:val="00F52086"/>
    <w:rsid w:val="00F56CDB"/>
    <w:rsid w:val="00F6094C"/>
    <w:rsid w:val="00F60AD9"/>
    <w:rsid w:val="00F61097"/>
    <w:rsid w:val="00F62494"/>
    <w:rsid w:val="00F62BCF"/>
    <w:rsid w:val="00F63B46"/>
    <w:rsid w:val="00F64A85"/>
    <w:rsid w:val="00F64BA0"/>
    <w:rsid w:val="00F67D5D"/>
    <w:rsid w:val="00F74152"/>
    <w:rsid w:val="00F7630C"/>
    <w:rsid w:val="00F763D7"/>
    <w:rsid w:val="00F76EC3"/>
    <w:rsid w:val="00F80A2D"/>
    <w:rsid w:val="00F817B0"/>
    <w:rsid w:val="00F8313C"/>
    <w:rsid w:val="00F8362B"/>
    <w:rsid w:val="00F83CCB"/>
    <w:rsid w:val="00F851A1"/>
    <w:rsid w:val="00F8585C"/>
    <w:rsid w:val="00F85D6B"/>
    <w:rsid w:val="00F868F4"/>
    <w:rsid w:val="00F877A6"/>
    <w:rsid w:val="00F906EB"/>
    <w:rsid w:val="00F913B1"/>
    <w:rsid w:val="00F918CD"/>
    <w:rsid w:val="00F91C31"/>
    <w:rsid w:val="00F932DF"/>
    <w:rsid w:val="00F962C1"/>
    <w:rsid w:val="00F96929"/>
    <w:rsid w:val="00F96CCC"/>
    <w:rsid w:val="00F96EC5"/>
    <w:rsid w:val="00F97950"/>
    <w:rsid w:val="00FA1638"/>
    <w:rsid w:val="00FA23A6"/>
    <w:rsid w:val="00FA328A"/>
    <w:rsid w:val="00FA5559"/>
    <w:rsid w:val="00FA5ACE"/>
    <w:rsid w:val="00FA602A"/>
    <w:rsid w:val="00FA631B"/>
    <w:rsid w:val="00FA68D5"/>
    <w:rsid w:val="00FA6C26"/>
    <w:rsid w:val="00FA6D14"/>
    <w:rsid w:val="00FB0B7F"/>
    <w:rsid w:val="00FB0E52"/>
    <w:rsid w:val="00FB344C"/>
    <w:rsid w:val="00FB675A"/>
    <w:rsid w:val="00FB6988"/>
    <w:rsid w:val="00FB7135"/>
    <w:rsid w:val="00FC2712"/>
    <w:rsid w:val="00FC2DA9"/>
    <w:rsid w:val="00FC474A"/>
    <w:rsid w:val="00FC478B"/>
    <w:rsid w:val="00FC47CA"/>
    <w:rsid w:val="00FC5BDB"/>
    <w:rsid w:val="00FD2CBD"/>
    <w:rsid w:val="00FD34FA"/>
    <w:rsid w:val="00FD3503"/>
    <w:rsid w:val="00FD366C"/>
    <w:rsid w:val="00FD4EF7"/>
    <w:rsid w:val="00FD4F9E"/>
    <w:rsid w:val="00FD5445"/>
    <w:rsid w:val="00FE3CF2"/>
    <w:rsid w:val="00FE3F8E"/>
    <w:rsid w:val="00FE5241"/>
    <w:rsid w:val="00FF0821"/>
    <w:rsid w:val="00FF105C"/>
    <w:rsid w:val="00FF341F"/>
    <w:rsid w:val="00FF40A5"/>
    <w:rsid w:val="00FF4ED9"/>
    <w:rsid w:val="00FF6BC1"/>
    <w:rsid w:val="00FF6DCB"/>
    <w:rsid w:val="00FF7066"/>
    <w:rsid w:val="01BEA8E8"/>
    <w:rsid w:val="01BF94C2"/>
    <w:rsid w:val="01FB748D"/>
    <w:rsid w:val="02756AEB"/>
    <w:rsid w:val="02CAD083"/>
    <w:rsid w:val="038BAD01"/>
    <w:rsid w:val="03BD2760"/>
    <w:rsid w:val="04C0B2FA"/>
    <w:rsid w:val="053526FA"/>
    <w:rsid w:val="054CFFA1"/>
    <w:rsid w:val="063B5BEC"/>
    <w:rsid w:val="06C6E252"/>
    <w:rsid w:val="07084F10"/>
    <w:rsid w:val="075AFB38"/>
    <w:rsid w:val="07A84BCF"/>
    <w:rsid w:val="07CB90BC"/>
    <w:rsid w:val="0809316D"/>
    <w:rsid w:val="089EA4A4"/>
    <w:rsid w:val="08C634CE"/>
    <w:rsid w:val="091E4EF7"/>
    <w:rsid w:val="092C05C1"/>
    <w:rsid w:val="092E8340"/>
    <w:rsid w:val="0936471C"/>
    <w:rsid w:val="0980F72C"/>
    <w:rsid w:val="09826C9D"/>
    <w:rsid w:val="09EA208F"/>
    <w:rsid w:val="0AA5E2CE"/>
    <w:rsid w:val="0ABB974D"/>
    <w:rsid w:val="0ABF7236"/>
    <w:rsid w:val="0AD67E21"/>
    <w:rsid w:val="0B0652FB"/>
    <w:rsid w:val="0B4737F9"/>
    <w:rsid w:val="0B7E9AF5"/>
    <w:rsid w:val="0B928CAF"/>
    <w:rsid w:val="0BC4B80F"/>
    <w:rsid w:val="0C257783"/>
    <w:rsid w:val="0C5CC951"/>
    <w:rsid w:val="0C896844"/>
    <w:rsid w:val="0C9B976D"/>
    <w:rsid w:val="0D14F809"/>
    <w:rsid w:val="0D15674F"/>
    <w:rsid w:val="0D468A0A"/>
    <w:rsid w:val="0DD00938"/>
    <w:rsid w:val="0DEAA313"/>
    <w:rsid w:val="0ED73EC8"/>
    <w:rsid w:val="0EE122AA"/>
    <w:rsid w:val="0F258D56"/>
    <w:rsid w:val="0F553571"/>
    <w:rsid w:val="0F7A1767"/>
    <w:rsid w:val="0F7C6130"/>
    <w:rsid w:val="0FD9B56A"/>
    <w:rsid w:val="103A63AA"/>
    <w:rsid w:val="1076CD73"/>
    <w:rsid w:val="10B6060B"/>
    <w:rsid w:val="1108B4CE"/>
    <w:rsid w:val="1127AC65"/>
    <w:rsid w:val="11682A19"/>
    <w:rsid w:val="11C8B70C"/>
    <w:rsid w:val="125569C2"/>
    <w:rsid w:val="1259C340"/>
    <w:rsid w:val="12625354"/>
    <w:rsid w:val="1293AB02"/>
    <w:rsid w:val="129EE9BB"/>
    <w:rsid w:val="12E88486"/>
    <w:rsid w:val="130D660D"/>
    <w:rsid w:val="13705431"/>
    <w:rsid w:val="137EB1F2"/>
    <w:rsid w:val="13993A79"/>
    <w:rsid w:val="13A3A014"/>
    <w:rsid w:val="13D838DD"/>
    <w:rsid w:val="13EDF3A6"/>
    <w:rsid w:val="13EF50D3"/>
    <w:rsid w:val="1439BD55"/>
    <w:rsid w:val="14FA410A"/>
    <w:rsid w:val="15030BC2"/>
    <w:rsid w:val="1545C2BB"/>
    <w:rsid w:val="157DB617"/>
    <w:rsid w:val="1597A46E"/>
    <w:rsid w:val="15C5D5E3"/>
    <w:rsid w:val="16330747"/>
    <w:rsid w:val="16738B03"/>
    <w:rsid w:val="170FDD14"/>
    <w:rsid w:val="1741C94A"/>
    <w:rsid w:val="177B87C4"/>
    <w:rsid w:val="17D010BD"/>
    <w:rsid w:val="18379B1B"/>
    <w:rsid w:val="183E2547"/>
    <w:rsid w:val="184DB135"/>
    <w:rsid w:val="1900D243"/>
    <w:rsid w:val="199D60CE"/>
    <w:rsid w:val="19A8ECF8"/>
    <w:rsid w:val="19FEA4E4"/>
    <w:rsid w:val="1A12532F"/>
    <w:rsid w:val="1AB2A5EE"/>
    <w:rsid w:val="1AD46293"/>
    <w:rsid w:val="1B7ED6B1"/>
    <w:rsid w:val="1B9EB56E"/>
    <w:rsid w:val="1BA4BCB9"/>
    <w:rsid w:val="1BCC3C9E"/>
    <w:rsid w:val="1C34C7B7"/>
    <w:rsid w:val="1CC0A3DD"/>
    <w:rsid w:val="1CC22A86"/>
    <w:rsid w:val="1D60575A"/>
    <w:rsid w:val="1D974AC9"/>
    <w:rsid w:val="1E02A0ED"/>
    <w:rsid w:val="1E1A9365"/>
    <w:rsid w:val="1E1E516D"/>
    <w:rsid w:val="1E1EF3BA"/>
    <w:rsid w:val="1EDF17C0"/>
    <w:rsid w:val="1EF0AF9F"/>
    <w:rsid w:val="1EF5272B"/>
    <w:rsid w:val="1F178525"/>
    <w:rsid w:val="1FB09597"/>
    <w:rsid w:val="1FC3335C"/>
    <w:rsid w:val="1FDF346D"/>
    <w:rsid w:val="1FEBE18F"/>
    <w:rsid w:val="2049E9FE"/>
    <w:rsid w:val="204F211F"/>
    <w:rsid w:val="20B57EA7"/>
    <w:rsid w:val="21017D78"/>
    <w:rsid w:val="210633A5"/>
    <w:rsid w:val="21079430"/>
    <w:rsid w:val="2128078F"/>
    <w:rsid w:val="2185EBD9"/>
    <w:rsid w:val="21A3184C"/>
    <w:rsid w:val="222DD959"/>
    <w:rsid w:val="223376C9"/>
    <w:rsid w:val="226121C4"/>
    <w:rsid w:val="2298E451"/>
    <w:rsid w:val="22E7A605"/>
    <w:rsid w:val="231970CA"/>
    <w:rsid w:val="231C5CAC"/>
    <w:rsid w:val="231F6E80"/>
    <w:rsid w:val="232E999B"/>
    <w:rsid w:val="237390D2"/>
    <w:rsid w:val="23878F0C"/>
    <w:rsid w:val="23900BB6"/>
    <w:rsid w:val="2395D482"/>
    <w:rsid w:val="246C391B"/>
    <w:rsid w:val="24712CF9"/>
    <w:rsid w:val="247FEECD"/>
    <w:rsid w:val="24B1886E"/>
    <w:rsid w:val="25BAE459"/>
    <w:rsid w:val="262B1CCD"/>
    <w:rsid w:val="269D28E6"/>
    <w:rsid w:val="26ADFD19"/>
    <w:rsid w:val="26C7E5E4"/>
    <w:rsid w:val="28523715"/>
    <w:rsid w:val="2855F7B5"/>
    <w:rsid w:val="28848F7A"/>
    <w:rsid w:val="29151131"/>
    <w:rsid w:val="296B8A77"/>
    <w:rsid w:val="29D9CB3A"/>
    <w:rsid w:val="2A0D6007"/>
    <w:rsid w:val="2A28C508"/>
    <w:rsid w:val="2A84AF38"/>
    <w:rsid w:val="2ABE0DB2"/>
    <w:rsid w:val="2AFAE454"/>
    <w:rsid w:val="2BDF2A42"/>
    <w:rsid w:val="2BF31A87"/>
    <w:rsid w:val="2C7835F2"/>
    <w:rsid w:val="2CAD09B3"/>
    <w:rsid w:val="2D07F9F1"/>
    <w:rsid w:val="2D877E0D"/>
    <w:rsid w:val="2E1596F9"/>
    <w:rsid w:val="2E6C7FA4"/>
    <w:rsid w:val="2E850082"/>
    <w:rsid w:val="3061DACE"/>
    <w:rsid w:val="30A7654C"/>
    <w:rsid w:val="30DC6D67"/>
    <w:rsid w:val="31579637"/>
    <w:rsid w:val="31D74F58"/>
    <w:rsid w:val="3279C675"/>
    <w:rsid w:val="33197C2D"/>
    <w:rsid w:val="334F1902"/>
    <w:rsid w:val="337D3278"/>
    <w:rsid w:val="34176452"/>
    <w:rsid w:val="341DA2C0"/>
    <w:rsid w:val="342C6D10"/>
    <w:rsid w:val="34783504"/>
    <w:rsid w:val="349653E2"/>
    <w:rsid w:val="34BF0F22"/>
    <w:rsid w:val="352E27E3"/>
    <w:rsid w:val="3539BD76"/>
    <w:rsid w:val="3574A67A"/>
    <w:rsid w:val="35EBB4B2"/>
    <w:rsid w:val="360ACDED"/>
    <w:rsid w:val="3636D356"/>
    <w:rsid w:val="374B3044"/>
    <w:rsid w:val="3788E5E5"/>
    <w:rsid w:val="37A3AB6E"/>
    <w:rsid w:val="37FE6D64"/>
    <w:rsid w:val="380AD21A"/>
    <w:rsid w:val="3867DABD"/>
    <w:rsid w:val="38F7AD63"/>
    <w:rsid w:val="3AEBF24B"/>
    <w:rsid w:val="3B674E6C"/>
    <w:rsid w:val="3BA2997B"/>
    <w:rsid w:val="3BA3AAE3"/>
    <w:rsid w:val="3C003C9D"/>
    <w:rsid w:val="3C23E425"/>
    <w:rsid w:val="3C80B29C"/>
    <w:rsid w:val="3CB73B8D"/>
    <w:rsid w:val="3D63BCA6"/>
    <w:rsid w:val="3DD32D60"/>
    <w:rsid w:val="3E2DE2CB"/>
    <w:rsid w:val="3E88586D"/>
    <w:rsid w:val="3EC77415"/>
    <w:rsid w:val="3ED78FB9"/>
    <w:rsid w:val="3F27A10A"/>
    <w:rsid w:val="3F822FC2"/>
    <w:rsid w:val="3FB7D33D"/>
    <w:rsid w:val="3FD69403"/>
    <w:rsid w:val="409105F8"/>
    <w:rsid w:val="4116F804"/>
    <w:rsid w:val="415FC425"/>
    <w:rsid w:val="41ED5F19"/>
    <w:rsid w:val="420BDF71"/>
    <w:rsid w:val="4223C201"/>
    <w:rsid w:val="426CD5AF"/>
    <w:rsid w:val="43120618"/>
    <w:rsid w:val="432E5DCF"/>
    <w:rsid w:val="43A04693"/>
    <w:rsid w:val="43FACB0A"/>
    <w:rsid w:val="4453AF99"/>
    <w:rsid w:val="44701B9F"/>
    <w:rsid w:val="44716747"/>
    <w:rsid w:val="44AD42F9"/>
    <w:rsid w:val="44B1BE3E"/>
    <w:rsid w:val="44D835D3"/>
    <w:rsid w:val="44DE233B"/>
    <w:rsid w:val="450C284D"/>
    <w:rsid w:val="45440099"/>
    <w:rsid w:val="457B398F"/>
    <w:rsid w:val="45B74E94"/>
    <w:rsid w:val="45BF2682"/>
    <w:rsid w:val="45C34EF7"/>
    <w:rsid w:val="462FB7AC"/>
    <w:rsid w:val="464E4BD5"/>
    <w:rsid w:val="4726BE85"/>
    <w:rsid w:val="478C4E6E"/>
    <w:rsid w:val="47A90F3D"/>
    <w:rsid w:val="47E823F1"/>
    <w:rsid w:val="4824F3C8"/>
    <w:rsid w:val="4835C97B"/>
    <w:rsid w:val="4853BF6A"/>
    <w:rsid w:val="4867DFAC"/>
    <w:rsid w:val="48CC0ABF"/>
    <w:rsid w:val="4930714F"/>
    <w:rsid w:val="49571750"/>
    <w:rsid w:val="499BE696"/>
    <w:rsid w:val="49DF9891"/>
    <w:rsid w:val="49F86EE7"/>
    <w:rsid w:val="4A26177E"/>
    <w:rsid w:val="4AB762BE"/>
    <w:rsid w:val="4AC0E080"/>
    <w:rsid w:val="4AFB6ED5"/>
    <w:rsid w:val="4B51C39D"/>
    <w:rsid w:val="4C053DBF"/>
    <w:rsid w:val="4C393038"/>
    <w:rsid w:val="4C7D24BF"/>
    <w:rsid w:val="4CB9F100"/>
    <w:rsid w:val="4D17DF43"/>
    <w:rsid w:val="4D2AC001"/>
    <w:rsid w:val="4D360CDD"/>
    <w:rsid w:val="4DA733F9"/>
    <w:rsid w:val="4E190680"/>
    <w:rsid w:val="4E31D056"/>
    <w:rsid w:val="4E4FCA20"/>
    <w:rsid w:val="4EBA341D"/>
    <w:rsid w:val="4F16E898"/>
    <w:rsid w:val="4F265B5A"/>
    <w:rsid w:val="4FB16625"/>
    <w:rsid w:val="4FFFBF46"/>
    <w:rsid w:val="5014EFBA"/>
    <w:rsid w:val="50603EB9"/>
    <w:rsid w:val="5070EDAC"/>
    <w:rsid w:val="50C21E57"/>
    <w:rsid w:val="50E03CCD"/>
    <w:rsid w:val="50EF02BF"/>
    <w:rsid w:val="51096DBB"/>
    <w:rsid w:val="5144A9C8"/>
    <w:rsid w:val="51A98DFD"/>
    <w:rsid w:val="51B9EE46"/>
    <w:rsid w:val="51D39295"/>
    <w:rsid w:val="522F3120"/>
    <w:rsid w:val="523169B2"/>
    <w:rsid w:val="52971D9E"/>
    <w:rsid w:val="53001276"/>
    <w:rsid w:val="53209C28"/>
    <w:rsid w:val="534DBDD2"/>
    <w:rsid w:val="53E73A79"/>
    <w:rsid w:val="54538DA0"/>
    <w:rsid w:val="545FB851"/>
    <w:rsid w:val="5498A209"/>
    <w:rsid w:val="54ADAB46"/>
    <w:rsid w:val="54DD98F0"/>
    <w:rsid w:val="55791D9C"/>
    <w:rsid w:val="5587018F"/>
    <w:rsid w:val="559D523B"/>
    <w:rsid w:val="55AD52AC"/>
    <w:rsid w:val="55B46FF3"/>
    <w:rsid w:val="55EAE69F"/>
    <w:rsid w:val="56285C96"/>
    <w:rsid w:val="56672B95"/>
    <w:rsid w:val="566DDC67"/>
    <w:rsid w:val="56799438"/>
    <w:rsid w:val="567A55EA"/>
    <w:rsid w:val="568E0400"/>
    <w:rsid w:val="56CC79B5"/>
    <w:rsid w:val="572A082A"/>
    <w:rsid w:val="573F0F7F"/>
    <w:rsid w:val="5742CBA1"/>
    <w:rsid w:val="5765DB83"/>
    <w:rsid w:val="57B1B720"/>
    <w:rsid w:val="57BDC4BB"/>
    <w:rsid w:val="57C1FE0B"/>
    <w:rsid w:val="57DF28BA"/>
    <w:rsid w:val="583411F4"/>
    <w:rsid w:val="5909863C"/>
    <w:rsid w:val="599E1FF0"/>
    <w:rsid w:val="59C9B088"/>
    <w:rsid w:val="59FEA3D9"/>
    <w:rsid w:val="5AACF648"/>
    <w:rsid w:val="5AC27689"/>
    <w:rsid w:val="5BB64F00"/>
    <w:rsid w:val="5BC54B4F"/>
    <w:rsid w:val="5BC572CB"/>
    <w:rsid w:val="5BCC79D2"/>
    <w:rsid w:val="5C5F6C11"/>
    <w:rsid w:val="5C90AEEF"/>
    <w:rsid w:val="5C95E04C"/>
    <w:rsid w:val="5D047B12"/>
    <w:rsid w:val="5D15F2DB"/>
    <w:rsid w:val="5D6E1148"/>
    <w:rsid w:val="5D9F22C2"/>
    <w:rsid w:val="5DE9373F"/>
    <w:rsid w:val="5DFED91B"/>
    <w:rsid w:val="5E367EDC"/>
    <w:rsid w:val="5E4AFBD0"/>
    <w:rsid w:val="5E8C13F5"/>
    <w:rsid w:val="5EB34E0F"/>
    <w:rsid w:val="5ECB5161"/>
    <w:rsid w:val="5EDE00AF"/>
    <w:rsid w:val="5F038566"/>
    <w:rsid w:val="5F82D00D"/>
    <w:rsid w:val="5F892E70"/>
    <w:rsid w:val="5F9AF3D9"/>
    <w:rsid w:val="5FA2AA78"/>
    <w:rsid w:val="5FD6C752"/>
    <w:rsid w:val="60035101"/>
    <w:rsid w:val="606AF219"/>
    <w:rsid w:val="60897B8A"/>
    <w:rsid w:val="60AEB9D3"/>
    <w:rsid w:val="61061077"/>
    <w:rsid w:val="615A4E18"/>
    <w:rsid w:val="616D6D5B"/>
    <w:rsid w:val="61944247"/>
    <w:rsid w:val="61989E17"/>
    <w:rsid w:val="61E6466C"/>
    <w:rsid w:val="6252A2B6"/>
    <w:rsid w:val="6274E3A3"/>
    <w:rsid w:val="63120FE1"/>
    <w:rsid w:val="6333B599"/>
    <w:rsid w:val="63C99337"/>
    <w:rsid w:val="63F88BBA"/>
    <w:rsid w:val="63FE4FE5"/>
    <w:rsid w:val="6407F11B"/>
    <w:rsid w:val="645C5C3B"/>
    <w:rsid w:val="64759EBA"/>
    <w:rsid w:val="64A6AAEC"/>
    <w:rsid w:val="64BCE22D"/>
    <w:rsid w:val="659A6AE2"/>
    <w:rsid w:val="66205DA6"/>
    <w:rsid w:val="66579D90"/>
    <w:rsid w:val="667012F4"/>
    <w:rsid w:val="66B1D888"/>
    <w:rsid w:val="66E8D85D"/>
    <w:rsid w:val="6725CD9F"/>
    <w:rsid w:val="6758D175"/>
    <w:rsid w:val="682F92CC"/>
    <w:rsid w:val="686B7443"/>
    <w:rsid w:val="69186447"/>
    <w:rsid w:val="6963DBFA"/>
    <w:rsid w:val="69666227"/>
    <w:rsid w:val="69DC0693"/>
    <w:rsid w:val="6AB84F05"/>
    <w:rsid w:val="6ABE6A21"/>
    <w:rsid w:val="6AF0220B"/>
    <w:rsid w:val="6B1579DD"/>
    <w:rsid w:val="6B408C81"/>
    <w:rsid w:val="6BA497C1"/>
    <w:rsid w:val="6BB99E1C"/>
    <w:rsid w:val="6BE7A63F"/>
    <w:rsid w:val="6C1D9348"/>
    <w:rsid w:val="6C8DD944"/>
    <w:rsid w:val="6CA31CA8"/>
    <w:rsid w:val="6D464BAE"/>
    <w:rsid w:val="6D8D468B"/>
    <w:rsid w:val="6D8ED55F"/>
    <w:rsid w:val="6E72E0C4"/>
    <w:rsid w:val="6E798587"/>
    <w:rsid w:val="6F5DBBB6"/>
    <w:rsid w:val="6FAC6514"/>
    <w:rsid w:val="70904B4E"/>
    <w:rsid w:val="7154BFCC"/>
    <w:rsid w:val="716038B5"/>
    <w:rsid w:val="71627F1C"/>
    <w:rsid w:val="71E27ACC"/>
    <w:rsid w:val="720131C6"/>
    <w:rsid w:val="721286D1"/>
    <w:rsid w:val="7242AFAC"/>
    <w:rsid w:val="725C0EA3"/>
    <w:rsid w:val="7268E6B6"/>
    <w:rsid w:val="72AB00DA"/>
    <w:rsid w:val="72FA4A51"/>
    <w:rsid w:val="73592A6E"/>
    <w:rsid w:val="73C2D862"/>
    <w:rsid w:val="741A20C2"/>
    <w:rsid w:val="7488C5A6"/>
    <w:rsid w:val="74A0F095"/>
    <w:rsid w:val="74B27458"/>
    <w:rsid w:val="74F42362"/>
    <w:rsid w:val="75280A4A"/>
    <w:rsid w:val="756504BE"/>
    <w:rsid w:val="756E917F"/>
    <w:rsid w:val="75E53AD5"/>
    <w:rsid w:val="75E6B625"/>
    <w:rsid w:val="7734E12C"/>
    <w:rsid w:val="776DB6B2"/>
    <w:rsid w:val="779F4701"/>
    <w:rsid w:val="77A622E4"/>
    <w:rsid w:val="781F9E30"/>
    <w:rsid w:val="78B6EE37"/>
    <w:rsid w:val="78C00E25"/>
    <w:rsid w:val="79310720"/>
    <w:rsid w:val="795AC288"/>
    <w:rsid w:val="7982FF6C"/>
    <w:rsid w:val="79E12D4D"/>
    <w:rsid w:val="7A734DC1"/>
    <w:rsid w:val="7ACF6D60"/>
    <w:rsid w:val="7AE970B1"/>
    <w:rsid w:val="7AF18D5D"/>
    <w:rsid w:val="7B33FFE5"/>
    <w:rsid w:val="7B3658EF"/>
    <w:rsid w:val="7B5F3AC4"/>
    <w:rsid w:val="7C297BF1"/>
    <w:rsid w:val="7C8E7BC3"/>
    <w:rsid w:val="7C8EBBB2"/>
    <w:rsid w:val="7C9F0CFF"/>
    <w:rsid w:val="7CE461FB"/>
    <w:rsid w:val="7CF4A1CC"/>
    <w:rsid w:val="7D79783F"/>
    <w:rsid w:val="7D9025B3"/>
    <w:rsid w:val="7EA71BE2"/>
    <w:rsid w:val="7EBF5236"/>
    <w:rsid w:val="7F2F6CC9"/>
    <w:rsid w:val="7F79EE9D"/>
    <w:rsid w:val="7F8A0390"/>
    <w:rsid w:val="7F947539"/>
    <w:rsid w:val="7FAF3A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AB33"/>
  <w15:chartTrackingRefBased/>
  <w15:docId w15:val="{2E1BCDE3-6A4F-4B4D-8C4D-925FFD15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4F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4146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4146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414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4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4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4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4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4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4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46B"/>
    <w:rPr>
      <w:rFonts w:eastAsiaTheme="majorEastAsia" w:cstheme="majorBidi"/>
      <w:color w:val="272727" w:themeColor="text1" w:themeTint="D8"/>
    </w:rPr>
  </w:style>
  <w:style w:type="paragraph" w:styleId="Title">
    <w:name w:val="Title"/>
    <w:basedOn w:val="Normal"/>
    <w:next w:val="Normal"/>
    <w:link w:val="TitleChar"/>
    <w:uiPriority w:val="10"/>
    <w:qFormat/>
    <w:rsid w:val="0034146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1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46B"/>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1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46B"/>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4146B"/>
    <w:rPr>
      <w:i/>
      <w:iCs/>
      <w:color w:val="404040" w:themeColor="text1" w:themeTint="BF"/>
    </w:rPr>
  </w:style>
  <w:style w:type="paragraph" w:styleId="ListParagraph">
    <w:name w:val="List Paragraph"/>
    <w:basedOn w:val="Normal"/>
    <w:uiPriority w:val="34"/>
    <w:qFormat/>
    <w:rsid w:val="0034146B"/>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4146B"/>
    <w:rPr>
      <w:i/>
      <w:iCs/>
      <w:color w:val="0F4761" w:themeColor="accent1" w:themeShade="BF"/>
    </w:rPr>
  </w:style>
  <w:style w:type="paragraph" w:styleId="IntenseQuote">
    <w:name w:val="Intense Quote"/>
    <w:basedOn w:val="Normal"/>
    <w:next w:val="Normal"/>
    <w:link w:val="IntenseQuoteChar"/>
    <w:uiPriority w:val="30"/>
    <w:qFormat/>
    <w:rsid w:val="0034146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4146B"/>
    <w:rPr>
      <w:i/>
      <w:iCs/>
      <w:color w:val="0F4761" w:themeColor="accent1" w:themeShade="BF"/>
    </w:rPr>
  </w:style>
  <w:style w:type="character" w:styleId="IntenseReference">
    <w:name w:val="Intense Reference"/>
    <w:basedOn w:val="DefaultParagraphFont"/>
    <w:uiPriority w:val="32"/>
    <w:qFormat/>
    <w:rsid w:val="0034146B"/>
    <w:rPr>
      <w:b/>
      <w:bCs/>
      <w:smallCaps/>
      <w:color w:val="0F4761" w:themeColor="accent1" w:themeShade="BF"/>
      <w:spacing w:val="5"/>
    </w:rPr>
  </w:style>
  <w:style w:type="paragraph" w:styleId="Bibliography">
    <w:name w:val="Bibliography"/>
    <w:basedOn w:val="Normal"/>
    <w:next w:val="Normal"/>
    <w:uiPriority w:val="37"/>
    <w:unhideWhenUsed/>
    <w:rsid w:val="00406F1F"/>
    <w:pPr>
      <w:tabs>
        <w:tab w:val="left" w:pos="260"/>
      </w:tabs>
      <w:spacing w:after="240"/>
      <w:ind w:left="264" w:hanging="264"/>
    </w:pPr>
    <w:rPr>
      <w:rFonts w:asciiTheme="minorHAnsi" w:eastAsiaTheme="minorHAnsi" w:hAnsiTheme="minorHAnsi" w:cstheme="minorBidi"/>
      <w:kern w:val="2"/>
      <w14:ligatures w14:val="standardContextual"/>
    </w:rPr>
  </w:style>
  <w:style w:type="paragraph" w:styleId="Header">
    <w:name w:val="header"/>
    <w:basedOn w:val="Normal"/>
    <w:link w:val="HeaderChar"/>
    <w:uiPriority w:val="99"/>
    <w:unhideWhenUsed/>
    <w:rsid w:val="001D3734"/>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1D3734"/>
  </w:style>
  <w:style w:type="paragraph" w:styleId="Footer">
    <w:name w:val="footer"/>
    <w:basedOn w:val="Normal"/>
    <w:link w:val="FooterChar"/>
    <w:uiPriority w:val="99"/>
    <w:unhideWhenUsed/>
    <w:rsid w:val="001D3734"/>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1D3734"/>
  </w:style>
  <w:style w:type="paragraph" w:styleId="Revision">
    <w:name w:val="Revision"/>
    <w:hidden/>
    <w:uiPriority w:val="99"/>
    <w:semiHidden/>
    <w:rsid w:val="00DB4AEF"/>
  </w:style>
  <w:style w:type="character" w:styleId="CommentReference">
    <w:name w:val="annotation reference"/>
    <w:basedOn w:val="DefaultParagraphFont"/>
    <w:uiPriority w:val="99"/>
    <w:semiHidden/>
    <w:unhideWhenUsed/>
    <w:rsid w:val="00AD66F0"/>
    <w:rPr>
      <w:sz w:val="16"/>
      <w:szCs w:val="16"/>
    </w:rPr>
  </w:style>
  <w:style w:type="paragraph" w:styleId="CommentText">
    <w:name w:val="annotation text"/>
    <w:basedOn w:val="Normal"/>
    <w:link w:val="CommentTextChar"/>
    <w:uiPriority w:val="99"/>
    <w:unhideWhenUsed/>
    <w:rsid w:val="00AD66F0"/>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AD66F0"/>
    <w:rPr>
      <w:sz w:val="20"/>
      <w:szCs w:val="20"/>
    </w:rPr>
  </w:style>
  <w:style w:type="paragraph" w:styleId="CommentSubject">
    <w:name w:val="annotation subject"/>
    <w:basedOn w:val="CommentText"/>
    <w:next w:val="CommentText"/>
    <w:link w:val="CommentSubjectChar"/>
    <w:uiPriority w:val="99"/>
    <w:semiHidden/>
    <w:unhideWhenUsed/>
    <w:rsid w:val="00AD66F0"/>
    <w:rPr>
      <w:b/>
      <w:bCs/>
    </w:rPr>
  </w:style>
  <w:style w:type="character" w:customStyle="1" w:styleId="CommentSubjectChar">
    <w:name w:val="Comment Subject Char"/>
    <w:basedOn w:val="CommentTextChar"/>
    <w:link w:val="CommentSubject"/>
    <w:uiPriority w:val="99"/>
    <w:semiHidden/>
    <w:rsid w:val="00AD66F0"/>
    <w:rPr>
      <w:b/>
      <w:bCs/>
      <w:sz w:val="20"/>
      <w:szCs w:val="20"/>
    </w:rPr>
  </w:style>
  <w:style w:type="table" w:styleId="TableGrid">
    <w:name w:val="Table Grid"/>
    <w:basedOn w:val="TableNormal"/>
    <w:uiPriority w:val="39"/>
    <w:rsid w:val="00FB4123"/>
    <w:tblPr/>
  </w:style>
  <w:style w:type="character" w:styleId="Hyperlink">
    <w:name w:val="Hyperlink"/>
    <w:basedOn w:val="DefaultParagraphFont"/>
    <w:uiPriority w:val="99"/>
    <w:semiHidden/>
    <w:unhideWhenUsed/>
    <w:rsid w:val="007536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740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erepo.usm.my/handle/123456789/19543"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20</Pages>
  <Words>20340</Words>
  <Characters>115944</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A. Y. CHER</dc:creator>
  <cp:keywords/>
  <dc:description/>
  <cp:lastModifiedBy>Benjamin Cher</cp:lastModifiedBy>
  <cp:revision>13</cp:revision>
  <cp:lastPrinted>2025-05-27T15:45:00Z</cp:lastPrinted>
  <dcterms:created xsi:type="dcterms:W3CDTF">2025-11-13T13:56:00Z</dcterms:created>
  <dcterms:modified xsi:type="dcterms:W3CDTF">2026-07-13T14:47:00Z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id="B2nggsMm"/&gt;&lt;style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