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6DB" w:rsidRPr="00F143EA" w:rsidRDefault="002536DB" w:rsidP="002536DB">
      <w:pPr>
        <w:tabs>
          <w:tab w:val="left" w:pos="380"/>
          <w:tab w:val="left" w:pos="500"/>
        </w:tabs>
        <w:spacing w:line="300" w:lineRule="auto"/>
        <w:rPr>
          <w:b/>
          <w:bCs/>
        </w:rPr>
      </w:pPr>
    </w:p>
    <w:p w:rsidR="002536DB" w:rsidRPr="00F143EA" w:rsidRDefault="002536DB" w:rsidP="002536DB">
      <w:pPr>
        <w:tabs>
          <w:tab w:val="left" w:pos="380"/>
          <w:tab w:val="left" w:pos="500"/>
        </w:tabs>
        <w:spacing w:line="300" w:lineRule="auto"/>
        <w:ind w:left="720"/>
        <w:rPr>
          <w:b/>
          <w:bCs/>
        </w:rPr>
      </w:pPr>
      <w:r w:rsidRPr="00F143EA">
        <w:rPr>
          <w:b/>
          <w:bCs/>
        </w:rPr>
        <w:t>Supplementary Information</w:t>
      </w:r>
    </w:p>
    <w:p w:rsidR="002536DB" w:rsidRPr="00F143EA" w:rsidRDefault="002536DB" w:rsidP="002536DB">
      <w:pPr>
        <w:tabs>
          <w:tab w:val="left" w:pos="380"/>
          <w:tab w:val="left" w:pos="500"/>
        </w:tabs>
        <w:spacing w:line="300" w:lineRule="auto"/>
        <w:ind w:left="720"/>
        <w:rPr>
          <w:b/>
          <w:bCs/>
        </w:rPr>
      </w:pPr>
    </w:p>
    <w:p w:rsidR="002536DB" w:rsidRPr="00F143EA" w:rsidRDefault="002536DB" w:rsidP="002536DB">
      <w:pPr>
        <w:tabs>
          <w:tab w:val="left" w:pos="380"/>
          <w:tab w:val="left" w:pos="500"/>
        </w:tabs>
        <w:spacing w:before="240" w:after="240" w:line="300" w:lineRule="auto"/>
        <w:rPr>
          <w:b/>
          <w:bCs/>
        </w:rPr>
      </w:pPr>
      <w:r w:rsidRPr="00F143EA">
        <w:rPr>
          <w:b/>
          <w:bCs/>
        </w:rPr>
        <w:t>Supplementary Materials:</w:t>
      </w:r>
    </w:p>
    <w:p w:rsidR="002536DB" w:rsidRPr="00F143EA" w:rsidRDefault="002536DB" w:rsidP="002536DB">
      <w:pPr>
        <w:tabs>
          <w:tab w:val="left" w:pos="380"/>
          <w:tab w:val="left" w:pos="500"/>
        </w:tabs>
        <w:spacing w:before="240" w:after="240" w:line="300" w:lineRule="auto"/>
        <w:ind w:left="600" w:right="600"/>
        <w:rPr>
          <w:b/>
          <w:bCs/>
        </w:rPr>
      </w:pPr>
      <w:r w:rsidRPr="007621D9">
        <w:rPr>
          <w:b/>
          <w:noProof/>
          <w:lang w:val="en-IN" w:eastAsia="en-IN"/>
        </w:rPr>
        <w:drawing>
          <wp:inline distT="0" distB="0" distL="0" distR="0" wp14:anchorId="15CE3F40" wp14:editId="245D2C3B">
            <wp:extent cx="4834197" cy="2318328"/>
            <wp:effectExtent l="0" t="0" r="5080" b="6350"/>
            <wp:docPr id="4" name="image6.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png"/>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86200" cy="2343267"/>
                    </a:xfrm>
                    <a:prstGeom prst="rect">
                      <a:avLst/>
                    </a:prstGeom>
                    <a:noFill/>
                    <a:ln>
                      <a:noFill/>
                    </a:ln>
                  </pic:spPr>
                </pic:pic>
              </a:graphicData>
            </a:graphic>
          </wp:inline>
        </w:drawing>
      </w:r>
    </w:p>
    <w:p w:rsidR="002536DB" w:rsidRPr="00F143EA" w:rsidRDefault="002536DB" w:rsidP="002536DB">
      <w:pPr>
        <w:tabs>
          <w:tab w:val="left" w:pos="380"/>
          <w:tab w:val="left" w:pos="500"/>
        </w:tabs>
        <w:spacing w:before="240" w:after="240" w:line="300" w:lineRule="auto"/>
        <w:ind w:left="600" w:right="600"/>
        <w:jc w:val="both"/>
        <w:rPr>
          <w:sz w:val="21"/>
          <w:szCs w:val="21"/>
        </w:rPr>
      </w:pPr>
      <w:r w:rsidRPr="00F143EA">
        <w:rPr>
          <w:b/>
          <w:bCs/>
          <w:sz w:val="21"/>
          <w:szCs w:val="21"/>
        </w:rPr>
        <w:t xml:space="preserve">Supplementary Figure 1 - Tactile sleeve mapping.  </w:t>
      </w:r>
      <w:r w:rsidRPr="00F143EA">
        <w:rPr>
          <w:sz w:val="21"/>
          <w:szCs w:val="21"/>
        </w:rPr>
        <w:t xml:space="preserve">Panel A shows the tactile sleeve used to deliver vibrotactile stimulation, including the actuator module and its placement on the participant’s forearm. Panel B illustrates the mapping between virtual foot‑ground contact events and forearm stimulation: when the avatar’s foot contacts the ground in VR, the corresponding tactile signal is delivered through the forearm actuators. </w:t>
      </w:r>
    </w:p>
    <w:p w:rsidR="002536DB" w:rsidRDefault="002536DB" w:rsidP="002536DB">
      <w:pPr>
        <w:tabs>
          <w:tab w:val="left" w:pos="380"/>
          <w:tab w:val="left" w:pos="500"/>
        </w:tabs>
        <w:spacing w:line="300" w:lineRule="auto"/>
        <w:ind w:right="-654"/>
        <w:rPr>
          <w:b/>
          <w:bCs/>
        </w:rPr>
      </w:pPr>
    </w:p>
    <w:p w:rsidR="002536DB" w:rsidRPr="00F143EA" w:rsidRDefault="002536DB" w:rsidP="002536DB">
      <w:pPr>
        <w:tabs>
          <w:tab w:val="left" w:pos="380"/>
          <w:tab w:val="left" w:pos="500"/>
        </w:tabs>
        <w:spacing w:line="300" w:lineRule="auto"/>
        <w:ind w:right="-654"/>
        <w:rPr>
          <w:b/>
          <w:bCs/>
        </w:rPr>
      </w:pPr>
      <w:r w:rsidRPr="00F143EA">
        <w:rPr>
          <w:b/>
          <w:bCs/>
        </w:rPr>
        <w:t xml:space="preserve">Supplementary Table </w:t>
      </w:r>
      <w:r>
        <w:rPr>
          <w:b/>
          <w:bCs/>
        </w:rPr>
        <w:t>S</w:t>
      </w:r>
      <w:r w:rsidRPr="00F143EA">
        <w:rPr>
          <w:b/>
          <w:bCs/>
        </w:rPr>
        <w:t xml:space="preserve">1 - </w:t>
      </w:r>
      <w:r w:rsidRPr="00251D30">
        <w:rPr>
          <w:b/>
          <w:bCs/>
        </w:rPr>
        <w:t>Sensitivity analyses using corrected embodiment scores and weighted SSQ scoring</w:t>
      </w:r>
    </w:p>
    <w:p w:rsidR="002536DB" w:rsidRPr="00B45D00" w:rsidRDefault="002536DB" w:rsidP="002536DB">
      <w:pPr>
        <w:tabs>
          <w:tab w:val="left" w:pos="380"/>
          <w:tab w:val="left" w:pos="500"/>
        </w:tabs>
        <w:spacing w:line="300" w:lineRule="auto"/>
        <w:ind w:right="-654"/>
        <w:rPr>
          <w:rFonts w:eastAsia="Calibri"/>
        </w:rPr>
      </w:pPr>
      <w:r w:rsidRPr="00B45D00">
        <w:rPr>
          <w:rFonts w:eastAsia="Calibri"/>
        </w:rPr>
        <w:t>Two complementary sensitivity analyses were conducted. First, the sensory-condition analyses were repeated after excluding the poorly performing reverse-scored Self-location item and recalculating the Self-location and global embodiment scores. Second, analyses involving cybersickness were repeated using the weighted SSQ score together with the corrected embodiment scores. The primary sensory-condition conclusion was preserved. Cybersickness-related associations remained directionally consistent, although some adjusted and exploratory effects were attenuated.</w:t>
      </w:r>
    </w:p>
    <w:p w:rsidR="002536DB" w:rsidRPr="00B45D00" w:rsidRDefault="002536DB" w:rsidP="002536DB">
      <w:pPr>
        <w:pBdr>
          <w:top w:val="nil"/>
          <w:left w:val="nil"/>
          <w:bottom w:val="nil"/>
          <w:right w:val="nil"/>
          <w:between w:val="nil"/>
        </w:pBdr>
        <w:spacing w:before="240" w:after="120"/>
        <w:ind w:right="-654"/>
        <w:rPr>
          <w:b/>
          <w:bCs/>
          <w:color w:val="000000"/>
          <w:sz w:val="22"/>
          <w:szCs w:val="22"/>
        </w:rPr>
      </w:pPr>
      <w:r w:rsidRPr="00B45D00">
        <w:rPr>
          <w:b/>
          <w:bCs/>
          <w:color w:val="000000"/>
          <w:sz w:val="22"/>
          <w:szCs w:val="22"/>
        </w:rPr>
        <w:t xml:space="preserve">Panel A. </w:t>
      </w:r>
      <w:r w:rsidRPr="00B45D00">
        <w:rPr>
          <w:color w:val="000000"/>
          <w:sz w:val="22"/>
          <w:szCs w:val="22"/>
        </w:rPr>
        <w:t>Sensitivity of sensory-condition effects to corrected Self-location and global embodiment scoring</w:t>
      </w:r>
    </w:p>
    <w:tbl>
      <w:tblPr>
        <w:tblW w:w="9509" w:type="dxa"/>
        <w:tblBorders>
          <w:top w:val="single" w:sz="4" w:space="0" w:color="auto"/>
          <w:bottom w:val="single" w:sz="4" w:space="0" w:color="auto"/>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711"/>
        <w:gridCol w:w="1994"/>
        <w:gridCol w:w="2383"/>
        <w:gridCol w:w="2421"/>
      </w:tblGrid>
      <w:tr w:rsidR="002536DB" w:rsidRPr="00F143EA" w:rsidTr="00E61ADE">
        <w:trPr>
          <w:trHeight w:val="642"/>
        </w:trPr>
        <w:tc>
          <w:tcPr>
            <w:tcW w:w="271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F143EA">
              <w:rPr>
                <w:b/>
                <w:bCs/>
                <w:sz w:val="18"/>
                <w:szCs w:val="18"/>
              </w:rPr>
              <w:t>Analysis</w:t>
            </w:r>
          </w:p>
        </w:tc>
        <w:tc>
          <w:tcPr>
            <w:tcW w:w="1994"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9A547F">
              <w:rPr>
                <w:b/>
                <w:bCs/>
                <w:sz w:val="18"/>
                <w:szCs w:val="18"/>
              </w:rPr>
              <w:t>Main manuscript: original scoring</w:t>
            </w:r>
          </w:p>
        </w:tc>
        <w:tc>
          <w:tcPr>
            <w:tcW w:w="2383"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9A547F">
              <w:rPr>
                <w:b/>
                <w:bCs/>
                <w:sz w:val="18"/>
                <w:szCs w:val="18"/>
              </w:rPr>
              <w:t>Corrected SoE/SoL scoring</w:t>
            </w:r>
          </w:p>
        </w:tc>
        <w:tc>
          <w:tcPr>
            <w:tcW w:w="242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F143EA">
              <w:rPr>
                <w:b/>
                <w:bCs/>
                <w:sz w:val="18"/>
                <w:szCs w:val="18"/>
              </w:rPr>
              <w:t>Interpretation</w:t>
            </w:r>
          </w:p>
        </w:tc>
      </w:tr>
      <w:tr w:rsidR="002536DB" w:rsidRPr="00F143EA" w:rsidTr="00E61ADE">
        <w:trPr>
          <w:trHeight w:val="642"/>
        </w:trPr>
        <w:tc>
          <w:tcPr>
            <w:tcW w:w="271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Effect of sensory condition on global embodiment</w:t>
            </w:r>
          </w:p>
        </w:tc>
        <w:tc>
          <w:tcPr>
            <w:tcW w:w="1994"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F(2, 48) = 0.58, p = .563</w:t>
            </w:r>
          </w:p>
        </w:tc>
        <w:tc>
          <w:tcPr>
            <w:tcW w:w="2383"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i/>
                <w:iCs/>
                <w:sz w:val="18"/>
                <w:szCs w:val="18"/>
              </w:rPr>
              <w:t>F(2, 48) = 0.851, p = .433</w:t>
            </w:r>
          </w:p>
        </w:tc>
        <w:tc>
          <w:tcPr>
            <w:tcW w:w="242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No significant condition effect under either scoring approach</w:t>
            </w:r>
          </w:p>
        </w:tc>
      </w:tr>
      <w:tr w:rsidR="002536DB" w:rsidRPr="00F143EA" w:rsidTr="00E61ADE">
        <w:trPr>
          <w:trHeight w:val="642"/>
        </w:trPr>
        <w:tc>
          <w:tcPr>
            <w:tcW w:w="271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Effect of sensory condition on Self-location</w:t>
            </w:r>
          </w:p>
        </w:tc>
        <w:tc>
          <w:tcPr>
            <w:tcW w:w="1994"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Non-significant, p &gt; .41</w:t>
            </w:r>
          </w:p>
        </w:tc>
        <w:tc>
          <w:tcPr>
            <w:tcW w:w="2383"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i/>
                <w:iCs/>
                <w:sz w:val="18"/>
                <w:szCs w:val="18"/>
              </w:rPr>
              <w:t>F(2, 48) = 0.430, p = .653</w:t>
            </w:r>
          </w:p>
        </w:tc>
        <w:tc>
          <w:tcPr>
            <w:tcW w:w="242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F143EA">
              <w:rPr>
                <w:sz w:val="18"/>
                <w:szCs w:val="18"/>
              </w:rPr>
              <w:t>Conclusion unchanged</w:t>
            </w:r>
          </w:p>
        </w:tc>
      </w:tr>
      <w:tr w:rsidR="002536DB" w:rsidRPr="00F143EA" w:rsidTr="00E61ADE">
        <w:trPr>
          <w:trHeight w:val="642"/>
        </w:trPr>
        <w:tc>
          <w:tcPr>
            <w:tcW w:w="271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Bayesian ANCOVA for global embodiment</w:t>
            </w:r>
          </w:p>
        </w:tc>
        <w:tc>
          <w:tcPr>
            <w:tcW w:w="1994"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BFincl = .229</w:t>
            </w:r>
          </w:p>
        </w:tc>
        <w:tc>
          <w:tcPr>
            <w:tcW w:w="2383"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BFincl = .275</w:t>
            </w:r>
          </w:p>
        </w:tc>
        <w:tc>
          <w:tcPr>
            <w:tcW w:w="2421"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9A547F">
              <w:rPr>
                <w:sz w:val="18"/>
                <w:szCs w:val="18"/>
              </w:rPr>
              <w:t>Evidence continued to favour models excluding the sensory-condition effect</w:t>
            </w:r>
          </w:p>
        </w:tc>
      </w:tr>
    </w:tbl>
    <w:p w:rsidR="002536DB" w:rsidRDefault="002536DB" w:rsidP="002536DB">
      <w:pPr>
        <w:tabs>
          <w:tab w:val="left" w:pos="380"/>
          <w:tab w:val="left" w:pos="500"/>
        </w:tabs>
      </w:pPr>
    </w:p>
    <w:p w:rsidR="002536DB" w:rsidRPr="00F143EA" w:rsidRDefault="002536DB" w:rsidP="002536DB">
      <w:pPr>
        <w:tabs>
          <w:tab w:val="left" w:pos="380"/>
          <w:tab w:val="left" w:pos="500"/>
        </w:tabs>
      </w:pPr>
    </w:p>
    <w:p w:rsidR="002536DB" w:rsidRPr="00B45D00" w:rsidRDefault="002536DB" w:rsidP="002536DB">
      <w:pPr>
        <w:pBdr>
          <w:top w:val="nil"/>
          <w:left w:val="nil"/>
          <w:bottom w:val="nil"/>
          <w:right w:val="nil"/>
          <w:between w:val="nil"/>
        </w:pBdr>
        <w:spacing w:after="120"/>
        <w:ind w:right="-654"/>
        <w:rPr>
          <w:b/>
          <w:bCs/>
          <w:color w:val="000000"/>
          <w:sz w:val="22"/>
          <w:szCs w:val="22"/>
        </w:rPr>
      </w:pPr>
      <w:r w:rsidRPr="00B45D00">
        <w:rPr>
          <w:b/>
          <w:bCs/>
          <w:color w:val="000000"/>
          <w:sz w:val="22"/>
          <w:szCs w:val="22"/>
        </w:rPr>
        <w:t xml:space="preserve">Panel B. </w:t>
      </w:r>
      <w:r w:rsidRPr="00B45D00">
        <w:rPr>
          <w:color w:val="000000"/>
          <w:sz w:val="22"/>
          <w:szCs w:val="22"/>
        </w:rPr>
        <w:t>Combined sensitivity analyses using weighted SSQ and corrected embodiment scores</w:t>
      </w:r>
    </w:p>
    <w:tbl>
      <w:tblPr>
        <w:tblW w:w="9509" w:type="dxa"/>
        <w:tblBorders>
          <w:top w:val="single" w:sz="4" w:space="0" w:color="auto"/>
          <w:bottom w:val="single" w:sz="4" w:space="0" w:color="auto"/>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268"/>
        <w:gridCol w:w="2268"/>
        <w:gridCol w:w="2127"/>
        <w:gridCol w:w="2846"/>
      </w:tblGrid>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F143EA">
              <w:rPr>
                <w:b/>
                <w:bCs/>
                <w:sz w:val="18"/>
                <w:szCs w:val="18"/>
              </w:rPr>
              <w:t>Analysis</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834497">
              <w:rPr>
                <w:b/>
                <w:bCs/>
                <w:sz w:val="18"/>
                <w:szCs w:val="18"/>
              </w:rPr>
              <w:t>Main manuscript: raw SSQ + original SoE/SoL</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834497">
              <w:rPr>
                <w:b/>
                <w:bCs/>
                <w:sz w:val="18"/>
                <w:szCs w:val="18"/>
              </w:rPr>
              <w:t>Sensitivity analysis: weighted SSQ + corrected SoE/SoL</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b/>
                <w:bCs/>
                <w:sz w:val="18"/>
                <w:szCs w:val="18"/>
              </w:rPr>
            </w:pPr>
            <w:r w:rsidRPr="00F143EA">
              <w:rPr>
                <w:b/>
                <w:bCs/>
                <w:sz w:val="18"/>
                <w:szCs w:val="18"/>
              </w:rPr>
              <w:t>Interpretation</w:t>
            </w:r>
          </w:p>
        </w:tc>
      </w:tr>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Correlation between SSQ and global embodiment</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r = -.45, p &lt; .001</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r = -.411, p = .002</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Significant negative association preserved</w:t>
            </w:r>
          </w:p>
        </w:tc>
      </w:tr>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Hierarchical regression predicting SoE: Step 2</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-.379, p = .024</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-.316, p = .057</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Direction preserved; effect attenuated to marginal significance</w:t>
            </w:r>
          </w:p>
        </w:tc>
      </w:tr>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Hierarchical regression predicting SoE: final model</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-.37, p = .033</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-.295, p = .085</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Direction preserved; independent contribution no longer statistically significant</w:t>
            </w:r>
          </w:p>
        </w:tc>
      </w:tr>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Indirect association: HADS-A → SSQ → SoE</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Effect = -.39, 95% CI [-.87, -.11]</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B = -.326, 95% CI [-.692, -.085]</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Indirect association remained supported because the confidence interval excluded zero</w:t>
            </w:r>
          </w:p>
        </w:tc>
      </w:tr>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Exploratory personality model: SSQ predicting SoE</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-.35, p = .036</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-.320, p = .057</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Negative association preserved but attenuated to marginal significance; personality traits remained non-significant</w:t>
            </w:r>
          </w:p>
        </w:tc>
      </w:tr>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Regression predicting BMI performance</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SSQ and embodiment components were non-significant</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SSQ: β = -.243, p = .170; corrected SoL: β = -.134, p = .443</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Conclusion unchanged</w:t>
            </w:r>
          </w:p>
        </w:tc>
      </w:tr>
      <w:tr w:rsidR="002536DB" w:rsidRPr="00F143EA" w:rsidTr="00E61ADE">
        <w:trPr>
          <w:trHeight w:val="642"/>
        </w:trPr>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Exploratory SSQ × SoL moderation: unadjusted</w:t>
            </w:r>
          </w:p>
        </w:tc>
        <w:tc>
          <w:tcPr>
            <w:tcW w:w="2268"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-.33, p = .039</w:t>
            </w:r>
          </w:p>
        </w:tc>
        <w:tc>
          <w:tcPr>
            <w:tcW w:w="2127"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β = -.247, p = .099</w:t>
            </w:r>
          </w:p>
        </w:tc>
        <w:tc>
          <w:tcPr>
            <w:tcW w:w="2846" w:type="dxa"/>
            <w:tcMar>
              <w:top w:w="0" w:type="dxa"/>
              <w:left w:w="100" w:type="dxa"/>
              <w:bottom w:w="0" w:type="dxa"/>
              <w:right w:w="100" w:type="dxa"/>
            </w:tcMar>
            <w:vAlign w:val="center"/>
          </w:tcPr>
          <w:p w:rsidR="002536DB" w:rsidRPr="00F143EA" w:rsidRDefault="002536DB" w:rsidP="00E61ADE">
            <w:pPr>
              <w:tabs>
                <w:tab w:val="left" w:pos="380"/>
                <w:tab w:val="left" w:pos="500"/>
              </w:tabs>
              <w:spacing w:line="256" w:lineRule="auto"/>
              <w:jc w:val="center"/>
              <w:rPr>
                <w:sz w:val="18"/>
                <w:szCs w:val="18"/>
              </w:rPr>
            </w:pPr>
            <w:r w:rsidRPr="00834497">
              <w:rPr>
                <w:sz w:val="18"/>
                <w:szCs w:val="18"/>
              </w:rPr>
              <w:t>Direction preserved; interaction attenuated and no longer statistically significant</w:t>
            </w:r>
          </w:p>
        </w:tc>
      </w:tr>
      <w:tr w:rsidR="002536DB" w:rsidRPr="00F143EA" w:rsidTr="00E61ADE">
        <w:trPr>
          <w:trHeight w:val="642"/>
        </w:trPr>
        <w:tc>
          <w:tcPr>
            <w:tcW w:w="2268" w:type="dxa"/>
            <w:tcMar>
              <w:top w:w="0" w:type="dxa"/>
              <w:left w:w="100" w:type="dxa"/>
              <w:bottom w:w="0" w:type="dxa"/>
              <w:right w:w="100" w:type="dxa"/>
            </w:tcMar>
            <w:vAlign w:val="center"/>
          </w:tcPr>
          <w:p w:rsidR="002536DB" w:rsidRPr="00834497" w:rsidRDefault="002536DB" w:rsidP="00E61ADE">
            <w:pPr>
              <w:tabs>
                <w:tab w:val="left" w:pos="380"/>
                <w:tab w:val="left" w:pos="500"/>
              </w:tabs>
              <w:spacing w:line="256" w:lineRule="auto"/>
              <w:jc w:val="center"/>
              <w:rPr>
                <w:sz w:val="18"/>
                <w:szCs w:val="18"/>
              </w:rPr>
            </w:pPr>
            <w:r w:rsidRPr="00834497">
              <w:rPr>
                <w:sz w:val="18"/>
                <w:szCs w:val="18"/>
              </w:rPr>
              <w:t>Exploratory SSQ × SoL moderation: adjusted for age and sex</w:t>
            </w:r>
          </w:p>
        </w:tc>
        <w:tc>
          <w:tcPr>
            <w:tcW w:w="2268" w:type="dxa"/>
            <w:tcMar>
              <w:top w:w="0" w:type="dxa"/>
              <w:left w:w="100" w:type="dxa"/>
              <w:bottom w:w="0" w:type="dxa"/>
              <w:right w:w="100" w:type="dxa"/>
            </w:tcMar>
            <w:vAlign w:val="center"/>
          </w:tcPr>
          <w:p w:rsidR="002536DB" w:rsidRPr="00834497" w:rsidRDefault="002536DB" w:rsidP="00E61ADE">
            <w:pPr>
              <w:tabs>
                <w:tab w:val="left" w:pos="380"/>
                <w:tab w:val="left" w:pos="500"/>
              </w:tabs>
              <w:spacing w:line="256" w:lineRule="auto"/>
              <w:jc w:val="center"/>
              <w:rPr>
                <w:sz w:val="18"/>
                <w:szCs w:val="18"/>
              </w:rPr>
            </w:pPr>
            <w:r w:rsidRPr="00834497">
              <w:rPr>
                <w:sz w:val="18"/>
                <w:szCs w:val="18"/>
              </w:rPr>
              <w:t>β = -.31, p = .059</w:t>
            </w:r>
          </w:p>
        </w:tc>
        <w:tc>
          <w:tcPr>
            <w:tcW w:w="2127" w:type="dxa"/>
            <w:tcMar>
              <w:top w:w="0" w:type="dxa"/>
              <w:left w:w="100" w:type="dxa"/>
              <w:bottom w:w="0" w:type="dxa"/>
              <w:right w:w="100" w:type="dxa"/>
            </w:tcMar>
            <w:vAlign w:val="center"/>
          </w:tcPr>
          <w:p w:rsidR="002536DB" w:rsidRPr="00834497" w:rsidRDefault="002536DB" w:rsidP="00E61ADE">
            <w:pPr>
              <w:tabs>
                <w:tab w:val="left" w:pos="380"/>
                <w:tab w:val="left" w:pos="500"/>
              </w:tabs>
              <w:spacing w:line="256" w:lineRule="auto"/>
              <w:jc w:val="center"/>
              <w:rPr>
                <w:sz w:val="18"/>
                <w:szCs w:val="18"/>
              </w:rPr>
            </w:pPr>
            <w:r w:rsidRPr="00834497">
              <w:rPr>
                <w:sz w:val="18"/>
                <w:szCs w:val="18"/>
              </w:rPr>
              <w:t>β = -.212, p = .165</w:t>
            </w:r>
          </w:p>
        </w:tc>
        <w:tc>
          <w:tcPr>
            <w:tcW w:w="2846" w:type="dxa"/>
            <w:tcMar>
              <w:top w:w="0" w:type="dxa"/>
              <w:left w:w="100" w:type="dxa"/>
              <w:bottom w:w="0" w:type="dxa"/>
              <w:right w:w="100" w:type="dxa"/>
            </w:tcMar>
            <w:vAlign w:val="center"/>
          </w:tcPr>
          <w:p w:rsidR="002536DB" w:rsidRPr="00834497" w:rsidRDefault="002536DB" w:rsidP="00E61ADE">
            <w:pPr>
              <w:tabs>
                <w:tab w:val="left" w:pos="380"/>
                <w:tab w:val="left" w:pos="500"/>
              </w:tabs>
              <w:spacing w:line="256" w:lineRule="auto"/>
              <w:jc w:val="center"/>
              <w:rPr>
                <w:sz w:val="18"/>
                <w:szCs w:val="18"/>
              </w:rPr>
            </w:pPr>
            <w:r w:rsidRPr="00834497">
              <w:rPr>
                <w:sz w:val="18"/>
                <w:szCs w:val="18"/>
              </w:rPr>
              <w:t>Interaction further attenuated and remained non-significant</w:t>
            </w:r>
          </w:p>
        </w:tc>
      </w:tr>
    </w:tbl>
    <w:p w:rsidR="002536DB" w:rsidRPr="004476E6" w:rsidRDefault="002536DB" w:rsidP="002536DB">
      <w:pPr>
        <w:tabs>
          <w:tab w:val="left" w:pos="380"/>
          <w:tab w:val="left" w:pos="500"/>
        </w:tabs>
        <w:spacing w:before="240" w:after="240" w:line="300" w:lineRule="auto"/>
        <w:ind w:right="-654"/>
        <w:jc w:val="both"/>
        <w:rPr>
          <w:b/>
          <w:bCs/>
          <w:sz w:val="18"/>
          <w:szCs w:val="18"/>
        </w:rPr>
      </w:pPr>
      <w:r w:rsidRPr="00B45D00">
        <w:rPr>
          <w:b/>
          <w:bCs/>
          <w:sz w:val="18"/>
          <w:szCs w:val="18"/>
        </w:rPr>
        <w:t xml:space="preserve">Note. </w:t>
      </w:r>
      <w:r w:rsidRPr="00B45D00">
        <w:rPr>
          <w:sz w:val="18"/>
          <w:szCs w:val="18"/>
        </w:rPr>
        <w:t>SoE = global sense of embodiment; SoL = Self-location; SSQ = Simulator Sickness Questionnaire; HADS-A = Hospital Anxiety and Depression Scale–Anxiety subscale; BMI = brain–machine interface. Corrected SoE and SoL scores were calculated after excluding the poorly performing reverse-scored Self-location item. The weighted SSQ score was calculated according to Kennedy et al. (1993). Regression coefficients are standardized values unless otherwise indicated. Indirect effects are interpreted primarily from their bootstrapped 95% confidence intervals.</w:t>
      </w:r>
    </w:p>
    <w:p w:rsidR="002536DB" w:rsidRDefault="002536DB" w:rsidP="002536DB">
      <w:pPr>
        <w:tabs>
          <w:tab w:val="left" w:pos="380"/>
          <w:tab w:val="left" w:pos="500"/>
        </w:tabs>
        <w:spacing w:line="300" w:lineRule="auto"/>
        <w:rPr>
          <w:b/>
          <w:bCs/>
        </w:rPr>
      </w:pPr>
    </w:p>
    <w:p w:rsidR="002536DB" w:rsidRPr="00F143EA" w:rsidRDefault="002536DB" w:rsidP="002536DB">
      <w:pPr>
        <w:tabs>
          <w:tab w:val="left" w:pos="380"/>
          <w:tab w:val="left" w:pos="500"/>
        </w:tabs>
        <w:spacing w:line="300" w:lineRule="auto"/>
        <w:rPr>
          <w:b/>
          <w:bCs/>
        </w:rPr>
      </w:pPr>
      <w:r w:rsidRPr="00F143EA">
        <w:rPr>
          <w:b/>
          <w:bCs/>
        </w:rPr>
        <w:t xml:space="preserve">Supplementary Table </w:t>
      </w:r>
      <w:r>
        <w:rPr>
          <w:b/>
          <w:bCs/>
        </w:rPr>
        <w:t>S</w:t>
      </w:r>
      <w:r w:rsidRPr="00F143EA">
        <w:rPr>
          <w:b/>
          <w:bCs/>
        </w:rPr>
        <w:t>2 - Offline and online decoding accuracy</w:t>
      </w:r>
    </w:p>
    <w:p w:rsidR="002536DB" w:rsidRPr="00F143EA" w:rsidRDefault="002536DB" w:rsidP="002536DB">
      <w:pPr>
        <w:tabs>
          <w:tab w:val="left" w:pos="380"/>
          <w:tab w:val="left" w:pos="500"/>
        </w:tabs>
        <w:spacing w:line="300" w:lineRule="auto"/>
        <w:rPr>
          <w:rFonts w:eastAsia="Calibri"/>
          <w:b/>
          <w:bCs/>
          <w:sz w:val="20"/>
          <w:szCs w:val="20"/>
        </w:rPr>
      </w:pPr>
    </w:p>
    <w:p w:rsidR="002536DB" w:rsidRPr="00F143EA" w:rsidRDefault="002536DB" w:rsidP="002536DB">
      <w:pPr>
        <w:tabs>
          <w:tab w:val="left" w:pos="380"/>
          <w:tab w:val="left" w:pos="500"/>
        </w:tabs>
        <w:spacing w:line="300" w:lineRule="auto"/>
        <w:rPr>
          <w:rFonts w:eastAsia="Calibri"/>
          <w:b/>
          <w:bCs/>
          <w:sz w:val="20"/>
          <w:szCs w:val="20"/>
        </w:rPr>
      </w:pPr>
      <w:r w:rsidRPr="00F143EA">
        <w:rPr>
          <w:rFonts w:eastAsia="Calibri"/>
          <w:b/>
          <w:bCs/>
          <w:sz w:val="20"/>
          <w:szCs w:val="20"/>
        </w:rPr>
        <w:t>Global Sample:</w:t>
      </w:r>
    </w:p>
    <w:tbl>
      <w:tblPr>
        <w:tblW w:w="8843" w:type="dxa"/>
        <w:tblBorders>
          <w:top w:val="single" w:sz="4" w:space="0" w:color="auto"/>
          <w:bottom w:val="single" w:sz="4" w:space="0" w:color="auto"/>
          <w:insideH w:val="single" w:sz="4" w:space="0" w:color="auto"/>
        </w:tblBorders>
        <w:shd w:val="clear" w:color="auto" w:fill="FFFFFF"/>
        <w:tblLayout w:type="fixed"/>
        <w:tblCellMar>
          <w:top w:w="100" w:type="dxa"/>
          <w:left w:w="100" w:type="dxa"/>
          <w:bottom w:w="100" w:type="dxa"/>
          <w:right w:w="100" w:type="dxa"/>
        </w:tblCellMar>
        <w:tblLook w:val="0600" w:firstRow="0" w:lastRow="0" w:firstColumn="0" w:lastColumn="0" w:noHBand="1" w:noVBand="1"/>
      </w:tblPr>
      <w:tblGrid>
        <w:gridCol w:w="2515"/>
        <w:gridCol w:w="898"/>
        <w:gridCol w:w="1167"/>
        <w:gridCol w:w="1197"/>
        <w:gridCol w:w="912"/>
        <w:gridCol w:w="1137"/>
        <w:gridCol w:w="1017"/>
      </w:tblGrid>
      <w:tr w:rsidR="002536DB" w:rsidRPr="00F143EA" w:rsidTr="00E61ADE">
        <w:trPr>
          <w:trHeight w:val="51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Metric</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N valid</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N missing</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Mean (%)</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SD  (%)</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Min  (%)</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Max  (%)</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Offline accuracy / Experimental ACQ (%)</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48</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5</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78.10</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5.55</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66.37</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89.79</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Online accuracy / Experimental BMI (%)</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49</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58.84</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11.50</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40.00</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80.00</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Online − offline (percentage points)</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46</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7</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-19.02</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10.58</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-40.77</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3.58</w:t>
            </w:r>
          </w:p>
        </w:tc>
      </w:tr>
    </w:tbl>
    <w:p w:rsidR="002536DB" w:rsidRPr="00F143EA" w:rsidRDefault="002536DB" w:rsidP="002536DB">
      <w:pPr>
        <w:tabs>
          <w:tab w:val="left" w:pos="380"/>
          <w:tab w:val="left" w:pos="500"/>
        </w:tabs>
        <w:spacing w:line="300" w:lineRule="auto"/>
        <w:rPr>
          <w:b/>
          <w:bCs/>
          <w:sz w:val="20"/>
          <w:szCs w:val="20"/>
        </w:rPr>
      </w:pPr>
      <w:r w:rsidRPr="00F143EA">
        <w:rPr>
          <w:b/>
          <w:bCs/>
          <w:sz w:val="20"/>
          <w:szCs w:val="20"/>
        </w:rPr>
        <w:t xml:space="preserve"> </w:t>
      </w:r>
    </w:p>
    <w:p w:rsidR="002536DB" w:rsidRPr="00F143EA" w:rsidRDefault="002536DB" w:rsidP="002536DB">
      <w:pPr>
        <w:tabs>
          <w:tab w:val="left" w:pos="380"/>
          <w:tab w:val="left" w:pos="500"/>
        </w:tabs>
        <w:spacing w:line="300" w:lineRule="auto"/>
        <w:rPr>
          <w:rFonts w:eastAsia="Calibri"/>
          <w:b/>
          <w:bCs/>
          <w:sz w:val="20"/>
          <w:szCs w:val="20"/>
        </w:rPr>
      </w:pPr>
      <w:r w:rsidRPr="00F143EA">
        <w:rPr>
          <w:rFonts w:eastAsia="Calibri"/>
          <w:b/>
          <w:bCs/>
          <w:sz w:val="20"/>
          <w:szCs w:val="20"/>
        </w:rPr>
        <w:t>Visual (V):</w:t>
      </w:r>
    </w:p>
    <w:tbl>
      <w:tblPr>
        <w:tblW w:w="8865" w:type="dxa"/>
        <w:tblBorders>
          <w:top w:val="single" w:sz="4" w:space="0" w:color="auto"/>
          <w:bottom w:val="single" w:sz="4" w:space="0" w:color="auto"/>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10"/>
        <w:gridCol w:w="992"/>
        <w:gridCol w:w="1118"/>
        <w:gridCol w:w="1140"/>
        <w:gridCol w:w="975"/>
        <w:gridCol w:w="1170"/>
        <w:gridCol w:w="960"/>
      </w:tblGrid>
      <w:tr w:rsidR="002536DB" w:rsidRPr="00F143EA" w:rsidTr="00E61ADE">
        <w:trPr>
          <w:trHeight w:val="510"/>
        </w:trPr>
        <w:tc>
          <w:tcPr>
            <w:tcW w:w="251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ind w:left="100" w:right="100"/>
              <w:jc w:val="center"/>
              <w:rPr>
                <w:rFonts w:eastAsia="Calibri"/>
                <w:b/>
                <w:bCs/>
                <w:sz w:val="20"/>
                <w:szCs w:val="20"/>
              </w:rPr>
            </w:pPr>
            <w:r w:rsidRPr="00F143EA">
              <w:rPr>
                <w:rFonts w:eastAsia="Calibri"/>
                <w:b/>
                <w:bCs/>
                <w:sz w:val="20"/>
                <w:szCs w:val="20"/>
              </w:rPr>
              <w:t>Metric</w:t>
            </w:r>
          </w:p>
        </w:tc>
        <w:tc>
          <w:tcPr>
            <w:tcW w:w="99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N valid</w:t>
            </w:r>
          </w:p>
        </w:tc>
        <w:tc>
          <w:tcPr>
            <w:tcW w:w="1118"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N missing</w:t>
            </w:r>
          </w:p>
        </w:tc>
        <w:tc>
          <w:tcPr>
            <w:tcW w:w="114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Mean (%)</w:t>
            </w:r>
          </w:p>
        </w:tc>
        <w:tc>
          <w:tcPr>
            <w:tcW w:w="975"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SD  (%)</w:t>
            </w:r>
          </w:p>
        </w:tc>
        <w:tc>
          <w:tcPr>
            <w:tcW w:w="117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Min  (%)</w:t>
            </w:r>
          </w:p>
        </w:tc>
        <w:tc>
          <w:tcPr>
            <w:tcW w:w="96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Max  (%)</w:t>
            </w:r>
          </w:p>
        </w:tc>
      </w:tr>
      <w:tr w:rsidR="002536DB" w:rsidRPr="00F143EA" w:rsidTr="00E61ADE">
        <w:trPr>
          <w:trHeight w:val="420"/>
        </w:trPr>
        <w:tc>
          <w:tcPr>
            <w:tcW w:w="251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Offline accuracy / Experimental ACQ (%)</w:t>
            </w:r>
          </w:p>
        </w:tc>
        <w:tc>
          <w:tcPr>
            <w:tcW w:w="99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15</w:t>
            </w:r>
          </w:p>
        </w:tc>
        <w:tc>
          <w:tcPr>
            <w:tcW w:w="1118"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2</w:t>
            </w:r>
          </w:p>
        </w:tc>
        <w:tc>
          <w:tcPr>
            <w:tcW w:w="114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79.55</w:t>
            </w:r>
          </w:p>
        </w:tc>
        <w:tc>
          <w:tcPr>
            <w:tcW w:w="975"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6.10</w:t>
            </w:r>
          </w:p>
        </w:tc>
        <w:tc>
          <w:tcPr>
            <w:tcW w:w="117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68.88</w:t>
            </w:r>
          </w:p>
        </w:tc>
        <w:tc>
          <w:tcPr>
            <w:tcW w:w="96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89.79</w:t>
            </w:r>
          </w:p>
        </w:tc>
      </w:tr>
      <w:tr w:rsidR="002536DB" w:rsidRPr="00F143EA" w:rsidTr="00E61ADE">
        <w:trPr>
          <w:trHeight w:val="420"/>
        </w:trPr>
        <w:tc>
          <w:tcPr>
            <w:tcW w:w="251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Online accuracy / Experimental BMI (%)</w:t>
            </w:r>
          </w:p>
        </w:tc>
        <w:tc>
          <w:tcPr>
            <w:tcW w:w="99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16</w:t>
            </w:r>
          </w:p>
        </w:tc>
        <w:tc>
          <w:tcPr>
            <w:tcW w:w="1118"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w:t>
            </w:r>
          </w:p>
        </w:tc>
        <w:tc>
          <w:tcPr>
            <w:tcW w:w="114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58.34</w:t>
            </w:r>
          </w:p>
        </w:tc>
        <w:tc>
          <w:tcPr>
            <w:tcW w:w="975"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10.83</w:t>
            </w:r>
          </w:p>
        </w:tc>
        <w:tc>
          <w:tcPr>
            <w:tcW w:w="117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40.00</w:t>
            </w:r>
          </w:p>
        </w:tc>
        <w:tc>
          <w:tcPr>
            <w:tcW w:w="96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75.00</w:t>
            </w:r>
          </w:p>
        </w:tc>
      </w:tr>
      <w:tr w:rsidR="002536DB" w:rsidRPr="00F143EA" w:rsidTr="00E61ADE">
        <w:trPr>
          <w:trHeight w:val="420"/>
        </w:trPr>
        <w:tc>
          <w:tcPr>
            <w:tcW w:w="251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lastRenderedPageBreak/>
              <w:t>Online − offline (percentage points)</w:t>
            </w:r>
          </w:p>
        </w:tc>
        <w:tc>
          <w:tcPr>
            <w:tcW w:w="99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14</w:t>
            </w:r>
          </w:p>
        </w:tc>
        <w:tc>
          <w:tcPr>
            <w:tcW w:w="1118"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3</w:t>
            </w:r>
          </w:p>
        </w:tc>
        <w:tc>
          <w:tcPr>
            <w:tcW w:w="114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-19.80</w:t>
            </w:r>
          </w:p>
        </w:tc>
        <w:tc>
          <w:tcPr>
            <w:tcW w:w="975"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11.12</w:t>
            </w:r>
          </w:p>
        </w:tc>
        <w:tc>
          <w:tcPr>
            <w:tcW w:w="117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-40.77</w:t>
            </w:r>
          </w:p>
        </w:tc>
        <w:tc>
          <w:tcPr>
            <w:tcW w:w="960"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-3.87</w:t>
            </w:r>
          </w:p>
        </w:tc>
      </w:tr>
    </w:tbl>
    <w:p w:rsidR="002536DB" w:rsidRPr="00F143EA" w:rsidRDefault="002536DB" w:rsidP="002536DB">
      <w:pPr>
        <w:tabs>
          <w:tab w:val="left" w:pos="380"/>
          <w:tab w:val="left" w:pos="500"/>
        </w:tabs>
        <w:spacing w:line="300" w:lineRule="auto"/>
        <w:rPr>
          <w:b/>
          <w:bCs/>
          <w:sz w:val="20"/>
          <w:szCs w:val="20"/>
        </w:rPr>
      </w:pPr>
      <w:r w:rsidRPr="00F143EA">
        <w:rPr>
          <w:b/>
          <w:bCs/>
          <w:sz w:val="20"/>
          <w:szCs w:val="20"/>
        </w:rPr>
        <w:t xml:space="preserve"> </w:t>
      </w:r>
    </w:p>
    <w:p w:rsidR="002536DB" w:rsidRPr="00F143EA" w:rsidRDefault="002536DB" w:rsidP="002536DB">
      <w:pPr>
        <w:tabs>
          <w:tab w:val="left" w:pos="380"/>
          <w:tab w:val="left" w:pos="500"/>
        </w:tabs>
        <w:spacing w:line="300" w:lineRule="auto"/>
        <w:rPr>
          <w:rFonts w:eastAsia="Calibri"/>
          <w:b/>
          <w:bCs/>
          <w:sz w:val="20"/>
          <w:szCs w:val="20"/>
        </w:rPr>
      </w:pPr>
      <w:r w:rsidRPr="00F143EA">
        <w:rPr>
          <w:rFonts w:eastAsia="Calibri"/>
          <w:b/>
          <w:bCs/>
          <w:sz w:val="20"/>
          <w:szCs w:val="20"/>
        </w:rPr>
        <w:t>Audiovisual (VA):</w:t>
      </w:r>
    </w:p>
    <w:tbl>
      <w:tblPr>
        <w:tblW w:w="8843" w:type="dxa"/>
        <w:tblBorders>
          <w:top w:val="single" w:sz="4" w:space="0" w:color="auto"/>
          <w:bottom w:val="single" w:sz="4" w:space="0" w:color="auto"/>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15"/>
        <w:gridCol w:w="898"/>
        <w:gridCol w:w="1167"/>
        <w:gridCol w:w="1197"/>
        <w:gridCol w:w="912"/>
        <w:gridCol w:w="1137"/>
        <w:gridCol w:w="1017"/>
      </w:tblGrid>
      <w:tr w:rsidR="002536DB" w:rsidRPr="00F143EA" w:rsidTr="00E61ADE">
        <w:trPr>
          <w:trHeight w:val="51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Metric</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N valid</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N missing</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Mean (%)</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SD  (%)</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Min  (%)</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20"/>
                <w:szCs w:val="20"/>
              </w:rPr>
            </w:pPr>
            <w:r w:rsidRPr="00F143EA">
              <w:rPr>
                <w:rFonts w:eastAsia="Calibri"/>
                <w:b/>
                <w:bCs/>
                <w:sz w:val="20"/>
                <w:szCs w:val="20"/>
              </w:rPr>
              <w:t>Max  (%)</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Offline accuracy / Experimental ACQ (%)</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15</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78.28</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3.69</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73.26</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85.61</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Online accuracy / Experimental BMI (%)</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15</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61.83</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13.31</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42.50</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80.00</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6"/>
                <w:szCs w:val="16"/>
              </w:rPr>
            </w:pPr>
            <w:r w:rsidRPr="00F143EA">
              <w:rPr>
                <w:rFonts w:eastAsia="Calibri"/>
                <w:sz w:val="16"/>
                <w:szCs w:val="16"/>
              </w:rPr>
              <w:t>Online − offline (percentage points)</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15</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-16.45</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13.09</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-38.62</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6"/>
                <w:szCs w:val="16"/>
              </w:rPr>
            </w:pPr>
            <w:r w:rsidRPr="00F143EA">
              <w:rPr>
                <w:rFonts w:eastAsia="Calibri"/>
                <w:sz w:val="16"/>
                <w:szCs w:val="16"/>
              </w:rPr>
              <w:t>3.58</w:t>
            </w:r>
          </w:p>
        </w:tc>
      </w:tr>
    </w:tbl>
    <w:p w:rsidR="002536DB" w:rsidRPr="00F143EA" w:rsidRDefault="002536DB" w:rsidP="002536DB">
      <w:pPr>
        <w:tabs>
          <w:tab w:val="left" w:pos="380"/>
          <w:tab w:val="left" w:pos="500"/>
        </w:tabs>
        <w:spacing w:after="200" w:line="300" w:lineRule="auto"/>
        <w:rPr>
          <w:b/>
          <w:bCs/>
          <w:sz w:val="20"/>
          <w:szCs w:val="20"/>
        </w:rPr>
      </w:pPr>
      <w:r w:rsidRPr="00F143EA">
        <w:rPr>
          <w:b/>
          <w:bCs/>
          <w:sz w:val="20"/>
          <w:szCs w:val="20"/>
        </w:rPr>
        <w:t xml:space="preserve"> </w:t>
      </w:r>
    </w:p>
    <w:p w:rsidR="002536DB" w:rsidRPr="00F143EA" w:rsidRDefault="002536DB" w:rsidP="002536DB">
      <w:pPr>
        <w:tabs>
          <w:tab w:val="left" w:pos="380"/>
          <w:tab w:val="left" w:pos="500"/>
        </w:tabs>
        <w:spacing w:line="300" w:lineRule="auto"/>
        <w:rPr>
          <w:rFonts w:eastAsia="Calibri"/>
          <w:b/>
          <w:bCs/>
          <w:sz w:val="20"/>
          <w:szCs w:val="20"/>
        </w:rPr>
      </w:pPr>
      <w:r w:rsidRPr="00F143EA">
        <w:rPr>
          <w:rFonts w:eastAsia="Calibri"/>
          <w:b/>
          <w:bCs/>
          <w:sz w:val="20"/>
          <w:szCs w:val="20"/>
        </w:rPr>
        <w:t>Audiovisual + tactile (VAT)</w:t>
      </w:r>
    </w:p>
    <w:tbl>
      <w:tblPr>
        <w:tblW w:w="8843" w:type="dxa"/>
        <w:tblBorders>
          <w:top w:val="single" w:sz="4" w:space="0" w:color="auto"/>
          <w:bottom w:val="single" w:sz="4" w:space="0" w:color="auto"/>
          <w:insideH w:val="single" w:sz="4" w:space="0" w:color="auto"/>
        </w:tblBorders>
        <w:shd w:val="clear" w:color="auto" w:fill="FFFFFF"/>
        <w:tblLayout w:type="fixed"/>
        <w:tblCellMar>
          <w:top w:w="100" w:type="dxa"/>
          <w:left w:w="100" w:type="dxa"/>
          <w:bottom w:w="100" w:type="dxa"/>
          <w:right w:w="100" w:type="dxa"/>
        </w:tblCellMar>
        <w:tblLook w:val="0600" w:firstRow="0" w:lastRow="0" w:firstColumn="0" w:lastColumn="0" w:noHBand="1" w:noVBand="1"/>
      </w:tblPr>
      <w:tblGrid>
        <w:gridCol w:w="2515"/>
        <w:gridCol w:w="898"/>
        <w:gridCol w:w="1167"/>
        <w:gridCol w:w="1197"/>
        <w:gridCol w:w="912"/>
        <w:gridCol w:w="1137"/>
        <w:gridCol w:w="1017"/>
      </w:tblGrid>
      <w:tr w:rsidR="002536DB" w:rsidRPr="00F143EA" w:rsidTr="00E61ADE">
        <w:trPr>
          <w:trHeight w:val="51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Metric</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N valid</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N missing</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Mean (%)</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SD  (%)</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Min  (%)</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Max  (%)</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8"/>
                <w:szCs w:val="18"/>
              </w:rPr>
            </w:pPr>
            <w:r w:rsidRPr="00F143EA">
              <w:rPr>
                <w:rFonts w:eastAsia="Calibri"/>
                <w:sz w:val="18"/>
                <w:szCs w:val="18"/>
              </w:rPr>
              <w:t>Offline accuracy / Experimental ACQ (%)</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18</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76.75</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6.28</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66.37</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88.67</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8"/>
                <w:szCs w:val="18"/>
              </w:rPr>
            </w:pPr>
            <w:r w:rsidRPr="00F143EA">
              <w:rPr>
                <w:rFonts w:eastAsia="Calibri"/>
                <w:sz w:val="18"/>
                <w:szCs w:val="18"/>
              </w:rPr>
              <w:t>Online accuracy / Experimental BMI (%)</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18</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56.81</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10.57</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40.00</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80.00</w:t>
            </w:r>
          </w:p>
        </w:tc>
      </w:tr>
      <w:tr w:rsidR="002536DB" w:rsidRPr="00F143EA" w:rsidTr="00E61ADE">
        <w:trPr>
          <w:trHeight w:val="420"/>
        </w:trPr>
        <w:tc>
          <w:tcPr>
            <w:tcW w:w="2513"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rPr>
                <w:rFonts w:eastAsia="Calibri"/>
                <w:sz w:val="18"/>
                <w:szCs w:val="18"/>
              </w:rPr>
            </w:pPr>
            <w:r w:rsidRPr="00F143EA">
              <w:rPr>
                <w:rFonts w:eastAsia="Calibri"/>
                <w:sz w:val="18"/>
                <w:szCs w:val="18"/>
              </w:rPr>
              <w:t>Online − offline (percentage points)</w:t>
            </w:r>
          </w:p>
        </w:tc>
        <w:tc>
          <w:tcPr>
            <w:tcW w:w="8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17</w:t>
            </w:r>
          </w:p>
        </w:tc>
        <w:tc>
          <w:tcPr>
            <w:tcW w:w="116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w:t>
            </w:r>
          </w:p>
        </w:tc>
        <w:tc>
          <w:tcPr>
            <w:tcW w:w="119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-20.65</w:t>
            </w:r>
          </w:p>
        </w:tc>
        <w:tc>
          <w:tcPr>
            <w:tcW w:w="91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7.41</w:t>
            </w:r>
          </w:p>
        </w:tc>
        <w:tc>
          <w:tcPr>
            <w:tcW w:w="113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-32.35</w:t>
            </w:r>
          </w:p>
        </w:tc>
        <w:tc>
          <w:tcPr>
            <w:tcW w:w="101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-5.61</w:t>
            </w:r>
          </w:p>
        </w:tc>
      </w:tr>
    </w:tbl>
    <w:p w:rsidR="002536DB" w:rsidRPr="00F143EA" w:rsidRDefault="002536DB" w:rsidP="002536DB">
      <w:pPr>
        <w:tabs>
          <w:tab w:val="left" w:pos="380"/>
          <w:tab w:val="left" w:pos="500"/>
        </w:tabs>
        <w:spacing w:after="200" w:line="300" w:lineRule="auto"/>
        <w:rPr>
          <w:b/>
          <w:bCs/>
          <w:sz w:val="20"/>
          <w:szCs w:val="20"/>
        </w:rPr>
      </w:pPr>
      <w:r w:rsidRPr="00F143EA">
        <w:rPr>
          <w:b/>
          <w:bCs/>
          <w:sz w:val="20"/>
          <w:szCs w:val="20"/>
        </w:rPr>
        <w:t xml:space="preserve"> </w:t>
      </w:r>
    </w:p>
    <w:tbl>
      <w:tblPr>
        <w:tblW w:w="8843" w:type="dxa"/>
        <w:tblBorders>
          <w:top w:val="single" w:sz="4" w:space="0" w:color="auto"/>
          <w:bottom w:val="single" w:sz="4" w:space="0" w:color="auto"/>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1328"/>
        <w:gridCol w:w="1402"/>
        <w:gridCol w:w="2132"/>
        <w:gridCol w:w="2162"/>
        <w:gridCol w:w="1819"/>
      </w:tblGrid>
      <w:tr w:rsidR="002536DB" w:rsidRPr="00F143EA" w:rsidTr="00E61ADE">
        <w:trPr>
          <w:trHeight w:val="410"/>
        </w:trPr>
        <w:tc>
          <w:tcPr>
            <w:tcW w:w="1327"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Participant</w:t>
            </w:r>
          </w:p>
        </w:tc>
        <w:tc>
          <w:tcPr>
            <w:tcW w:w="1401"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Feedback condition</w:t>
            </w:r>
          </w:p>
        </w:tc>
        <w:tc>
          <w:tcPr>
            <w:tcW w:w="213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Offline accuracy / Experimental ACQ (%)</w:t>
            </w:r>
          </w:p>
        </w:tc>
        <w:tc>
          <w:tcPr>
            <w:tcW w:w="2162"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Online accuracy / Experimental BMI (%)</w:t>
            </w:r>
          </w:p>
        </w:tc>
        <w:tc>
          <w:tcPr>
            <w:tcW w:w="1819" w:type="dxa"/>
            <w:shd w:val="clear" w:color="auto" w:fill="FFFFFF"/>
            <w:tcMar>
              <w:top w:w="0" w:type="dxa"/>
              <w:left w:w="100" w:type="dxa"/>
              <w:bottom w:w="0" w:type="dxa"/>
              <w:right w:w="100" w:type="dxa"/>
            </w:tcMar>
            <w:vAlign w:val="center"/>
          </w:tcPr>
          <w:p w:rsidR="002536DB" w:rsidRPr="00F143EA" w:rsidRDefault="002536DB" w:rsidP="00E61ADE">
            <w:pPr>
              <w:tabs>
                <w:tab w:val="left" w:pos="380"/>
                <w:tab w:val="left" w:pos="500"/>
              </w:tabs>
              <w:spacing w:line="276" w:lineRule="auto"/>
              <w:jc w:val="center"/>
              <w:rPr>
                <w:rFonts w:eastAsia="Calibri"/>
                <w:b/>
                <w:bCs/>
                <w:sz w:val="18"/>
                <w:szCs w:val="18"/>
              </w:rPr>
            </w:pPr>
            <w:r w:rsidRPr="00F143EA">
              <w:rPr>
                <w:rFonts w:eastAsia="Calibri"/>
                <w:b/>
                <w:bCs/>
                <w:sz w:val="18"/>
                <w:szCs w:val="18"/>
              </w:rPr>
              <w:t>Online − offline (%)</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77.29</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-22.29</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81.12</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42.50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-38.62</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42.50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NA</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P5</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78.87</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-3.87</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P6</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78.42</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-33.42</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P7</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P8</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75.71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58.36</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-17.35</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P9</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70.81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-30.81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P10</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79.74</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-24.74</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P11</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66.37</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-26.37</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P12</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75.25</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-25.25</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P13</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83.16</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-3.16</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P14</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82.04</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62.50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-19.54</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P15</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85.61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62.50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-23.11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P16</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75.81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52.50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-23.31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P17</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75.92</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47.50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-28.42</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P18</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P19</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74.18</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-14.18</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P20</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80.77</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-40.77</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P21</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83.11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77.50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-5.61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P22</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89.79</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57.50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-32.29</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P23</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68.88</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-13.88</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P24</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79.13</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-19.13</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P25</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84.29</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-29.29</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P26</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79.69</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-24.69</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P27</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81.79</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-16.79</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P28</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P29</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72.00</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-17.00</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P30</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73.00</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lastRenderedPageBreak/>
              <w:t>P31</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80.51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-10.51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P32</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73.21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-13.21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P33</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66.94</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52.50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-14.44</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P34</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82.35</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-32.35</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P35</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P36</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77.35</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-2.35</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P37</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81.33</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62.50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-18.83</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P38</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88.67</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-8.67</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P39</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75.51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-25.51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P40</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78.11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57.50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-20.61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P41</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VAT</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69.59</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-19.59</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P42</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74.28</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47.50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-26.78</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P43</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85.10</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i/>
                <w:iCs/>
                <w:sz w:val="18"/>
                <w:szCs w:val="18"/>
              </w:rPr>
            </w:pPr>
            <w:r w:rsidRPr="00F143EA">
              <w:rPr>
                <w:rFonts w:eastAsia="Calibri"/>
                <w:i/>
                <w:iCs/>
                <w:sz w:val="18"/>
                <w:szCs w:val="18"/>
              </w:rPr>
              <w:t>NA</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P44</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81.02</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-6.02</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P45</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75.05</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-5.05</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P46</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73.26</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-23.26</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P47</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75.20</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-10.20</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P48</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81.58</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-1.58</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P49</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VA</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73.92</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77.50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3.58</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P50</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83.21</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-28.21</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P51</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76.58</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67.50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-9.08</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P52</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87.90</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75.00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-12.90</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P53</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84.59</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-34.59</w:t>
            </w:r>
          </w:p>
        </w:tc>
      </w:tr>
      <w:tr w:rsidR="002536DB" w:rsidRPr="00F143EA" w:rsidTr="00E61ADE">
        <w:trPr>
          <w:trHeight w:val="255"/>
        </w:trPr>
        <w:tc>
          <w:tcPr>
            <w:tcW w:w="1327"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P54</w:t>
            </w:r>
          </w:p>
        </w:tc>
        <w:tc>
          <w:tcPr>
            <w:tcW w:w="1401"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V</w:t>
            </w:r>
          </w:p>
        </w:tc>
        <w:tc>
          <w:tcPr>
            <w:tcW w:w="213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71.02</w:t>
            </w:r>
          </w:p>
        </w:tc>
        <w:tc>
          <w:tcPr>
            <w:tcW w:w="2162"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50.00</w:t>
            </w:r>
          </w:p>
        </w:tc>
        <w:tc>
          <w:tcPr>
            <w:tcW w:w="1819" w:type="dxa"/>
            <w:shd w:val="clear" w:color="auto" w:fill="FFFFFF"/>
            <w:tcMar>
              <w:top w:w="0" w:type="dxa"/>
              <w:left w:w="100" w:type="dxa"/>
              <w:bottom w:w="0" w:type="dxa"/>
              <w:right w:w="100" w:type="dxa"/>
            </w:tcMar>
          </w:tcPr>
          <w:p w:rsidR="002536DB" w:rsidRPr="00F143EA" w:rsidRDefault="002536DB" w:rsidP="00E61ADE">
            <w:pPr>
              <w:tabs>
                <w:tab w:val="left" w:pos="380"/>
                <w:tab w:val="left" w:pos="500"/>
              </w:tabs>
              <w:spacing w:line="276" w:lineRule="auto"/>
              <w:jc w:val="center"/>
              <w:rPr>
                <w:rFonts w:eastAsia="Calibri"/>
                <w:sz w:val="18"/>
                <w:szCs w:val="18"/>
              </w:rPr>
            </w:pPr>
            <w:r w:rsidRPr="00F143EA">
              <w:rPr>
                <w:rFonts w:eastAsia="Calibri"/>
                <w:sz w:val="18"/>
                <w:szCs w:val="18"/>
              </w:rPr>
              <w:t>-21.02</w:t>
            </w:r>
          </w:p>
        </w:tc>
      </w:tr>
    </w:tbl>
    <w:p w:rsidR="002536DB" w:rsidRPr="008B6FAA" w:rsidRDefault="002536DB" w:rsidP="002536DB">
      <w:pPr>
        <w:tabs>
          <w:tab w:val="left" w:pos="380"/>
          <w:tab w:val="left" w:pos="500"/>
        </w:tabs>
        <w:spacing w:before="240" w:after="240" w:line="300" w:lineRule="auto"/>
        <w:ind w:right="-654"/>
        <w:jc w:val="both"/>
        <w:rPr>
          <w:sz w:val="18"/>
          <w:szCs w:val="18"/>
        </w:rPr>
      </w:pPr>
      <w:r w:rsidRPr="00F143EA">
        <w:rPr>
          <w:b/>
          <w:bCs/>
        </w:rPr>
        <w:t xml:space="preserve"> </w:t>
      </w:r>
      <w:r w:rsidRPr="008B6FAA">
        <w:rPr>
          <w:b/>
          <w:bCs/>
          <w:sz w:val="18"/>
          <w:szCs w:val="18"/>
        </w:rPr>
        <w:t xml:space="preserve">Note. </w:t>
      </w:r>
      <w:r w:rsidRPr="008B6FAA">
        <w:rPr>
          <w:sz w:val="18"/>
          <w:szCs w:val="18"/>
        </w:rPr>
        <w:t>ACQ = acquisition/classifier-training phase; BMI = brain–machine interface; Offline accuracy refers to Experimental ACQ %. Online accuracy refers to Experimental BMI %.</w:t>
      </w:r>
      <w:r>
        <w:rPr>
          <w:sz w:val="18"/>
          <w:szCs w:val="18"/>
        </w:rPr>
        <w:t xml:space="preserve"> </w:t>
      </w:r>
      <w:r w:rsidRPr="008B6FAA">
        <w:rPr>
          <w:sz w:val="18"/>
          <w:szCs w:val="18"/>
        </w:rPr>
        <w:t>Feedback condition: V = visual; VA = audiovisual; VAT = audiovisual + tactile. NA indicates missing or invalid performance data due to technical or protocol-related irregularities affecting BMI task logs, classifier-output files, or acquisition/classifier-training files.</w:t>
      </w:r>
    </w:p>
    <w:p w:rsidR="002536DB" w:rsidRPr="00F143EA" w:rsidRDefault="002536DB" w:rsidP="002536DB">
      <w:pPr>
        <w:tabs>
          <w:tab w:val="left" w:pos="380"/>
          <w:tab w:val="left" w:pos="500"/>
        </w:tabs>
        <w:spacing w:after="200" w:line="300" w:lineRule="auto"/>
        <w:rPr>
          <w:b/>
          <w:bCs/>
        </w:rPr>
      </w:pPr>
    </w:p>
    <w:p w:rsidR="00FE60EE" w:rsidRDefault="00FE60EE">
      <w:bookmarkStart w:id="0" w:name="_GoBack"/>
      <w:bookmarkEnd w:id="0"/>
    </w:p>
    <w:sectPr w:rsidR="00FE60EE" w:rsidSect="009F47D6">
      <w:pgSz w:w="11906" w:h="16838"/>
      <w:pgMar w:top="1418" w:right="1531" w:bottom="1077" w:left="1531"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6DB"/>
    <w:rsid w:val="002536DB"/>
    <w:rsid w:val="006D1401"/>
    <w:rsid w:val="00B16AC0"/>
    <w:rsid w:val="00BA062F"/>
    <w:rsid w:val="00FE60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DA6E15-47D1-49ED-BE02-1AF7D92C6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6DB"/>
    <w:pPr>
      <w:spacing w:after="0" w:line="240" w:lineRule="auto"/>
    </w:pPr>
    <w:rPr>
      <w:rFonts w:ascii="Times New Roman" w:eastAsia="Times New Roman" w:hAnsi="Times New Roman" w:cs="Times New Roman"/>
      <w:sz w:val="24"/>
      <w:szCs w:val="24"/>
      <w:lang w:val="en"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1054</Words>
  <Characters>6009</Characters>
  <Application>Microsoft Office Word</Application>
  <DocSecurity>0</DocSecurity>
  <Lines>50</Lines>
  <Paragraphs>14</Paragraphs>
  <ScaleCrop>false</ScaleCrop>
  <Company/>
  <LinksUpToDate>false</LinksUpToDate>
  <CharactersWithSpaces>7049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Shekina A</dc:creator>
  <cp:keywords/>
  <dc:description/>
  <cp:lastModifiedBy>Shekina A</cp:lastModifiedBy>
  <cp:revision>1</cp:revision>
  <dcterms:created xsi:type="dcterms:W3CDTF">2026-10-03T12:46:00Z</dcterms:created>
  <dcterms:modified xsi:type="dcterms:W3CDTF">2026-10-03T12:48:00Z</dcterms:modified>
</cp:coreProperties>
</file>