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60E2F" w14:textId="77777777" w:rsidR="007A3B0A" w:rsidRPr="00DB7B1B" w:rsidRDefault="007A3B0A" w:rsidP="007A3B0A">
      <w:pPr>
        <w:pStyle w:val="Title"/>
        <w:rPr>
          <w:i/>
          <w:iCs/>
        </w:rPr>
      </w:pPr>
      <w:r w:rsidRPr="00DB7B1B">
        <w:rPr>
          <w:i/>
          <w:iCs/>
        </w:rPr>
        <w:t>Clinical Rheumatology</w:t>
      </w:r>
    </w:p>
    <w:p w14:paraId="25CADF44" w14:textId="77777777" w:rsidR="007A3B0A" w:rsidRPr="00DB7B1B" w:rsidRDefault="007A3B0A" w:rsidP="007A3B0A">
      <w:pPr>
        <w:pStyle w:val="Heading1"/>
      </w:pPr>
      <w:r w:rsidRPr="00DB7B1B">
        <w:t>Online Resource</w:t>
      </w:r>
    </w:p>
    <w:p w14:paraId="72E40466" w14:textId="77777777" w:rsidR="007A3B0A" w:rsidRDefault="007A3B0A" w:rsidP="007A3B0A">
      <w:pPr>
        <w:pStyle w:val="Heading1"/>
      </w:pPr>
      <w:r w:rsidRPr="00DB7B1B">
        <w:t>Efficacy and safety of tofacitinib by background methotrexate dose in psoriatic arthritis: post hoc exploratory analysis from two phase III trials</w:t>
      </w:r>
    </w:p>
    <w:p w14:paraId="3089AEF2" w14:textId="77777777" w:rsidR="007A3B0A" w:rsidRPr="00DB7B1B" w:rsidRDefault="007A3B0A" w:rsidP="007A3B0A">
      <w:pPr>
        <w:pStyle w:val="Heading1"/>
      </w:pPr>
      <w:r w:rsidRPr="00DB7B1B">
        <w:rPr>
          <w:rFonts w:cs="Times New Roman"/>
          <w:b w:val="0"/>
          <w:bCs/>
          <w:sz w:val="24"/>
          <w:szCs w:val="24"/>
        </w:rPr>
        <w:t>Alan J. Kivitz,</w:t>
      </w:r>
      <w:r w:rsidRPr="00DB7B1B">
        <w:rPr>
          <w:rFonts w:cs="Times New Roman"/>
          <w:b w:val="0"/>
          <w:bCs/>
          <w:sz w:val="24"/>
          <w:szCs w:val="24"/>
          <w:vertAlign w:val="superscript"/>
        </w:rPr>
        <w:t>1</w:t>
      </w:r>
      <w:r w:rsidRPr="00DB7B1B">
        <w:rPr>
          <w:rFonts w:cs="Times New Roman"/>
          <w:b w:val="0"/>
          <w:bCs/>
          <w:sz w:val="24"/>
          <w:szCs w:val="24"/>
        </w:rPr>
        <w:t xml:space="preserve"> Oliver FitzGerald,</w:t>
      </w:r>
      <w:r w:rsidRPr="00DB7B1B">
        <w:rPr>
          <w:rFonts w:cs="Times New Roman"/>
          <w:b w:val="0"/>
          <w:bCs/>
          <w:sz w:val="24"/>
          <w:szCs w:val="24"/>
          <w:vertAlign w:val="superscript"/>
        </w:rPr>
        <w:t>2</w:t>
      </w:r>
      <w:r w:rsidRPr="00DB7B1B">
        <w:rPr>
          <w:rFonts w:cs="Times New Roman"/>
          <w:b w:val="0"/>
          <w:bCs/>
          <w:sz w:val="24"/>
          <w:szCs w:val="24"/>
        </w:rPr>
        <w:t xml:space="preserve"> Peter Nash,</w:t>
      </w:r>
      <w:r w:rsidRPr="00DB7B1B">
        <w:rPr>
          <w:rFonts w:cs="Times New Roman"/>
          <w:b w:val="0"/>
          <w:bCs/>
          <w:sz w:val="24"/>
          <w:szCs w:val="24"/>
          <w:vertAlign w:val="superscript"/>
        </w:rPr>
        <w:t>3</w:t>
      </w:r>
      <w:r w:rsidRPr="00DB7B1B">
        <w:rPr>
          <w:rFonts w:cs="Times New Roman"/>
          <w:b w:val="0"/>
          <w:bCs/>
          <w:sz w:val="24"/>
          <w:szCs w:val="24"/>
        </w:rPr>
        <w:t xml:space="preserve"> Shirley Pang,</w:t>
      </w:r>
      <w:r w:rsidRPr="00DB7B1B">
        <w:rPr>
          <w:rFonts w:cs="Times New Roman"/>
          <w:b w:val="0"/>
          <w:bCs/>
          <w:sz w:val="24"/>
          <w:szCs w:val="24"/>
          <w:vertAlign w:val="superscript"/>
        </w:rPr>
        <w:t>4</w:t>
      </w:r>
      <w:r w:rsidRPr="00DB7B1B">
        <w:rPr>
          <w:rFonts w:cs="Times New Roman"/>
          <w:b w:val="0"/>
          <w:bCs/>
          <w:sz w:val="24"/>
          <w:szCs w:val="24"/>
        </w:rPr>
        <w:t xml:space="preserve"> </w:t>
      </w:r>
      <w:proofErr w:type="spellStart"/>
      <w:r w:rsidRPr="00DB7B1B">
        <w:rPr>
          <w:rFonts w:cs="Times New Roman"/>
          <w:b w:val="0"/>
          <w:bCs/>
          <w:sz w:val="24"/>
          <w:szCs w:val="24"/>
        </w:rPr>
        <w:t>Valderilio</w:t>
      </w:r>
      <w:proofErr w:type="spellEnd"/>
      <w:r w:rsidRPr="00DB7B1B">
        <w:rPr>
          <w:rFonts w:cs="Times New Roman"/>
          <w:b w:val="0"/>
          <w:bCs/>
          <w:sz w:val="24"/>
          <w:szCs w:val="24"/>
        </w:rPr>
        <w:t xml:space="preserve"> F. Azevedo,</w:t>
      </w:r>
      <w:r w:rsidRPr="00DB7B1B">
        <w:rPr>
          <w:rFonts w:cs="Times New Roman"/>
          <w:b w:val="0"/>
          <w:bCs/>
          <w:sz w:val="24"/>
          <w:szCs w:val="24"/>
          <w:vertAlign w:val="superscript"/>
        </w:rPr>
        <w:t>5</w:t>
      </w:r>
      <w:r w:rsidRPr="00DB7B1B">
        <w:rPr>
          <w:rFonts w:cs="Times New Roman"/>
          <w:b w:val="0"/>
          <w:bCs/>
          <w:sz w:val="24"/>
          <w:szCs w:val="24"/>
        </w:rPr>
        <w:t xml:space="preserve"> Cunshan Wang,</w:t>
      </w:r>
      <w:r w:rsidRPr="00DB7B1B">
        <w:rPr>
          <w:rFonts w:cs="Times New Roman"/>
          <w:b w:val="0"/>
          <w:bCs/>
          <w:sz w:val="24"/>
          <w:szCs w:val="24"/>
          <w:vertAlign w:val="superscript"/>
        </w:rPr>
        <w:t>6</w:t>
      </w:r>
      <w:r w:rsidRPr="00DB7B1B">
        <w:rPr>
          <w:rFonts w:cs="Times New Roman"/>
          <w:b w:val="0"/>
          <w:bCs/>
          <w:sz w:val="24"/>
          <w:szCs w:val="24"/>
        </w:rPr>
        <w:t xml:space="preserve"> Liza Takiya</w:t>
      </w:r>
      <w:r w:rsidRPr="00DB7B1B">
        <w:rPr>
          <w:rFonts w:cs="Times New Roman"/>
          <w:b w:val="0"/>
          <w:bCs/>
          <w:sz w:val="24"/>
          <w:szCs w:val="24"/>
          <w:vertAlign w:val="superscript"/>
        </w:rPr>
        <w:t>7</w:t>
      </w:r>
    </w:p>
    <w:p w14:paraId="2D09575A" w14:textId="77777777" w:rsidR="007A3B0A" w:rsidRPr="00DB7B1B" w:rsidRDefault="007A3B0A" w:rsidP="007A3B0A">
      <w:pPr>
        <w:spacing w:beforeLines="120" w:before="288" w:afterLines="120" w:after="288"/>
        <w:rPr>
          <w:rFonts w:ascii="Times New Roman" w:hAnsi="Times New Roman"/>
          <w:bCs/>
          <w:i/>
          <w:iCs/>
          <w:szCs w:val="24"/>
        </w:rPr>
      </w:pPr>
      <w:r w:rsidRPr="00DB7B1B">
        <w:rPr>
          <w:rFonts w:ascii="Times New Roman" w:hAnsi="Times New Roman"/>
          <w:bCs/>
          <w:i/>
          <w:iCs/>
          <w:szCs w:val="24"/>
          <w:vertAlign w:val="superscript"/>
        </w:rPr>
        <w:t>1</w:t>
      </w:r>
      <w:r w:rsidRPr="00DB7B1B">
        <w:rPr>
          <w:rFonts w:ascii="Times New Roman" w:hAnsi="Times New Roman"/>
          <w:bCs/>
          <w:i/>
          <w:iCs/>
          <w:szCs w:val="24"/>
        </w:rPr>
        <w:t xml:space="preserve">Department of Rheumatology, Altoona Center for Clinical Research, Duncansville, Pennsylvania, USA; </w:t>
      </w:r>
      <w:r w:rsidRPr="00DB7B1B">
        <w:rPr>
          <w:rFonts w:ascii="Times New Roman" w:hAnsi="Times New Roman"/>
          <w:bCs/>
          <w:i/>
          <w:iCs/>
          <w:szCs w:val="24"/>
          <w:vertAlign w:val="superscript"/>
        </w:rPr>
        <w:t>2</w:t>
      </w:r>
      <w:r w:rsidRPr="00DB7B1B">
        <w:rPr>
          <w:rFonts w:ascii="Times New Roman" w:hAnsi="Times New Roman"/>
          <w:bCs/>
          <w:i/>
          <w:iCs/>
          <w:szCs w:val="24"/>
        </w:rPr>
        <w:t xml:space="preserve">Department of Rheumatology, Conway Institute for Biomolecular Research, University College, Dublin, Ireland; </w:t>
      </w:r>
      <w:r w:rsidRPr="00DB7B1B">
        <w:rPr>
          <w:rFonts w:ascii="Times New Roman" w:hAnsi="Times New Roman"/>
          <w:bCs/>
          <w:i/>
          <w:iCs/>
          <w:szCs w:val="24"/>
          <w:vertAlign w:val="superscript"/>
        </w:rPr>
        <w:t>3</w:t>
      </w:r>
      <w:r w:rsidRPr="00DB7B1B">
        <w:rPr>
          <w:rFonts w:ascii="Times New Roman" w:hAnsi="Times New Roman"/>
          <w:bCs/>
          <w:i/>
          <w:iCs/>
          <w:szCs w:val="24"/>
        </w:rPr>
        <w:t xml:space="preserve">Department of Medicine, University of Queensland, St Lucia, Brisbane, Australia; </w:t>
      </w:r>
      <w:proofErr w:type="gramStart"/>
      <w:r w:rsidRPr="00DB7B1B">
        <w:rPr>
          <w:rFonts w:ascii="Times New Roman" w:hAnsi="Times New Roman"/>
          <w:bCs/>
          <w:i/>
          <w:iCs/>
          <w:szCs w:val="24"/>
          <w:vertAlign w:val="superscript"/>
        </w:rPr>
        <w:t>4</w:t>
      </w:r>
      <w:r w:rsidRPr="00DB7B1B">
        <w:rPr>
          <w:rFonts w:ascii="Times New Roman" w:hAnsi="Times New Roman"/>
          <w:bCs/>
          <w:i/>
          <w:iCs/>
          <w:szCs w:val="24"/>
        </w:rPr>
        <w:t>St</w:t>
      </w:r>
      <w:proofErr w:type="gramEnd"/>
      <w:r w:rsidRPr="00DB7B1B">
        <w:rPr>
          <w:rFonts w:ascii="Times New Roman" w:hAnsi="Times New Roman"/>
          <w:bCs/>
          <w:i/>
          <w:iCs/>
          <w:szCs w:val="24"/>
        </w:rPr>
        <w:t xml:space="preserve"> Joseph Heritage Healthcare, Fullerton, California, USA; </w:t>
      </w:r>
      <w:r w:rsidRPr="00DB7B1B">
        <w:rPr>
          <w:rFonts w:ascii="Times New Roman" w:hAnsi="Times New Roman"/>
          <w:bCs/>
          <w:i/>
          <w:iCs/>
          <w:szCs w:val="24"/>
          <w:vertAlign w:val="superscript"/>
        </w:rPr>
        <w:t>5</w:t>
      </w:r>
      <w:r w:rsidRPr="00DB7B1B">
        <w:rPr>
          <w:rFonts w:ascii="Times New Roman" w:hAnsi="Times New Roman"/>
          <w:bCs/>
          <w:i/>
          <w:iCs/>
          <w:szCs w:val="24"/>
        </w:rPr>
        <w:t xml:space="preserve">Universidade Federal do Paraná, Curitiba, Brazil; </w:t>
      </w:r>
      <w:r w:rsidRPr="00DB7B1B">
        <w:rPr>
          <w:rFonts w:ascii="Times New Roman" w:hAnsi="Times New Roman"/>
          <w:bCs/>
          <w:i/>
          <w:iCs/>
          <w:szCs w:val="24"/>
          <w:vertAlign w:val="superscript"/>
        </w:rPr>
        <w:t>6</w:t>
      </w:r>
      <w:bookmarkStart w:id="0" w:name="_Hlk55900145"/>
      <w:r w:rsidRPr="00DB7B1B">
        <w:rPr>
          <w:rFonts w:ascii="Times New Roman" w:hAnsi="Times New Roman"/>
          <w:bCs/>
          <w:i/>
          <w:iCs/>
          <w:szCs w:val="24"/>
        </w:rPr>
        <w:t xml:space="preserve">Pfizer Inc, Groton, Connecticut, USA; </w:t>
      </w:r>
      <w:r w:rsidRPr="00DB7B1B">
        <w:rPr>
          <w:rFonts w:ascii="Times New Roman" w:hAnsi="Times New Roman"/>
          <w:bCs/>
          <w:i/>
          <w:iCs/>
          <w:szCs w:val="24"/>
          <w:vertAlign w:val="superscript"/>
        </w:rPr>
        <w:t>7</w:t>
      </w:r>
      <w:r w:rsidRPr="00DB7B1B">
        <w:rPr>
          <w:rFonts w:ascii="Times New Roman" w:hAnsi="Times New Roman"/>
          <w:bCs/>
          <w:i/>
          <w:iCs/>
          <w:szCs w:val="24"/>
        </w:rPr>
        <w:t>Pfizer Inc, Collegeville, Pennsylvania, USA</w:t>
      </w:r>
      <w:bookmarkEnd w:id="0"/>
    </w:p>
    <w:p w14:paraId="5A68DE94" w14:textId="77777777" w:rsidR="007A3B0A" w:rsidRDefault="007A3B0A" w:rsidP="007A3B0A">
      <w:pPr>
        <w:spacing w:beforeLines="120" w:before="288" w:afterLines="120" w:after="288" w:line="259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4E0BC6">
        <w:rPr>
          <w:rFonts w:ascii="Times New Roman" w:hAnsi="Times New Roman"/>
          <w:b/>
          <w:szCs w:val="24"/>
        </w:rPr>
        <w:t xml:space="preserve">Corresponding author: </w:t>
      </w:r>
      <w:r w:rsidRPr="00DB7B1B">
        <w:rPr>
          <w:rFonts w:ascii="Times New Roman" w:hAnsi="Times New Roman"/>
          <w:bCs/>
          <w:szCs w:val="24"/>
        </w:rPr>
        <w:t xml:space="preserve">Dr. Liza </w:t>
      </w:r>
      <w:proofErr w:type="spellStart"/>
      <w:r w:rsidRPr="00DB7B1B">
        <w:rPr>
          <w:rFonts w:ascii="Times New Roman" w:hAnsi="Times New Roman"/>
          <w:bCs/>
          <w:szCs w:val="24"/>
        </w:rPr>
        <w:t>Takiya</w:t>
      </w:r>
      <w:proofErr w:type="spellEnd"/>
      <w:r w:rsidRPr="00DB7B1B">
        <w:rPr>
          <w:rFonts w:ascii="Times New Roman" w:hAnsi="Times New Roman"/>
          <w:bCs/>
          <w:szCs w:val="24"/>
        </w:rPr>
        <w:t xml:space="preserve">, </w:t>
      </w:r>
      <w:hyperlink r:id="rId8" w:history="1">
        <w:r w:rsidRPr="00DB7B1B">
          <w:rPr>
            <w:rStyle w:val="Hyperlink"/>
            <w:rFonts w:ascii="Times New Roman" w:hAnsi="Times New Roman"/>
            <w:bCs/>
            <w:szCs w:val="24"/>
            <w:lang w:val="es-ES"/>
          </w:rPr>
          <w:t>Liza.Takiya@pfizer.com</w:t>
        </w:r>
      </w:hyperlink>
      <w:r>
        <w:rPr>
          <w:rFonts w:ascii="Times New Roman" w:hAnsi="Times New Roman"/>
          <w:b/>
          <w:bCs/>
          <w:iCs/>
          <w:sz w:val="24"/>
          <w:szCs w:val="24"/>
        </w:rPr>
        <w:br w:type="page"/>
      </w:r>
    </w:p>
    <w:p w14:paraId="042FA72A" w14:textId="77777777" w:rsidR="007A3B0A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b/>
          <w:bCs/>
          <w:iCs/>
          <w:sz w:val="24"/>
          <w:szCs w:val="24"/>
        </w:rPr>
        <w:sectPr w:rsidR="007A3B0A" w:rsidSect="00DB7B1B">
          <w:pgSz w:w="11906" w:h="16838"/>
          <w:pgMar w:top="1701" w:right="1440" w:bottom="992" w:left="1440" w:header="709" w:footer="709" w:gutter="0"/>
          <w:cols w:space="708"/>
          <w:docGrid w:linePitch="360"/>
        </w:sectPr>
      </w:pPr>
    </w:p>
    <w:p w14:paraId="332CB01B" w14:textId="1A769477" w:rsidR="007A3B0A" w:rsidRPr="008B4498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DB7B1B">
        <w:rPr>
          <w:rFonts w:ascii="Times New Roman" w:hAnsi="Times New Roman"/>
          <w:b/>
          <w:bCs/>
          <w:iCs/>
          <w:sz w:val="24"/>
          <w:szCs w:val="24"/>
        </w:rPr>
        <w:lastRenderedPageBreak/>
        <w:t>Supplementary Table 1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B4498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east squares</w:t>
      </w:r>
      <w:r w:rsidRPr="008B4498">
        <w:rPr>
          <w:rFonts w:ascii="Times New Roman" w:hAnsi="Times New Roman"/>
          <w:sz w:val="24"/>
          <w:szCs w:val="24"/>
        </w:rPr>
        <w:t xml:space="preserve"> mean (SE) changes from baseline </w:t>
      </w:r>
      <w:r w:rsidRPr="004E0BC6">
        <w:rPr>
          <w:rFonts w:ascii="Times New Roman" w:hAnsi="Times New Roman"/>
          <w:sz w:val="24"/>
          <w:szCs w:val="24"/>
        </w:rPr>
        <w:t xml:space="preserve">(Δ) </w:t>
      </w:r>
      <w:r w:rsidRPr="008B4498">
        <w:rPr>
          <w:rFonts w:ascii="Times New Roman" w:hAnsi="Times New Roman"/>
          <w:sz w:val="24"/>
          <w:szCs w:val="24"/>
        </w:rPr>
        <w:t xml:space="preserve">by treatment group and </w:t>
      </w:r>
      <w:r w:rsidRPr="009710D4">
        <w:rPr>
          <w:rFonts w:ascii="Times New Roman" w:hAnsi="Times New Roman"/>
          <w:sz w:val="24"/>
          <w:szCs w:val="24"/>
        </w:rPr>
        <w:t>background MTX dose (</w:t>
      </w:r>
      <w:r w:rsidR="000147E6" w:rsidRPr="009710D4">
        <w:rPr>
          <w:rFonts w:ascii="Times New Roman" w:hAnsi="Times New Roman"/>
          <w:sz w:val="24"/>
          <w:szCs w:val="24"/>
        </w:rPr>
        <w:t>m</w:t>
      </w:r>
      <w:r w:rsidRPr="009710D4">
        <w:rPr>
          <w:rFonts w:ascii="Times New Roman" w:hAnsi="Times New Roman"/>
          <w:sz w:val="24"/>
          <w:szCs w:val="24"/>
        </w:rPr>
        <w:t>onth 3)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026"/>
        <w:gridCol w:w="2026"/>
        <w:gridCol w:w="2028"/>
        <w:gridCol w:w="2026"/>
        <w:gridCol w:w="2026"/>
        <w:gridCol w:w="2028"/>
      </w:tblGrid>
      <w:tr w:rsidR="007A3B0A" w:rsidRPr="00136271" w14:paraId="2E175F1A" w14:textId="77777777" w:rsidTr="00F10516"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14:paraId="546CB7FA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AC630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>Tofacitinib</w:t>
            </w:r>
            <w:r w:rsidRPr="004743F3">
              <w:rPr>
                <w:color w:val="000000"/>
                <w:sz w:val="24"/>
                <w:szCs w:val="24"/>
              </w:rPr>
              <w:br/>
              <w:t>5 mg BID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20D83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>Tofacitinib</w:t>
            </w:r>
            <w:r w:rsidRPr="004743F3">
              <w:rPr>
                <w:color w:val="000000"/>
                <w:sz w:val="24"/>
                <w:szCs w:val="24"/>
              </w:rPr>
              <w:br/>
              <w:t>10 mg BID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D078C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>Placebo</w:t>
            </w:r>
          </w:p>
        </w:tc>
      </w:tr>
      <w:tr w:rsidR="007A3B0A" w:rsidRPr="00136271" w14:paraId="55DC6F96" w14:textId="77777777" w:rsidTr="00F10516"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14:paraId="51A828BC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F884B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 xml:space="preserve">MTX dose </w:t>
            </w:r>
            <w:r w:rsidRPr="004743F3">
              <w:rPr>
                <w:color w:val="000000"/>
                <w:sz w:val="24"/>
                <w:szCs w:val="24"/>
              </w:rPr>
              <w:br/>
              <w:t>≤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743F3">
              <w:rPr>
                <w:color w:val="000000"/>
                <w:sz w:val="24"/>
                <w:szCs w:val="24"/>
              </w:rPr>
              <w:t>15 mg/week</w:t>
            </w:r>
          </w:p>
          <w:p w14:paraId="298C707A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>(</w:t>
            </w:r>
            <w:r w:rsidRPr="00DB7B1B">
              <w:rPr>
                <w:i/>
                <w:iCs/>
                <w:color w:val="000000"/>
                <w:sz w:val="24"/>
                <w:szCs w:val="24"/>
              </w:rPr>
              <w:t>N</w:t>
            </w:r>
            <w:r w:rsidRPr="004743F3">
              <w:rPr>
                <w:color w:val="000000"/>
                <w:sz w:val="24"/>
                <w:szCs w:val="24"/>
              </w:rPr>
              <w:t xml:space="preserve"> = 116)</w:t>
            </w:r>
            <w:r>
              <w:rPr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3B9E3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 xml:space="preserve">MTX dose </w:t>
            </w:r>
            <w:r w:rsidRPr="004743F3">
              <w:rPr>
                <w:color w:val="000000"/>
                <w:sz w:val="24"/>
                <w:szCs w:val="24"/>
              </w:rPr>
              <w:br/>
              <w:t>&gt;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743F3">
              <w:rPr>
                <w:color w:val="000000"/>
                <w:sz w:val="24"/>
                <w:szCs w:val="24"/>
              </w:rPr>
              <w:t>15 mg/week</w:t>
            </w:r>
          </w:p>
          <w:p w14:paraId="6EBEEA77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>(</w:t>
            </w:r>
            <w:r w:rsidRPr="00DB7B1B">
              <w:rPr>
                <w:i/>
                <w:iCs/>
                <w:color w:val="000000"/>
                <w:sz w:val="24"/>
                <w:szCs w:val="24"/>
              </w:rPr>
              <w:t>N</w:t>
            </w:r>
            <w:r w:rsidRPr="004743F3">
              <w:rPr>
                <w:color w:val="000000"/>
                <w:sz w:val="24"/>
                <w:szCs w:val="24"/>
              </w:rPr>
              <w:t xml:space="preserve"> = 70)</w:t>
            </w:r>
            <w:r>
              <w:rPr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5CF7E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 xml:space="preserve">MTX dose </w:t>
            </w:r>
            <w:r w:rsidRPr="004743F3">
              <w:rPr>
                <w:color w:val="000000"/>
                <w:sz w:val="24"/>
                <w:szCs w:val="24"/>
              </w:rPr>
              <w:br/>
              <w:t>≤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743F3">
              <w:rPr>
                <w:color w:val="000000"/>
                <w:sz w:val="24"/>
                <w:szCs w:val="24"/>
              </w:rPr>
              <w:t>15 mg/week</w:t>
            </w:r>
          </w:p>
          <w:p w14:paraId="0465DCC9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>(</w:t>
            </w:r>
            <w:r w:rsidRPr="00DB7B1B">
              <w:rPr>
                <w:i/>
                <w:iCs/>
                <w:color w:val="000000"/>
                <w:sz w:val="24"/>
                <w:szCs w:val="24"/>
              </w:rPr>
              <w:t>N</w:t>
            </w:r>
            <w:r w:rsidRPr="004743F3">
              <w:rPr>
                <w:color w:val="000000"/>
                <w:sz w:val="24"/>
                <w:szCs w:val="24"/>
              </w:rPr>
              <w:t xml:space="preserve"> = 122)</w:t>
            </w:r>
            <w:r>
              <w:rPr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3AD7C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 xml:space="preserve">MTX dose </w:t>
            </w:r>
            <w:r w:rsidRPr="004743F3">
              <w:rPr>
                <w:color w:val="000000"/>
                <w:sz w:val="24"/>
                <w:szCs w:val="24"/>
              </w:rPr>
              <w:br/>
              <w:t>&gt;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743F3">
              <w:rPr>
                <w:color w:val="000000"/>
                <w:sz w:val="24"/>
                <w:szCs w:val="24"/>
              </w:rPr>
              <w:t>15 mg/week</w:t>
            </w:r>
          </w:p>
          <w:p w14:paraId="1DB35D2B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>(</w:t>
            </w:r>
            <w:r w:rsidRPr="00DB7B1B">
              <w:rPr>
                <w:i/>
                <w:iCs/>
                <w:color w:val="000000"/>
                <w:sz w:val="24"/>
                <w:szCs w:val="24"/>
              </w:rPr>
              <w:t>N</w:t>
            </w:r>
            <w:r w:rsidRPr="004743F3">
              <w:rPr>
                <w:color w:val="000000"/>
                <w:sz w:val="24"/>
                <w:szCs w:val="24"/>
              </w:rPr>
              <w:t xml:space="preserve"> = 56)</w:t>
            </w:r>
            <w:r>
              <w:rPr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9FC69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 xml:space="preserve">MTX dose </w:t>
            </w:r>
            <w:r w:rsidRPr="004743F3">
              <w:rPr>
                <w:color w:val="000000"/>
                <w:sz w:val="24"/>
                <w:szCs w:val="24"/>
              </w:rPr>
              <w:br/>
              <w:t>≤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743F3">
              <w:rPr>
                <w:color w:val="000000"/>
                <w:sz w:val="24"/>
                <w:szCs w:val="24"/>
              </w:rPr>
              <w:t>15 mg/week</w:t>
            </w:r>
          </w:p>
          <w:p w14:paraId="6B250E0D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>(</w:t>
            </w:r>
            <w:r w:rsidRPr="00DB7B1B">
              <w:rPr>
                <w:i/>
                <w:iCs/>
                <w:color w:val="000000"/>
                <w:sz w:val="24"/>
                <w:szCs w:val="24"/>
              </w:rPr>
              <w:t>N</w:t>
            </w:r>
            <w:r w:rsidRPr="004743F3">
              <w:rPr>
                <w:color w:val="000000"/>
                <w:sz w:val="24"/>
                <w:szCs w:val="24"/>
              </w:rPr>
              <w:t xml:space="preserve"> = 133)</w:t>
            </w:r>
            <w:r>
              <w:rPr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8F4A0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 xml:space="preserve">MTX dose </w:t>
            </w:r>
            <w:r w:rsidRPr="004743F3">
              <w:rPr>
                <w:color w:val="000000"/>
                <w:sz w:val="24"/>
                <w:szCs w:val="24"/>
              </w:rPr>
              <w:br/>
              <w:t>&gt;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743F3">
              <w:rPr>
                <w:color w:val="000000"/>
                <w:sz w:val="24"/>
                <w:szCs w:val="24"/>
              </w:rPr>
              <w:t>15 mg/week</w:t>
            </w:r>
          </w:p>
          <w:p w14:paraId="11ED40D2" w14:textId="77777777" w:rsidR="007A3B0A" w:rsidRPr="004743F3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743F3">
              <w:rPr>
                <w:color w:val="000000"/>
                <w:sz w:val="24"/>
                <w:szCs w:val="24"/>
              </w:rPr>
              <w:t>(</w:t>
            </w:r>
            <w:r w:rsidRPr="00DB7B1B">
              <w:rPr>
                <w:i/>
                <w:iCs/>
                <w:color w:val="000000"/>
                <w:sz w:val="24"/>
                <w:szCs w:val="24"/>
              </w:rPr>
              <w:t>N</w:t>
            </w:r>
            <w:r w:rsidRPr="004743F3">
              <w:rPr>
                <w:color w:val="000000"/>
                <w:sz w:val="24"/>
                <w:szCs w:val="24"/>
              </w:rPr>
              <w:t xml:space="preserve"> = 59)</w:t>
            </w:r>
            <w:r>
              <w:rPr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7A3B0A" w:rsidRPr="008B4498" w14:paraId="64841C45" w14:textId="77777777" w:rsidTr="00F10516"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14:paraId="04B1A949" w14:textId="77777777" w:rsidR="007A3B0A" w:rsidRPr="009342C3" w:rsidRDefault="007A3B0A" w:rsidP="00F10516">
            <w:pPr>
              <w:pStyle w:val="Paragraph"/>
              <w:spacing w:before="120" w:after="120" w:line="360" w:lineRule="auto"/>
              <w:rPr>
                <w:color w:val="000000"/>
                <w:sz w:val="24"/>
                <w:szCs w:val="24"/>
              </w:rPr>
            </w:pPr>
            <w:r w:rsidRPr="009342C3">
              <w:rPr>
                <w:color w:val="000000"/>
                <w:sz w:val="24"/>
                <w:szCs w:val="24"/>
              </w:rPr>
              <w:t>ΔHAQ-DI</w:t>
            </w:r>
            <w:r w:rsidRPr="009342C3">
              <w:rPr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9342C3">
              <w:rPr>
                <w:color w:val="000000"/>
                <w:sz w:val="24"/>
                <w:szCs w:val="24"/>
              </w:rPr>
              <w:t>(SE) [</w:t>
            </w:r>
            <w:r w:rsidRPr="0085412E">
              <w:rPr>
                <w:i/>
                <w:iCs/>
                <w:color w:val="000000"/>
                <w:sz w:val="24"/>
                <w:szCs w:val="24"/>
              </w:rPr>
              <w:t>n</w:t>
            </w:r>
            <w:r w:rsidRPr="009342C3">
              <w:rPr>
                <w:color w:val="000000"/>
                <w:sz w:val="24"/>
                <w:szCs w:val="24"/>
              </w:rPr>
              <w:t>]</w:t>
            </w:r>
            <w:r>
              <w:rPr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14:paraId="2EB7F631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0.35 (0.05) </w:t>
            </w:r>
            <w:r w:rsidRPr="008B4498">
              <w:rPr>
                <w:color w:val="000000"/>
                <w:sz w:val="24"/>
                <w:szCs w:val="24"/>
              </w:rPr>
              <w:br/>
              <w:t>[112]</w:t>
            </w:r>
          </w:p>
        </w:tc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14:paraId="626C70C4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>0.39 (0.06)</w:t>
            </w:r>
            <w:r w:rsidRPr="008B4498">
              <w:rPr>
                <w:color w:val="000000"/>
                <w:sz w:val="24"/>
                <w:szCs w:val="24"/>
              </w:rPr>
              <w:br/>
              <w:t>[67]</w:t>
            </w:r>
          </w:p>
        </w:tc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14:paraId="752F0D88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0.46 (0.04) </w:t>
            </w:r>
            <w:r w:rsidRPr="008B4498">
              <w:rPr>
                <w:color w:val="000000"/>
                <w:sz w:val="24"/>
                <w:szCs w:val="24"/>
              </w:rPr>
              <w:br/>
              <w:t>[118]</w:t>
            </w:r>
          </w:p>
        </w:tc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14:paraId="2926FDB0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>0.28 (0.07)</w:t>
            </w:r>
            <w:r w:rsidRPr="008B4498">
              <w:rPr>
                <w:color w:val="000000"/>
                <w:sz w:val="24"/>
                <w:szCs w:val="24"/>
              </w:rPr>
              <w:br/>
              <w:t>[52]</w:t>
            </w:r>
          </w:p>
        </w:tc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14:paraId="57DF1656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0.17 (0.04) </w:t>
            </w:r>
            <w:r w:rsidRPr="008B4498">
              <w:rPr>
                <w:color w:val="000000"/>
                <w:sz w:val="24"/>
                <w:szCs w:val="24"/>
              </w:rPr>
              <w:br/>
              <w:t>[123]</w:t>
            </w:r>
          </w:p>
        </w:tc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14:paraId="2468D36F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>0.18 (0.06)</w:t>
            </w:r>
            <w:r w:rsidRPr="008B4498">
              <w:rPr>
                <w:color w:val="000000"/>
                <w:sz w:val="24"/>
                <w:szCs w:val="24"/>
              </w:rPr>
              <w:br/>
              <w:t>[58]</w:t>
            </w:r>
          </w:p>
        </w:tc>
      </w:tr>
      <w:tr w:rsidR="007A3B0A" w:rsidRPr="008B4498" w14:paraId="3107C7E7" w14:textId="77777777" w:rsidTr="00F10516">
        <w:tc>
          <w:tcPr>
            <w:tcW w:w="702" w:type="pct"/>
            <w:vAlign w:val="center"/>
          </w:tcPr>
          <w:p w14:paraId="3B3D5FD4" w14:textId="77777777" w:rsidR="007A3B0A" w:rsidRPr="005B3B91" w:rsidRDefault="007A3B0A" w:rsidP="00F10516">
            <w:pPr>
              <w:pStyle w:val="Paragraph"/>
              <w:spacing w:before="120" w:after="120" w:line="360" w:lineRule="auto"/>
              <w:rPr>
                <w:color w:val="000000"/>
                <w:sz w:val="24"/>
                <w:szCs w:val="24"/>
                <w:lang w:val="es-ES"/>
              </w:rPr>
            </w:pPr>
            <w:r w:rsidRPr="009342C3">
              <w:rPr>
                <w:color w:val="000000"/>
                <w:sz w:val="24"/>
                <w:szCs w:val="24"/>
              </w:rPr>
              <w:t>Δ</w:t>
            </w:r>
            <w:r w:rsidRPr="005B3B91">
              <w:rPr>
                <w:color w:val="000000"/>
                <w:sz w:val="24"/>
                <w:szCs w:val="24"/>
                <w:lang w:val="es-ES"/>
              </w:rPr>
              <w:t>PGA-PsA-VAS, mm</w:t>
            </w:r>
            <w:r w:rsidRPr="005B3B91">
              <w:rPr>
                <w:color w:val="000000"/>
                <w:sz w:val="24"/>
                <w:szCs w:val="24"/>
                <w:vertAlign w:val="superscript"/>
                <w:lang w:val="es-ES"/>
              </w:rPr>
              <w:t xml:space="preserve"> </w:t>
            </w:r>
            <w:r w:rsidRPr="005B3B91">
              <w:rPr>
                <w:color w:val="000000"/>
                <w:sz w:val="24"/>
                <w:szCs w:val="24"/>
                <w:lang w:val="es-ES"/>
              </w:rPr>
              <w:t>(SE) [</w:t>
            </w:r>
            <w:r w:rsidRPr="0085412E">
              <w:rPr>
                <w:i/>
                <w:iCs/>
                <w:color w:val="000000"/>
                <w:sz w:val="24"/>
                <w:szCs w:val="24"/>
                <w:lang w:val="es-ES"/>
              </w:rPr>
              <w:t>n</w:t>
            </w:r>
            <w:r w:rsidRPr="005B3B91">
              <w:rPr>
                <w:color w:val="000000"/>
                <w:sz w:val="24"/>
                <w:szCs w:val="24"/>
                <w:lang w:val="es-ES"/>
              </w:rPr>
              <w:t>]</w:t>
            </w:r>
            <w:r>
              <w:rPr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16" w:type="pct"/>
            <w:vAlign w:val="center"/>
          </w:tcPr>
          <w:p w14:paraId="3C921CE9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>24.90 (1.96) [110]</w:t>
            </w:r>
          </w:p>
        </w:tc>
        <w:tc>
          <w:tcPr>
            <w:tcW w:w="716" w:type="pct"/>
            <w:vAlign w:val="center"/>
          </w:tcPr>
          <w:p w14:paraId="4C6BE8C4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30.90 (2.54) </w:t>
            </w:r>
            <w:r w:rsidRPr="008B4498">
              <w:rPr>
                <w:color w:val="000000"/>
                <w:sz w:val="24"/>
                <w:szCs w:val="24"/>
              </w:rPr>
              <w:br/>
              <w:t>[66]</w:t>
            </w:r>
          </w:p>
        </w:tc>
        <w:tc>
          <w:tcPr>
            <w:tcW w:w="717" w:type="pct"/>
            <w:vAlign w:val="center"/>
          </w:tcPr>
          <w:p w14:paraId="62CD840A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>32.70 (1.91) [117]</w:t>
            </w:r>
          </w:p>
        </w:tc>
        <w:tc>
          <w:tcPr>
            <w:tcW w:w="716" w:type="pct"/>
            <w:vAlign w:val="center"/>
          </w:tcPr>
          <w:p w14:paraId="014F4F80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30.36 (2.85) </w:t>
            </w:r>
            <w:r w:rsidRPr="008B4498">
              <w:rPr>
                <w:color w:val="000000"/>
                <w:sz w:val="24"/>
                <w:szCs w:val="24"/>
              </w:rPr>
              <w:br/>
              <w:t>[52]</w:t>
            </w:r>
          </w:p>
        </w:tc>
        <w:tc>
          <w:tcPr>
            <w:tcW w:w="716" w:type="pct"/>
            <w:vAlign w:val="center"/>
          </w:tcPr>
          <w:p w14:paraId="5AA98923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>16.85 (1.89) [122]</w:t>
            </w:r>
          </w:p>
        </w:tc>
        <w:tc>
          <w:tcPr>
            <w:tcW w:w="717" w:type="pct"/>
            <w:vAlign w:val="center"/>
          </w:tcPr>
          <w:p w14:paraId="34FEE0EE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21.39 (2.69) </w:t>
            </w:r>
            <w:r w:rsidRPr="008B4498">
              <w:rPr>
                <w:color w:val="000000"/>
                <w:sz w:val="24"/>
                <w:szCs w:val="24"/>
              </w:rPr>
              <w:br/>
              <w:t>[58]</w:t>
            </w:r>
          </w:p>
        </w:tc>
      </w:tr>
      <w:tr w:rsidR="007A3B0A" w:rsidRPr="008B4498" w14:paraId="7B25855C" w14:textId="77777777" w:rsidTr="00F10516">
        <w:tc>
          <w:tcPr>
            <w:tcW w:w="702" w:type="pct"/>
            <w:vAlign w:val="center"/>
          </w:tcPr>
          <w:p w14:paraId="128CC0A9" w14:textId="77777777" w:rsidR="007A3B0A" w:rsidRPr="005B3B91" w:rsidRDefault="007A3B0A" w:rsidP="00F10516">
            <w:pPr>
              <w:pStyle w:val="Paragraph"/>
              <w:spacing w:before="120" w:after="120" w:line="360" w:lineRule="auto"/>
              <w:rPr>
                <w:color w:val="000000"/>
                <w:sz w:val="24"/>
                <w:szCs w:val="24"/>
                <w:lang w:val="es-ES"/>
              </w:rPr>
            </w:pPr>
            <w:r w:rsidRPr="009342C3">
              <w:rPr>
                <w:color w:val="000000"/>
                <w:sz w:val="24"/>
                <w:szCs w:val="24"/>
              </w:rPr>
              <w:t>Δ</w:t>
            </w:r>
            <w:r w:rsidRPr="005B3B91">
              <w:rPr>
                <w:sz w:val="24"/>
                <w:szCs w:val="24"/>
                <w:lang w:val="es-ES"/>
              </w:rPr>
              <w:t>PGJS-VAS, mm</w:t>
            </w:r>
            <w:r w:rsidRPr="005B3B91">
              <w:rPr>
                <w:sz w:val="24"/>
                <w:szCs w:val="24"/>
                <w:vertAlign w:val="superscript"/>
                <w:lang w:val="es-ES"/>
              </w:rPr>
              <w:t xml:space="preserve"> </w:t>
            </w:r>
            <w:r w:rsidRPr="005B3B91">
              <w:rPr>
                <w:color w:val="000000"/>
                <w:sz w:val="24"/>
                <w:szCs w:val="24"/>
                <w:lang w:val="es-ES"/>
              </w:rPr>
              <w:t>(SE) [</w:t>
            </w:r>
            <w:r w:rsidRPr="0085412E">
              <w:rPr>
                <w:i/>
                <w:iCs/>
                <w:color w:val="000000"/>
                <w:sz w:val="24"/>
                <w:szCs w:val="24"/>
                <w:lang w:val="es-ES"/>
              </w:rPr>
              <w:t>n</w:t>
            </w:r>
            <w:r w:rsidRPr="005B3B91">
              <w:rPr>
                <w:color w:val="000000"/>
                <w:sz w:val="24"/>
                <w:szCs w:val="24"/>
                <w:lang w:val="es-ES"/>
              </w:rPr>
              <w:t>]</w:t>
            </w:r>
            <w:r>
              <w:rPr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16" w:type="pct"/>
            <w:vAlign w:val="center"/>
          </w:tcPr>
          <w:p w14:paraId="3CC7E1C5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>26.36 (2.14) [111]</w:t>
            </w:r>
          </w:p>
        </w:tc>
        <w:tc>
          <w:tcPr>
            <w:tcW w:w="716" w:type="pct"/>
            <w:vAlign w:val="center"/>
          </w:tcPr>
          <w:p w14:paraId="5B2D1C41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>29.44 (2.76)</w:t>
            </w:r>
            <w:r w:rsidRPr="008B4498">
              <w:rPr>
                <w:color w:val="000000"/>
                <w:sz w:val="24"/>
                <w:szCs w:val="24"/>
              </w:rPr>
              <w:br/>
              <w:t>[67]</w:t>
            </w:r>
          </w:p>
        </w:tc>
        <w:tc>
          <w:tcPr>
            <w:tcW w:w="717" w:type="pct"/>
            <w:vAlign w:val="center"/>
          </w:tcPr>
          <w:p w14:paraId="6CA1D3B6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>33.14 (2.08) [118]</w:t>
            </w:r>
          </w:p>
        </w:tc>
        <w:tc>
          <w:tcPr>
            <w:tcW w:w="716" w:type="pct"/>
            <w:vAlign w:val="center"/>
          </w:tcPr>
          <w:p w14:paraId="1743CEC0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26.63 (3.12) </w:t>
            </w:r>
            <w:r w:rsidRPr="008B4498">
              <w:rPr>
                <w:color w:val="000000"/>
                <w:sz w:val="24"/>
                <w:szCs w:val="24"/>
              </w:rPr>
              <w:br/>
              <w:t>[52]</w:t>
            </w:r>
          </w:p>
        </w:tc>
        <w:tc>
          <w:tcPr>
            <w:tcW w:w="716" w:type="pct"/>
            <w:vAlign w:val="center"/>
          </w:tcPr>
          <w:p w14:paraId="1F5F694E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>13.08 (2.06) [123]</w:t>
            </w:r>
          </w:p>
        </w:tc>
        <w:tc>
          <w:tcPr>
            <w:tcW w:w="717" w:type="pct"/>
            <w:vAlign w:val="center"/>
          </w:tcPr>
          <w:p w14:paraId="2A5788BD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14.16 (2.95) </w:t>
            </w:r>
            <w:r w:rsidRPr="008B4498">
              <w:rPr>
                <w:color w:val="000000"/>
                <w:sz w:val="24"/>
                <w:szCs w:val="24"/>
              </w:rPr>
              <w:br/>
              <w:t>[58]</w:t>
            </w:r>
          </w:p>
        </w:tc>
      </w:tr>
      <w:tr w:rsidR="007A3B0A" w:rsidRPr="008B4498" w14:paraId="7D2BD5C2" w14:textId="77777777" w:rsidTr="00F10516">
        <w:tc>
          <w:tcPr>
            <w:tcW w:w="702" w:type="pct"/>
            <w:vAlign w:val="center"/>
          </w:tcPr>
          <w:p w14:paraId="697A1E4B" w14:textId="77777777" w:rsidR="007A3B0A" w:rsidRPr="009342C3" w:rsidRDefault="007A3B0A" w:rsidP="00F10516">
            <w:pPr>
              <w:pStyle w:val="Paragraph"/>
              <w:spacing w:before="120" w:after="120" w:line="360" w:lineRule="auto"/>
              <w:rPr>
                <w:sz w:val="24"/>
                <w:szCs w:val="24"/>
                <w:lang w:val="en-US"/>
              </w:rPr>
            </w:pPr>
            <w:r w:rsidRPr="009342C3">
              <w:rPr>
                <w:color w:val="000000"/>
                <w:sz w:val="24"/>
                <w:szCs w:val="24"/>
              </w:rPr>
              <w:t>Δ</w:t>
            </w:r>
            <w:r w:rsidRPr="009342C3">
              <w:rPr>
                <w:sz w:val="24"/>
                <w:szCs w:val="24"/>
                <w:lang w:val="en-US"/>
              </w:rPr>
              <w:t xml:space="preserve">LEI (SE) </w:t>
            </w:r>
            <w:r w:rsidRPr="009342C3">
              <w:rPr>
                <w:sz w:val="24"/>
                <w:szCs w:val="24"/>
                <w:lang w:val="en-US"/>
              </w:rPr>
              <w:br/>
              <w:t>[</w:t>
            </w:r>
            <w:r w:rsidRPr="0085412E">
              <w:rPr>
                <w:i/>
                <w:iCs/>
                <w:sz w:val="24"/>
                <w:szCs w:val="24"/>
                <w:lang w:val="en-US"/>
              </w:rPr>
              <w:t>n</w:t>
            </w:r>
            <w:r w:rsidRPr="009342C3">
              <w:rPr>
                <w:sz w:val="24"/>
                <w:szCs w:val="24"/>
                <w:lang w:val="en-US"/>
              </w:rPr>
              <w:t>]</w:t>
            </w:r>
            <w:proofErr w:type="spellStart"/>
            <w:r>
              <w:rPr>
                <w:color w:val="000000"/>
                <w:sz w:val="24"/>
                <w:szCs w:val="24"/>
                <w:vertAlign w:val="superscript"/>
              </w:rPr>
              <w:t>b,c</w:t>
            </w:r>
            <w:proofErr w:type="spellEnd"/>
          </w:p>
        </w:tc>
        <w:tc>
          <w:tcPr>
            <w:tcW w:w="716" w:type="pct"/>
            <w:vAlign w:val="center"/>
          </w:tcPr>
          <w:p w14:paraId="0CE91777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0.92 (0.20) </w:t>
            </w:r>
            <w:r w:rsidRPr="008B4498">
              <w:rPr>
                <w:color w:val="000000"/>
                <w:sz w:val="24"/>
                <w:szCs w:val="24"/>
              </w:rPr>
              <w:br/>
              <w:t>[73]</w:t>
            </w:r>
          </w:p>
        </w:tc>
        <w:tc>
          <w:tcPr>
            <w:tcW w:w="716" w:type="pct"/>
            <w:vAlign w:val="center"/>
          </w:tcPr>
          <w:p w14:paraId="6535D924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1.47 (0.26) </w:t>
            </w:r>
            <w:r w:rsidRPr="008B4498">
              <w:rPr>
                <w:color w:val="000000"/>
                <w:sz w:val="24"/>
                <w:szCs w:val="24"/>
              </w:rPr>
              <w:br/>
              <w:t>[43]</w:t>
            </w:r>
          </w:p>
        </w:tc>
        <w:tc>
          <w:tcPr>
            <w:tcW w:w="717" w:type="pct"/>
            <w:vAlign w:val="center"/>
          </w:tcPr>
          <w:p w14:paraId="5DD81AA9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1.47 (0.20) </w:t>
            </w:r>
            <w:r w:rsidRPr="008B4498">
              <w:rPr>
                <w:color w:val="000000"/>
                <w:sz w:val="24"/>
                <w:szCs w:val="24"/>
              </w:rPr>
              <w:br/>
              <w:t>[74]</w:t>
            </w:r>
          </w:p>
        </w:tc>
        <w:tc>
          <w:tcPr>
            <w:tcW w:w="716" w:type="pct"/>
            <w:vAlign w:val="center"/>
          </w:tcPr>
          <w:p w14:paraId="4683A467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1.93 (0.28) </w:t>
            </w:r>
            <w:r w:rsidRPr="008B4498">
              <w:rPr>
                <w:color w:val="000000"/>
                <w:sz w:val="24"/>
                <w:szCs w:val="24"/>
              </w:rPr>
              <w:br/>
              <w:t>[36]</w:t>
            </w:r>
          </w:p>
        </w:tc>
        <w:tc>
          <w:tcPr>
            <w:tcW w:w="716" w:type="pct"/>
            <w:vAlign w:val="center"/>
          </w:tcPr>
          <w:p w14:paraId="4346E98C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0.52 (0.19) </w:t>
            </w:r>
            <w:r w:rsidRPr="008B4498">
              <w:rPr>
                <w:color w:val="000000"/>
                <w:sz w:val="24"/>
                <w:szCs w:val="24"/>
              </w:rPr>
              <w:br/>
              <w:t>[81]</w:t>
            </w:r>
          </w:p>
        </w:tc>
        <w:tc>
          <w:tcPr>
            <w:tcW w:w="717" w:type="pct"/>
            <w:vAlign w:val="center"/>
          </w:tcPr>
          <w:p w14:paraId="127A6971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0.64 (0.28) </w:t>
            </w:r>
            <w:r w:rsidRPr="008B4498">
              <w:rPr>
                <w:color w:val="000000"/>
                <w:sz w:val="24"/>
                <w:szCs w:val="24"/>
              </w:rPr>
              <w:br/>
              <w:t>[37]</w:t>
            </w:r>
          </w:p>
        </w:tc>
      </w:tr>
      <w:tr w:rsidR="007A3B0A" w:rsidRPr="008B4498" w14:paraId="62CEB5EA" w14:textId="77777777" w:rsidTr="00F10516"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14:paraId="15B47F25" w14:textId="77777777" w:rsidR="007A3B0A" w:rsidRPr="009342C3" w:rsidRDefault="007A3B0A" w:rsidP="00F10516">
            <w:pPr>
              <w:pStyle w:val="Paragraph"/>
              <w:spacing w:before="120" w:after="120" w:line="360" w:lineRule="auto"/>
              <w:rPr>
                <w:sz w:val="24"/>
                <w:szCs w:val="24"/>
                <w:lang w:val="en-US"/>
              </w:rPr>
            </w:pPr>
            <w:r w:rsidRPr="009342C3">
              <w:rPr>
                <w:color w:val="000000"/>
                <w:sz w:val="24"/>
                <w:szCs w:val="24"/>
              </w:rPr>
              <w:t>Δ</w:t>
            </w:r>
            <w:r w:rsidRPr="009342C3">
              <w:rPr>
                <w:sz w:val="24"/>
                <w:szCs w:val="24"/>
                <w:lang w:val="en-US"/>
              </w:rPr>
              <w:t xml:space="preserve">DSS (SE) </w:t>
            </w:r>
            <w:r w:rsidRPr="009342C3">
              <w:rPr>
                <w:sz w:val="24"/>
                <w:szCs w:val="24"/>
                <w:lang w:val="en-US"/>
              </w:rPr>
              <w:br/>
              <w:t>[</w:t>
            </w:r>
            <w:r w:rsidRPr="0085412E">
              <w:rPr>
                <w:i/>
                <w:iCs/>
                <w:sz w:val="24"/>
                <w:szCs w:val="24"/>
                <w:lang w:val="en-US"/>
              </w:rPr>
              <w:t>n</w:t>
            </w:r>
            <w:r w:rsidRPr="009342C3">
              <w:rPr>
                <w:sz w:val="24"/>
                <w:szCs w:val="24"/>
                <w:lang w:val="en-US"/>
              </w:rPr>
              <w:t>]</w:t>
            </w:r>
            <w:proofErr w:type="spellStart"/>
            <w:r>
              <w:rPr>
                <w:sz w:val="24"/>
                <w:szCs w:val="24"/>
                <w:vertAlign w:val="superscript"/>
                <w:lang w:val="en-US"/>
              </w:rPr>
              <w:t>b,d</w:t>
            </w:r>
            <w:proofErr w:type="spellEnd"/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487E7819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4.66 (0.74) </w:t>
            </w:r>
            <w:r w:rsidRPr="008B4498">
              <w:rPr>
                <w:color w:val="000000"/>
                <w:sz w:val="24"/>
                <w:szCs w:val="24"/>
              </w:rPr>
              <w:br/>
              <w:t>[67]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36D21FC3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5.25 (1.07) </w:t>
            </w:r>
            <w:r w:rsidRPr="008B4498">
              <w:rPr>
                <w:color w:val="000000"/>
                <w:sz w:val="24"/>
                <w:szCs w:val="24"/>
              </w:rPr>
              <w:br/>
              <w:t>[30]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36195D06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6.44 (0.71) </w:t>
            </w:r>
            <w:r w:rsidRPr="008B4498">
              <w:rPr>
                <w:color w:val="000000"/>
                <w:sz w:val="24"/>
                <w:szCs w:val="24"/>
              </w:rPr>
              <w:br/>
              <w:t>[69]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06127936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4.27 (1.13) </w:t>
            </w:r>
            <w:r w:rsidRPr="008B4498">
              <w:rPr>
                <w:color w:val="000000"/>
                <w:sz w:val="24"/>
                <w:szCs w:val="24"/>
              </w:rPr>
              <w:br/>
              <w:t>[27]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0DC0D1C8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2.31 (0.74) </w:t>
            </w:r>
            <w:r w:rsidRPr="008B4498">
              <w:rPr>
                <w:color w:val="000000"/>
                <w:sz w:val="24"/>
                <w:szCs w:val="24"/>
              </w:rPr>
              <w:br/>
              <w:t>[69]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393C8BDF" w14:textId="77777777" w:rsidR="007A3B0A" w:rsidRPr="008B4498" w:rsidRDefault="007A3B0A" w:rsidP="00F10516">
            <w:pPr>
              <w:pStyle w:val="Paragraph"/>
              <w:spacing w:before="120" w:after="12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B4498">
              <w:rPr>
                <w:color w:val="000000"/>
                <w:sz w:val="24"/>
                <w:szCs w:val="24"/>
              </w:rPr>
              <w:t xml:space="preserve">3.77 (1.18) </w:t>
            </w:r>
            <w:r w:rsidRPr="008B4498">
              <w:rPr>
                <w:color w:val="000000"/>
                <w:sz w:val="24"/>
                <w:szCs w:val="24"/>
              </w:rPr>
              <w:br/>
              <w:t>[25]</w:t>
            </w:r>
          </w:p>
        </w:tc>
      </w:tr>
    </w:tbl>
    <w:p w14:paraId="2F25ABEC" w14:textId="4F09266A" w:rsidR="007A3B0A" w:rsidRPr="009710D4" w:rsidRDefault="007A3B0A" w:rsidP="007A3B0A">
      <w:pPr>
        <w:pStyle w:val="Paragraph"/>
        <w:spacing w:before="120" w:after="120" w:line="360" w:lineRule="auto"/>
        <w:rPr>
          <w:sz w:val="20"/>
          <w:szCs w:val="24"/>
          <w:lang w:val="en-US"/>
        </w:rPr>
      </w:pPr>
      <w:r w:rsidRPr="008B4498">
        <w:rPr>
          <w:sz w:val="20"/>
          <w:szCs w:val="24"/>
          <w:lang w:val="en-US"/>
        </w:rPr>
        <w:lastRenderedPageBreak/>
        <w:t xml:space="preserve">Baseline values are presented in Table 1. This analysis included all patients who received MTX as background </w:t>
      </w:r>
      <w:r w:rsidRPr="009710D4">
        <w:rPr>
          <w:sz w:val="20"/>
          <w:szCs w:val="24"/>
          <w:lang w:val="en-US"/>
        </w:rPr>
        <w:t xml:space="preserve">therapy only on </w:t>
      </w:r>
      <w:r w:rsidR="00C648F9" w:rsidRPr="009710D4">
        <w:rPr>
          <w:sz w:val="20"/>
          <w:szCs w:val="24"/>
          <w:lang w:val="en-US"/>
        </w:rPr>
        <w:t>d</w:t>
      </w:r>
      <w:r w:rsidRPr="009710D4">
        <w:rPr>
          <w:sz w:val="20"/>
          <w:szCs w:val="24"/>
          <w:lang w:val="en-US"/>
        </w:rPr>
        <w:t xml:space="preserve">ay 1 in the FAS. </w:t>
      </w:r>
      <w:r w:rsidRPr="009710D4">
        <w:rPr>
          <w:sz w:val="20"/>
          <w:szCs w:val="20"/>
        </w:rPr>
        <w:t xml:space="preserve">Eight patients who used both MTX and other </w:t>
      </w:r>
      <w:proofErr w:type="spellStart"/>
      <w:r w:rsidRPr="009710D4">
        <w:rPr>
          <w:sz w:val="20"/>
          <w:szCs w:val="20"/>
        </w:rPr>
        <w:t>csDMARDs</w:t>
      </w:r>
      <w:proofErr w:type="spellEnd"/>
      <w:r w:rsidRPr="009710D4">
        <w:rPr>
          <w:sz w:val="20"/>
          <w:szCs w:val="20"/>
        </w:rPr>
        <w:t xml:space="preserve"> on </w:t>
      </w:r>
      <w:r w:rsidR="00C648F9" w:rsidRPr="009710D4">
        <w:rPr>
          <w:sz w:val="20"/>
          <w:szCs w:val="24"/>
          <w:lang w:val="en-US"/>
        </w:rPr>
        <w:t>d</w:t>
      </w:r>
      <w:r w:rsidRPr="009710D4">
        <w:rPr>
          <w:sz w:val="20"/>
          <w:szCs w:val="20"/>
        </w:rPr>
        <w:t>ay 1 were excluded, as were two patients who exceeded the protocol</w:t>
      </w:r>
      <w:r w:rsidRPr="009710D4">
        <w:rPr>
          <w:sz w:val="20"/>
          <w:szCs w:val="20"/>
        </w:rPr>
        <w:noBreakHyphen/>
        <w:t>defined maximum dose of MTX for the analysis (20 mg/week), and one patient without dosing frequency to calculate the dose.</w:t>
      </w:r>
      <w:r w:rsidRPr="009710D4">
        <w:rPr>
          <w:color w:val="000000"/>
          <w:sz w:val="20"/>
          <w:szCs w:val="24"/>
        </w:rPr>
        <w:t xml:space="preserve"> </w:t>
      </w:r>
      <w:r w:rsidRPr="009710D4">
        <w:rPr>
          <w:sz w:val="20"/>
          <w:szCs w:val="24"/>
          <w:lang w:val="en-US"/>
        </w:rPr>
        <w:t xml:space="preserve">Each endpoint was analyzed using a mixed model for repeated measures without imputation for missing values. The model included the fixed effects of treatment, visit, treatment-by-visit interaction, geographic location, study, and baseline value, as well as fixed effects of MTX dose and its two-way and three-way interactions with treatment and visit; an unstructured covariance matrix was used </w:t>
      </w:r>
    </w:p>
    <w:p w14:paraId="53415560" w14:textId="61F16707" w:rsidR="007A3B0A" w:rsidRPr="009710D4" w:rsidRDefault="007A3B0A" w:rsidP="007A3B0A">
      <w:pPr>
        <w:pStyle w:val="Paragraph"/>
        <w:spacing w:before="120" w:after="120" w:line="360" w:lineRule="auto"/>
        <w:rPr>
          <w:sz w:val="20"/>
          <w:szCs w:val="24"/>
          <w:lang w:val="en-US"/>
        </w:rPr>
      </w:pPr>
      <w:proofErr w:type="spellStart"/>
      <w:proofErr w:type="gramStart"/>
      <w:r w:rsidRPr="009710D4">
        <w:rPr>
          <w:color w:val="000000"/>
          <w:sz w:val="20"/>
          <w:szCs w:val="24"/>
          <w:vertAlign w:val="superscript"/>
        </w:rPr>
        <w:t>a</w:t>
      </w:r>
      <w:r w:rsidRPr="009710D4">
        <w:rPr>
          <w:i/>
          <w:iCs/>
          <w:color w:val="000000"/>
          <w:sz w:val="20"/>
          <w:szCs w:val="24"/>
        </w:rPr>
        <w:t>N</w:t>
      </w:r>
      <w:proofErr w:type="spellEnd"/>
      <w:proofErr w:type="gramEnd"/>
      <w:r w:rsidRPr="009710D4">
        <w:rPr>
          <w:i/>
          <w:iCs/>
          <w:color w:val="000000"/>
          <w:sz w:val="20"/>
          <w:szCs w:val="24"/>
        </w:rPr>
        <w:t xml:space="preserve"> </w:t>
      </w:r>
      <w:r w:rsidRPr="009710D4">
        <w:rPr>
          <w:color w:val="000000"/>
          <w:sz w:val="20"/>
          <w:szCs w:val="24"/>
        </w:rPr>
        <w:t xml:space="preserve">is the number of patients </w:t>
      </w:r>
      <w:r w:rsidRPr="009710D4">
        <w:rPr>
          <w:sz w:val="20"/>
          <w:szCs w:val="24"/>
          <w:lang w:val="en-US"/>
        </w:rPr>
        <w:t xml:space="preserve">who received MTX as background therapy only on </w:t>
      </w:r>
      <w:r w:rsidR="00C648F9" w:rsidRPr="009710D4">
        <w:rPr>
          <w:sz w:val="20"/>
          <w:szCs w:val="24"/>
          <w:lang w:val="en-US"/>
        </w:rPr>
        <w:t>d</w:t>
      </w:r>
      <w:r w:rsidRPr="009710D4">
        <w:rPr>
          <w:sz w:val="20"/>
          <w:szCs w:val="24"/>
          <w:lang w:val="en-US"/>
        </w:rPr>
        <w:t xml:space="preserve">ay 1 in the FAS. </w:t>
      </w:r>
      <w:r w:rsidRPr="009710D4">
        <w:rPr>
          <w:sz w:val="20"/>
          <w:szCs w:val="24"/>
          <w:vertAlign w:val="superscript"/>
          <w:lang w:val="en-US"/>
        </w:rPr>
        <w:t>b</w:t>
      </w:r>
      <w:r w:rsidRPr="009710D4">
        <w:rPr>
          <w:sz w:val="20"/>
          <w:szCs w:val="24"/>
          <w:lang w:val="en-US"/>
        </w:rPr>
        <w:t>[</w:t>
      </w:r>
      <w:r w:rsidRPr="009710D4">
        <w:rPr>
          <w:i/>
          <w:iCs/>
          <w:sz w:val="20"/>
          <w:szCs w:val="24"/>
          <w:lang w:val="en-US"/>
        </w:rPr>
        <w:t>n</w:t>
      </w:r>
      <w:r w:rsidRPr="009710D4">
        <w:rPr>
          <w:sz w:val="20"/>
          <w:szCs w:val="24"/>
          <w:lang w:val="en-US"/>
        </w:rPr>
        <w:t xml:space="preserve">] is the </w:t>
      </w:r>
      <w:r w:rsidRPr="009710D4">
        <w:rPr>
          <w:color w:val="000000"/>
          <w:sz w:val="20"/>
          <w:szCs w:val="24"/>
        </w:rPr>
        <w:t xml:space="preserve">number of patients evaluable for change from baseline in the endpoint at </w:t>
      </w:r>
      <w:r w:rsidR="000147E6" w:rsidRPr="009710D4">
        <w:rPr>
          <w:color w:val="000000"/>
          <w:sz w:val="20"/>
          <w:szCs w:val="24"/>
        </w:rPr>
        <w:t>m</w:t>
      </w:r>
      <w:r w:rsidRPr="009710D4">
        <w:rPr>
          <w:color w:val="000000"/>
          <w:sz w:val="20"/>
          <w:szCs w:val="24"/>
        </w:rPr>
        <w:t xml:space="preserve">onth 3. </w:t>
      </w:r>
      <w:proofErr w:type="spellStart"/>
      <w:r w:rsidRPr="009710D4">
        <w:rPr>
          <w:color w:val="000000"/>
          <w:sz w:val="20"/>
          <w:szCs w:val="24"/>
          <w:vertAlign w:val="superscript"/>
        </w:rPr>
        <w:t>c</w:t>
      </w:r>
      <w:r w:rsidRPr="009710D4">
        <w:rPr>
          <w:color w:val="000000"/>
          <w:sz w:val="20"/>
          <w:szCs w:val="20"/>
        </w:rPr>
        <w:t>Only</w:t>
      </w:r>
      <w:proofErr w:type="spellEnd"/>
      <w:r w:rsidRPr="009710D4">
        <w:rPr>
          <w:color w:val="000000"/>
          <w:sz w:val="20"/>
          <w:szCs w:val="20"/>
        </w:rPr>
        <w:t xml:space="preserve"> patients with a baseline value of LEI or DSS &gt; 0 were included in this analysis.</w:t>
      </w:r>
      <w:r w:rsidRPr="009710D4">
        <w:rPr>
          <w:color w:val="000000"/>
          <w:sz w:val="20"/>
          <w:szCs w:val="24"/>
          <w:vertAlign w:val="superscript"/>
        </w:rPr>
        <w:t xml:space="preserve"> </w:t>
      </w:r>
      <w:proofErr w:type="spellStart"/>
      <w:r w:rsidRPr="009710D4">
        <w:rPr>
          <w:color w:val="000000"/>
          <w:sz w:val="20"/>
          <w:szCs w:val="24"/>
          <w:vertAlign w:val="superscript"/>
        </w:rPr>
        <w:t>d</w:t>
      </w:r>
      <w:r w:rsidRPr="009710D4">
        <w:rPr>
          <w:color w:val="000000"/>
          <w:sz w:val="20"/>
          <w:szCs w:val="24"/>
        </w:rPr>
        <w:t>For</w:t>
      </w:r>
      <w:proofErr w:type="spellEnd"/>
      <w:r w:rsidRPr="009710D4">
        <w:rPr>
          <w:color w:val="000000"/>
          <w:sz w:val="20"/>
          <w:szCs w:val="24"/>
        </w:rPr>
        <w:t xml:space="preserve"> </w:t>
      </w:r>
      <w:r w:rsidRPr="009710D4">
        <w:rPr>
          <w:sz w:val="20"/>
          <w:szCs w:val="24"/>
        </w:rPr>
        <w:t xml:space="preserve">patients </w:t>
      </w:r>
      <w:r w:rsidRPr="009710D4">
        <w:rPr>
          <w:color w:val="000000"/>
          <w:sz w:val="20"/>
          <w:szCs w:val="24"/>
        </w:rPr>
        <w:t>with baseline DSS &gt; 0</w:t>
      </w:r>
    </w:p>
    <w:p w14:paraId="0C751926" w14:textId="77777777" w:rsidR="007A3B0A" w:rsidRPr="005E04F6" w:rsidRDefault="007A3B0A" w:rsidP="007A3B0A">
      <w:pPr>
        <w:pStyle w:val="Paragraph"/>
        <w:spacing w:after="120" w:line="360" w:lineRule="auto"/>
        <w:rPr>
          <w:sz w:val="20"/>
          <w:szCs w:val="24"/>
          <w:lang w:val="en-US"/>
        </w:rPr>
      </w:pPr>
      <w:r w:rsidRPr="009710D4">
        <w:rPr>
          <w:color w:val="000000"/>
          <w:sz w:val="20"/>
          <w:szCs w:val="24"/>
        </w:rPr>
        <w:t xml:space="preserve">BID, twice daily; </w:t>
      </w:r>
      <w:bookmarkStart w:id="1" w:name="_Hlk56686618"/>
      <w:proofErr w:type="spellStart"/>
      <w:r w:rsidRPr="009710D4">
        <w:rPr>
          <w:color w:val="000000"/>
          <w:sz w:val="20"/>
          <w:szCs w:val="24"/>
        </w:rPr>
        <w:t>csDMARD</w:t>
      </w:r>
      <w:proofErr w:type="spellEnd"/>
      <w:r w:rsidRPr="009710D4">
        <w:rPr>
          <w:color w:val="000000"/>
          <w:sz w:val="20"/>
          <w:szCs w:val="24"/>
        </w:rPr>
        <w:t>, conventional synthetic disease-modifying antirheumatic drug</w:t>
      </w:r>
      <w:bookmarkEnd w:id="1"/>
      <w:r w:rsidRPr="009710D4">
        <w:rPr>
          <w:color w:val="000000"/>
          <w:sz w:val="20"/>
          <w:szCs w:val="24"/>
        </w:rPr>
        <w:t xml:space="preserve">; DSS, Dactylitis Severity Score; FAS, full analysis set; HAQ-DI, Health Assessment Questionnaire-Disability Index; LEI, Leeds Enthesitis Index; MTX, methotrexate or methotrexate sodium; PGA-PsA-VAS, physician’s global assessment in psoriatic arthritis-visual </w:t>
      </w:r>
      <w:proofErr w:type="spellStart"/>
      <w:r w:rsidRPr="009710D4">
        <w:rPr>
          <w:color w:val="000000"/>
          <w:sz w:val="20"/>
          <w:szCs w:val="24"/>
        </w:rPr>
        <w:t>analog</w:t>
      </w:r>
      <w:proofErr w:type="spellEnd"/>
      <w:r w:rsidRPr="009710D4">
        <w:rPr>
          <w:color w:val="000000"/>
          <w:sz w:val="20"/>
          <w:szCs w:val="24"/>
        </w:rPr>
        <w:t xml:space="preserve"> scale; PGJS-VAS, </w:t>
      </w:r>
      <w:r w:rsidRPr="009710D4">
        <w:rPr>
          <w:sz w:val="20"/>
          <w:szCs w:val="24"/>
        </w:rPr>
        <w:t>patient’s global joint and skin assessment</w:t>
      </w:r>
      <w:r w:rsidRPr="009710D4">
        <w:rPr>
          <w:color w:val="000000"/>
          <w:sz w:val="20"/>
          <w:szCs w:val="24"/>
        </w:rPr>
        <w:t xml:space="preserve">-visual </w:t>
      </w:r>
      <w:proofErr w:type="spellStart"/>
      <w:r w:rsidRPr="009710D4">
        <w:rPr>
          <w:color w:val="000000"/>
          <w:sz w:val="20"/>
          <w:szCs w:val="24"/>
        </w:rPr>
        <w:t>analog</w:t>
      </w:r>
      <w:proofErr w:type="spellEnd"/>
      <w:r w:rsidRPr="009710D4">
        <w:rPr>
          <w:color w:val="000000"/>
          <w:sz w:val="20"/>
          <w:szCs w:val="24"/>
        </w:rPr>
        <w:t xml:space="preserve"> scale; SE, standard error; </w:t>
      </w:r>
      <w:r w:rsidRPr="009710D4">
        <w:rPr>
          <w:sz w:val="20"/>
          <w:szCs w:val="24"/>
        </w:rPr>
        <w:t>Δ, change from baseline</w:t>
      </w:r>
    </w:p>
    <w:p w14:paraId="03526F0C" w14:textId="77777777" w:rsidR="007A3B0A" w:rsidRDefault="007A3B0A" w:rsidP="007A3B0A">
      <w:pPr>
        <w:spacing w:after="160" w:line="259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0C7AC13B" w14:textId="77777777" w:rsidR="007A3B0A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b/>
          <w:sz w:val="24"/>
        </w:rPr>
        <w:sectPr w:rsidR="007A3B0A" w:rsidSect="003D1374">
          <w:pgSz w:w="16838" w:h="11906" w:orient="landscape"/>
          <w:pgMar w:top="1440" w:right="1701" w:bottom="1440" w:left="992" w:header="709" w:footer="709" w:gutter="0"/>
          <w:cols w:space="708"/>
          <w:docGrid w:linePitch="360"/>
        </w:sectPr>
      </w:pPr>
    </w:p>
    <w:p w14:paraId="5C53ABCE" w14:textId="77777777" w:rsidR="007A3B0A" w:rsidRPr="00A13041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A13041">
        <w:rPr>
          <w:rFonts w:ascii="Times New Roman" w:hAnsi="Times New Roman"/>
          <w:b/>
          <w:bCs/>
          <w:iCs/>
          <w:sz w:val="24"/>
        </w:rPr>
        <w:lastRenderedPageBreak/>
        <w:t xml:space="preserve">Supplementary </w:t>
      </w:r>
      <w:r w:rsidRPr="00A13041">
        <w:rPr>
          <w:rFonts w:ascii="Times New Roman" w:hAnsi="Times New Roman"/>
          <w:b/>
          <w:bCs/>
          <w:iCs/>
          <w:sz w:val="24"/>
          <w:szCs w:val="24"/>
        </w:rPr>
        <w:t>Fig. 1</w:t>
      </w:r>
      <w:r w:rsidRPr="00A13041">
        <w:rPr>
          <w:rFonts w:ascii="Times New Roman" w:hAnsi="Times New Roman"/>
          <w:sz w:val="24"/>
          <w:szCs w:val="24"/>
        </w:rPr>
        <w:t xml:space="preserve"> Mean (SE) ΔALT and ΔAST by treatment group and background MTX dose</w:t>
      </w:r>
    </w:p>
    <w:p w14:paraId="10F2F797" w14:textId="77777777" w:rsidR="007A3B0A" w:rsidRPr="00BD79BF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93579D0" wp14:editId="638EDFF3">
            <wp:extent cx="5731510" cy="35039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1066A" w14:textId="14BA6866" w:rsidR="007A3B0A" w:rsidRPr="004E0BC6" w:rsidRDefault="007A3B0A" w:rsidP="007A3B0A">
      <w:pPr>
        <w:pStyle w:val="1stlevelbulletedtext"/>
        <w:numPr>
          <w:ilvl w:val="0"/>
          <w:numId w:val="0"/>
        </w:numPr>
        <w:spacing w:before="240" w:after="120"/>
        <w:rPr>
          <w:rFonts w:ascii="Times New Roman" w:hAnsi="Times New Roman"/>
          <w:sz w:val="20"/>
          <w:szCs w:val="24"/>
        </w:rPr>
      </w:pPr>
      <w:r w:rsidRPr="00A13041">
        <w:rPr>
          <w:rFonts w:ascii="Times New Roman" w:hAnsi="Times New Roman"/>
          <w:sz w:val="20"/>
          <w:szCs w:val="24"/>
        </w:rPr>
        <w:t>(</w:t>
      </w:r>
      <w:r w:rsidRPr="00A13041">
        <w:rPr>
          <w:rFonts w:ascii="Times New Roman" w:hAnsi="Times New Roman"/>
          <w:b/>
          <w:bCs/>
          <w:sz w:val="20"/>
          <w:szCs w:val="24"/>
        </w:rPr>
        <w:t>a</w:t>
      </w:r>
      <w:r w:rsidRPr="00A13041">
        <w:rPr>
          <w:rFonts w:ascii="Times New Roman" w:hAnsi="Times New Roman"/>
          <w:sz w:val="20"/>
          <w:szCs w:val="24"/>
        </w:rPr>
        <w:t xml:space="preserve">) ALT </w:t>
      </w:r>
      <w:r w:rsidRPr="00A13041">
        <w:rPr>
          <w:rFonts w:ascii="Times New Roman" w:hAnsi="Times New Roman"/>
          <w:sz w:val="20"/>
          <w:szCs w:val="20"/>
        </w:rPr>
        <w:t xml:space="preserve">(tofacitinib 5 </w:t>
      </w:r>
      <w:r w:rsidRPr="009710D4">
        <w:rPr>
          <w:rFonts w:ascii="Times New Roman" w:hAnsi="Times New Roman"/>
          <w:sz w:val="20"/>
          <w:szCs w:val="20"/>
        </w:rPr>
        <w:t>mg BID),</w:t>
      </w:r>
      <w:r w:rsidRPr="009710D4">
        <w:rPr>
          <w:rFonts w:ascii="Times New Roman" w:hAnsi="Times New Roman"/>
          <w:sz w:val="20"/>
          <w:szCs w:val="24"/>
        </w:rPr>
        <w:t xml:space="preserve"> (</w:t>
      </w:r>
      <w:r w:rsidRPr="009710D4">
        <w:rPr>
          <w:rFonts w:ascii="Times New Roman" w:hAnsi="Times New Roman"/>
          <w:b/>
          <w:bCs/>
          <w:sz w:val="20"/>
          <w:szCs w:val="24"/>
        </w:rPr>
        <w:t>b</w:t>
      </w:r>
      <w:r w:rsidRPr="009710D4">
        <w:rPr>
          <w:rFonts w:ascii="Times New Roman" w:hAnsi="Times New Roman"/>
          <w:sz w:val="20"/>
          <w:szCs w:val="24"/>
        </w:rPr>
        <w:t xml:space="preserve">) ALT </w:t>
      </w:r>
      <w:r w:rsidRPr="009710D4">
        <w:rPr>
          <w:rFonts w:ascii="Times New Roman" w:hAnsi="Times New Roman"/>
          <w:sz w:val="20"/>
          <w:szCs w:val="20"/>
        </w:rPr>
        <w:t>(tofacitinib 10 mg BID)</w:t>
      </w:r>
      <w:r w:rsidRPr="009710D4">
        <w:rPr>
          <w:rFonts w:ascii="Times New Roman" w:hAnsi="Times New Roman"/>
          <w:sz w:val="20"/>
          <w:szCs w:val="24"/>
        </w:rPr>
        <w:t>, (</w:t>
      </w:r>
      <w:r w:rsidRPr="009710D4">
        <w:rPr>
          <w:rFonts w:ascii="Times New Roman" w:hAnsi="Times New Roman"/>
          <w:b/>
          <w:bCs/>
          <w:sz w:val="20"/>
          <w:szCs w:val="24"/>
        </w:rPr>
        <w:t>c</w:t>
      </w:r>
      <w:r w:rsidRPr="009710D4">
        <w:rPr>
          <w:rFonts w:ascii="Times New Roman" w:hAnsi="Times New Roman"/>
          <w:sz w:val="20"/>
          <w:szCs w:val="24"/>
        </w:rPr>
        <w:t>) ALT (placebo), (</w:t>
      </w:r>
      <w:r w:rsidRPr="009710D4">
        <w:rPr>
          <w:rFonts w:ascii="Times New Roman" w:hAnsi="Times New Roman"/>
          <w:b/>
          <w:bCs/>
          <w:sz w:val="20"/>
          <w:szCs w:val="24"/>
        </w:rPr>
        <w:t>d</w:t>
      </w:r>
      <w:r w:rsidRPr="009710D4">
        <w:rPr>
          <w:rFonts w:ascii="Times New Roman" w:hAnsi="Times New Roman"/>
          <w:sz w:val="20"/>
          <w:szCs w:val="24"/>
        </w:rPr>
        <w:t xml:space="preserve">) AST </w:t>
      </w:r>
      <w:r w:rsidRPr="009710D4">
        <w:rPr>
          <w:rFonts w:ascii="Times New Roman" w:hAnsi="Times New Roman"/>
          <w:sz w:val="20"/>
          <w:szCs w:val="20"/>
        </w:rPr>
        <w:t>(tofacitinib 5 mg BID),</w:t>
      </w:r>
      <w:r w:rsidRPr="009710D4">
        <w:rPr>
          <w:rFonts w:ascii="Times New Roman" w:hAnsi="Times New Roman"/>
          <w:sz w:val="20"/>
          <w:szCs w:val="24"/>
        </w:rPr>
        <w:t xml:space="preserve"> (</w:t>
      </w:r>
      <w:r w:rsidRPr="009710D4">
        <w:rPr>
          <w:rFonts w:ascii="Times New Roman" w:hAnsi="Times New Roman"/>
          <w:b/>
          <w:bCs/>
          <w:sz w:val="20"/>
          <w:szCs w:val="24"/>
        </w:rPr>
        <w:t>e</w:t>
      </w:r>
      <w:r w:rsidRPr="009710D4">
        <w:rPr>
          <w:rFonts w:ascii="Times New Roman" w:hAnsi="Times New Roman"/>
          <w:sz w:val="20"/>
          <w:szCs w:val="24"/>
        </w:rPr>
        <w:t xml:space="preserve">) AST </w:t>
      </w:r>
      <w:r w:rsidRPr="009710D4">
        <w:rPr>
          <w:rFonts w:ascii="Times New Roman" w:hAnsi="Times New Roman"/>
          <w:sz w:val="20"/>
          <w:szCs w:val="20"/>
        </w:rPr>
        <w:t>(tofacitinib 10 mg BID), and (</w:t>
      </w:r>
      <w:r w:rsidRPr="009710D4">
        <w:rPr>
          <w:rFonts w:ascii="Times New Roman" w:hAnsi="Times New Roman"/>
          <w:b/>
          <w:bCs/>
          <w:sz w:val="20"/>
          <w:szCs w:val="20"/>
        </w:rPr>
        <w:t>f</w:t>
      </w:r>
      <w:r w:rsidRPr="009710D4">
        <w:rPr>
          <w:rFonts w:ascii="Times New Roman" w:hAnsi="Times New Roman"/>
          <w:sz w:val="20"/>
          <w:szCs w:val="20"/>
        </w:rPr>
        <w:t xml:space="preserve">) AST (placebo) at </w:t>
      </w:r>
      <w:r w:rsidR="000147E6" w:rsidRPr="009710D4">
        <w:rPr>
          <w:rFonts w:ascii="Times New Roman" w:hAnsi="Times New Roman"/>
          <w:sz w:val="20"/>
          <w:szCs w:val="20"/>
        </w:rPr>
        <w:t>m</w:t>
      </w:r>
      <w:r w:rsidRPr="009710D4">
        <w:rPr>
          <w:rFonts w:ascii="Times New Roman" w:hAnsi="Times New Roman"/>
          <w:sz w:val="20"/>
          <w:szCs w:val="20"/>
        </w:rPr>
        <w:t xml:space="preserve">onth 1 through </w:t>
      </w:r>
      <w:r w:rsidR="000147E6" w:rsidRPr="009710D4">
        <w:rPr>
          <w:rFonts w:ascii="Times New Roman" w:hAnsi="Times New Roman"/>
          <w:sz w:val="20"/>
          <w:szCs w:val="20"/>
        </w:rPr>
        <w:t>m</w:t>
      </w:r>
      <w:r w:rsidRPr="009710D4">
        <w:rPr>
          <w:rFonts w:ascii="Times New Roman" w:hAnsi="Times New Roman"/>
          <w:sz w:val="20"/>
          <w:szCs w:val="20"/>
        </w:rPr>
        <w:t xml:space="preserve">onth 6 (tofacitinib) and </w:t>
      </w:r>
      <w:r w:rsidR="000147E6" w:rsidRPr="009710D4">
        <w:rPr>
          <w:rFonts w:ascii="Times New Roman" w:hAnsi="Times New Roman"/>
          <w:sz w:val="20"/>
          <w:szCs w:val="20"/>
        </w:rPr>
        <w:t>m</w:t>
      </w:r>
      <w:r w:rsidRPr="009710D4">
        <w:rPr>
          <w:rFonts w:ascii="Times New Roman" w:hAnsi="Times New Roman"/>
          <w:sz w:val="20"/>
          <w:szCs w:val="20"/>
        </w:rPr>
        <w:t xml:space="preserve">onth 1 through </w:t>
      </w:r>
      <w:r w:rsidR="000147E6" w:rsidRPr="009710D4">
        <w:rPr>
          <w:rFonts w:ascii="Times New Roman" w:hAnsi="Times New Roman"/>
          <w:sz w:val="20"/>
          <w:szCs w:val="20"/>
        </w:rPr>
        <w:t>m</w:t>
      </w:r>
      <w:r w:rsidRPr="009710D4">
        <w:rPr>
          <w:rFonts w:ascii="Times New Roman" w:hAnsi="Times New Roman"/>
          <w:sz w:val="20"/>
          <w:szCs w:val="20"/>
        </w:rPr>
        <w:t xml:space="preserve">onth 3 (placebo). </w:t>
      </w:r>
      <w:r w:rsidRPr="009710D4">
        <w:rPr>
          <w:rFonts w:ascii="Times New Roman" w:hAnsi="Times New Roman"/>
          <w:sz w:val="20"/>
          <w:szCs w:val="24"/>
        </w:rPr>
        <w:t xml:space="preserve">The analysis included all patients who received MTX as background therapy on </w:t>
      </w:r>
      <w:r w:rsidR="00C648F9" w:rsidRPr="009710D4">
        <w:rPr>
          <w:sz w:val="20"/>
          <w:szCs w:val="24"/>
        </w:rPr>
        <w:t>d</w:t>
      </w:r>
      <w:r w:rsidRPr="009710D4">
        <w:rPr>
          <w:rFonts w:ascii="Times New Roman" w:hAnsi="Times New Roman"/>
          <w:sz w:val="20"/>
          <w:szCs w:val="24"/>
        </w:rPr>
        <w:t xml:space="preserve">ay 1 in the safety analysis set. </w:t>
      </w:r>
      <w:r w:rsidRPr="009710D4">
        <w:rPr>
          <w:rFonts w:ascii="Times New Roman" w:hAnsi="Times New Roman"/>
          <w:sz w:val="20"/>
          <w:szCs w:val="20"/>
        </w:rPr>
        <w:t xml:space="preserve">Eight patients who used both MTX and other </w:t>
      </w:r>
      <w:proofErr w:type="spellStart"/>
      <w:r w:rsidRPr="009710D4">
        <w:rPr>
          <w:rFonts w:ascii="Times New Roman" w:hAnsi="Times New Roman"/>
          <w:sz w:val="20"/>
          <w:szCs w:val="20"/>
        </w:rPr>
        <w:t>csDMARDs</w:t>
      </w:r>
      <w:proofErr w:type="spellEnd"/>
      <w:r w:rsidRPr="009710D4">
        <w:rPr>
          <w:rFonts w:ascii="Times New Roman" w:hAnsi="Times New Roman"/>
          <w:sz w:val="20"/>
          <w:szCs w:val="20"/>
        </w:rPr>
        <w:t xml:space="preserve"> on </w:t>
      </w:r>
      <w:r w:rsidR="00C648F9" w:rsidRPr="009710D4">
        <w:rPr>
          <w:sz w:val="20"/>
          <w:szCs w:val="24"/>
        </w:rPr>
        <w:t>d</w:t>
      </w:r>
      <w:r w:rsidRPr="009710D4">
        <w:rPr>
          <w:rFonts w:ascii="Times New Roman" w:hAnsi="Times New Roman"/>
          <w:sz w:val="20"/>
          <w:szCs w:val="20"/>
        </w:rPr>
        <w:t>ay 1 were excluded, as were two patients who exceeded the protocol</w:t>
      </w:r>
      <w:r w:rsidRPr="009710D4">
        <w:rPr>
          <w:rFonts w:ascii="Times New Roman" w:hAnsi="Times New Roman"/>
          <w:sz w:val="20"/>
          <w:szCs w:val="20"/>
        </w:rPr>
        <w:noBreakHyphen/>
        <w:t>defined maximum dose of MTX for the analysis (20 mg/week), and one patient without dosing frequency to calculate the dose.</w:t>
      </w:r>
      <w:r w:rsidRPr="009710D4">
        <w:rPr>
          <w:rFonts w:ascii="Times New Roman" w:hAnsi="Times New Roman"/>
          <w:color w:val="000000"/>
          <w:sz w:val="20"/>
          <w:szCs w:val="24"/>
        </w:rPr>
        <w:t xml:space="preserve"> </w:t>
      </w:r>
      <w:r w:rsidRPr="009710D4">
        <w:rPr>
          <w:rFonts w:ascii="Times New Roman" w:hAnsi="Times New Roman"/>
          <w:sz w:val="20"/>
          <w:szCs w:val="24"/>
        </w:rPr>
        <w:t xml:space="preserve">ALT, alanine aminotransferase; AST, aspartate aminotransferase; BID, twice daily; </w:t>
      </w:r>
      <w:proofErr w:type="spellStart"/>
      <w:r w:rsidRPr="009710D4">
        <w:rPr>
          <w:rFonts w:ascii="Times New Roman" w:hAnsi="Times New Roman"/>
          <w:sz w:val="20"/>
          <w:szCs w:val="24"/>
        </w:rPr>
        <w:t>csDMARD</w:t>
      </w:r>
      <w:proofErr w:type="spellEnd"/>
      <w:r w:rsidRPr="009710D4">
        <w:rPr>
          <w:rFonts w:ascii="Times New Roman" w:hAnsi="Times New Roman"/>
          <w:sz w:val="20"/>
          <w:szCs w:val="24"/>
        </w:rPr>
        <w:t>, conventional synthetic disease</w:t>
      </w:r>
      <w:r w:rsidRPr="009710D4">
        <w:rPr>
          <w:rFonts w:ascii="Times New Roman" w:hAnsi="Times New Roman"/>
          <w:sz w:val="20"/>
          <w:szCs w:val="24"/>
        </w:rPr>
        <w:noBreakHyphen/>
        <w:t xml:space="preserve">modifying antirheumatic drug; MTX, methotrexate or methotrexate sodium; </w:t>
      </w:r>
      <w:r w:rsidRPr="009710D4">
        <w:rPr>
          <w:rFonts w:ascii="Times New Roman" w:hAnsi="Times New Roman"/>
          <w:i/>
          <w:iCs/>
          <w:sz w:val="20"/>
          <w:szCs w:val="24"/>
        </w:rPr>
        <w:t>N</w:t>
      </w:r>
      <w:r w:rsidRPr="009710D4">
        <w:rPr>
          <w:rFonts w:ascii="Times New Roman" w:hAnsi="Times New Roman"/>
          <w:sz w:val="20"/>
          <w:szCs w:val="24"/>
        </w:rPr>
        <w:t>, number of patients evaluable for changes from baseline in ALT or AST at each visit; SE, standard error; Δ, change from baseline</w:t>
      </w:r>
    </w:p>
    <w:p w14:paraId="2C2FF0F1" w14:textId="77777777" w:rsidR="007A3B0A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i/>
          <w:sz w:val="24"/>
        </w:rPr>
      </w:pPr>
    </w:p>
    <w:p w14:paraId="463B1EA0" w14:textId="77777777" w:rsidR="007A3B0A" w:rsidRDefault="007A3B0A" w:rsidP="007A3B0A">
      <w:pPr>
        <w:spacing w:after="160" w:line="259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14:paraId="6512A821" w14:textId="2DA2DBE2" w:rsidR="007A3B0A" w:rsidRPr="00A13041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0B4D5E">
        <w:rPr>
          <w:rFonts w:ascii="Times New Roman" w:hAnsi="Times New Roman"/>
          <w:b/>
          <w:bCs/>
          <w:iCs/>
          <w:sz w:val="24"/>
        </w:rPr>
        <w:lastRenderedPageBreak/>
        <w:t>Supplementary Fig. 2</w:t>
      </w:r>
      <w:r w:rsidRPr="000B4D5E">
        <w:rPr>
          <w:rFonts w:ascii="Times New Roman" w:hAnsi="Times New Roman"/>
          <w:i/>
          <w:sz w:val="24"/>
        </w:rPr>
        <w:t xml:space="preserve"> </w:t>
      </w:r>
      <w:r w:rsidRPr="000B4D5E">
        <w:rPr>
          <w:rFonts w:ascii="Times New Roman" w:hAnsi="Times New Roman"/>
          <w:sz w:val="24"/>
          <w:szCs w:val="24"/>
        </w:rPr>
        <w:t xml:space="preserve">Proportion of patients with ALT and AST ≥ 1, ≥ 2, ≥ 3, ≥ 5, and ≥ 10× ULN by </w:t>
      </w:r>
      <w:r w:rsidR="000147E6" w:rsidRPr="000B4D5E">
        <w:rPr>
          <w:rFonts w:ascii="Times New Roman" w:hAnsi="Times New Roman"/>
          <w:sz w:val="24"/>
          <w:szCs w:val="24"/>
        </w:rPr>
        <w:t>m</w:t>
      </w:r>
      <w:r w:rsidRPr="000B4D5E">
        <w:rPr>
          <w:rFonts w:ascii="Times New Roman" w:hAnsi="Times New Roman"/>
          <w:sz w:val="24"/>
          <w:szCs w:val="24"/>
        </w:rPr>
        <w:t>onth 6</w:t>
      </w:r>
      <w:r w:rsidRPr="00A13041">
        <w:rPr>
          <w:rFonts w:ascii="Times New Roman" w:hAnsi="Times New Roman"/>
          <w:sz w:val="24"/>
          <w:szCs w:val="24"/>
        </w:rPr>
        <w:t>, by treatment group and background MTX dose</w:t>
      </w:r>
    </w:p>
    <w:p w14:paraId="17C8E92F" w14:textId="77777777" w:rsidR="007A3B0A" w:rsidRPr="00CC17F6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color w:val="FF0000"/>
          <w:sz w:val="24"/>
          <w:szCs w:val="24"/>
        </w:rPr>
      </w:pPr>
    </w:p>
    <w:p w14:paraId="11A678D5" w14:textId="77777777" w:rsidR="007A3B0A" w:rsidRPr="006D58F2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i/>
          <w:color w:val="FF0000"/>
          <w:sz w:val="24"/>
        </w:rPr>
      </w:pPr>
      <w:r>
        <w:rPr>
          <w:noProof/>
        </w:rPr>
        <w:drawing>
          <wp:inline distT="0" distB="0" distL="0" distR="0" wp14:anchorId="7B3260BD" wp14:editId="56B62F57">
            <wp:extent cx="4718050" cy="3403600"/>
            <wp:effectExtent l="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6452B" w14:textId="1661C7CF" w:rsidR="007A3B0A" w:rsidRPr="00A13041" w:rsidRDefault="007A3B0A" w:rsidP="007A3B0A">
      <w:pPr>
        <w:pStyle w:val="1stlevelbulletedtext"/>
        <w:numPr>
          <w:ilvl w:val="0"/>
          <w:numId w:val="0"/>
        </w:numPr>
        <w:spacing w:before="240" w:after="120"/>
        <w:rPr>
          <w:b/>
        </w:rPr>
      </w:pPr>
      <w:r w:rsidRPr="00A13041">
        <w:rPr>
          <w:rFonts w:ascii="Times New Roman" w:hAnsi="Times New Roman"/>
          <w:sz w:val="20"/>
          <w:szCs w:val="24"/>
        </w:rPr>
        <w:t>(</w:t>
      </w:r>
      <w:r w:rsidRPr="00A13041">
        <w:rPr>
          <w:rFonts w:ascii="Times New Roman" w:hAnsi="Times New Roman"/>
          <w:b/>
          <w:bCs/>
          <w:sz w:val="20"/>
          <w:szCs w:val="24"/>
        </w:rPr>
        <w:t>a</w:t>
      </w:r>
      <w:r w:rsidRPr="00A13041">
        <w:rPr>
          <w:rFonts w:ascii="Times New Roman" w:hAnsi="Times New Roman"/>
          <w:sz w:val="20"/>
          <w:szCs w:val="24"/>
        </w:rPr>
        <w:t xml:space="preserve">) ALT </w:t>
      </w:r>
      <w:r w:rsidRPr="009710D4">
        <w:rPr>
          <w:rFonts w:ascii="Times New Roman" w:hAnsi="Times New Roman"/>
          <w:sz w:val="20"/>
          <w:szCs w:val="20"/>
        </w:rPr>
        <w:t>(tofacitinib 5 mg BID),</w:t>
      </w:r>
      <w:r w:rsidRPr="009710D4">
        <w:rPr>
          <w:rFonts w:ascii="Times New Roman" w:hAnsi="Times New Roman"/>
          <w:sz w:val="20"/>
          <w:szCs w:val="24"/>
        </w:rPr>
        <w:t xml:space="preserve"> (</w:t>
      </w:r>
      <w:r w:rsidRPr="009710D4">
        <w:rPr>
          <w:rFonts w:ascii="Times New Roman" w:hAnsi="Times New Roman"/>
          <w:b/>
          <w:bCs/>
          <w:sz w:val="20"/>
          <w:szCs w:val="24"/>
        </w:rPr>
        <w:t>b</w:t>
      </w:r>
      <w:r w:rsidRPr="009710D4">
        <w:rPr>
          <w:rFonts w:ascii="Times New Roman" w:hAnsi="Times New Roman"/>
          <w:sz w:val="20"/>
          <w:szCs w:val="24"/>
        </w:rPr>
        <w:t xml:space="preserve">) ALT </w:t>
      </w:r>
      <w:r w:rsidRPr="009710D4">
        <w:rPr>
          <w:rFonts w:ascii="Times New Roman" w:hAnsi="Times New Roman"/>
          <w:sz w:val="20"/>
          <w:szCs w:val="20"/>
        </w:rPr>
        <w:t>(tofacitinib 10 mg BID)</w:t>
      </w:r>
      <w:r w:rsidRPr="009710D4">
        <w:rPr>
          <w:rFonts w:ascii="Times New Roman" w:hAnsi="Times New Roman"/>
          <w:sz w:val="20"/>
          <w:szCs w:val="24"/>
        </w:rPr>
        <w:t>, (</w:t>
      </w:r>
      <w:r w:rsidRPr="009710D4">
        <w:rPr>
          <w:rFonts w:ascii="Times New Roman" w:hAnsi="Times New Roman"/>
          <w:b/>
          <w:bCs/>
          <w:sz w:val="20"/>
          <w:szCs w:val="24"/>
        </w:rPr>
        <w:t>c</w:t>
      </w:r>
      <w:r w:rsidRPr="009710D4">
        <w:rPr>
          <w:rFonts w:ascii="Times New Roman" w:hAnsi="Times New Roman"/>
          <w:sz w:val="20"/>
          <w:szCs w:val="24"/>
        </w:rPr>
        <w:t xml:space="preserve">) AST </w:t>
      </w:r>
      <w:r w:rsidRPr="009710D4">
        <w:rPr>
          <w:rFonts w:ascii="Times New Roman" w:hAnsi="Times New Roman"/>
          <w:sz w:val="20"/>
          <w:szCs w:val="20"/>
        </w:rPr>
        <w:t>(tofacitinib 5 mg BID), and</w:t>
      </w:r>
      <w:r w:rsidRPr="009710D4">
        <w:rPr>
          <w:rFonts w:ascii="Times New Roman" w:hAnsi="Times New Roman"/>
          <w:sz w:val="20"/>
          <w:szCs w:val="24"/>
        </w:rPr>
        <w:t xml:space="preserve"> (</w:t>
      </w:r>
      <w:r w:rsidRPr="009710D4">
        <w:rPr>
          <w:rFonts w:ascii="Times New Roman" w:hAnsi="Times New Roman"/>
          <w:b/>
          <w:bCs/>
          <w:sz w:val="20"/>
          <w:szCs w:val="24"/>
        </w:rPr>
        <w:t>d</w:t>
      </w:r>
      <w:r w:rsidRPr="009710D4">
        <w:rPr>
          <w:rFonts w:ascii="Times New Roman" w:hAnsi="Times New Roman"/>
          <w:sz w:val="20"/>
          <w:szCs w:val="24"/>
        </w:rPr>
        <w:t>) AST </w:t>
      </w:r>
      <w:r w:rsidRPr="009710D4">
        <w:rPr>
          <w:rFonts w:ascii="Times New Roman" w:hAnsi="Times New Roman"/>
          <w:sz w:val="20"/>
          <w:szCs w:val="20"/>
        </w:rPr>
        <w:t xml:space="preserve">(tofacitinib 10 mg BID) by </w:t>
      </w:r>
      <w:r w:rsidR="000147E6" w:rsidRPr="009710D4">
        <w:rPr>
          <w:rFonts w:ascii="Times New Roman" w:hAnsi="Times New Roman"/>
          <w:sz w:val="20"/>
          <w:szCs w:val="20"/>
        </w:rPr>
        <w:t>m</w:t>
      </w:r>
      <w:r w:rsidRPr="009710D4">
        <w:rPr>
          <w:rFonts w:ascii="Times New Roman" w:hAnsi="Times New Roman"/>
          <w:sz w:val="20"/>
          <w:szCs w:val="20"/>
        </w:rPr>
        <w:t xml:space="preserve">onth 6. </w:t>
      </w:r>
      <w:r w:rsidRPr="009710D4">
        <w:rPr>
          <w:rFonts w:ascii="Times New Roman" w:hAnsi="Times New Roman"/>
          <w:sz w:val="20"/>
          <w:szCs w:val="24"/>
        </w:rPr>
        <w:t xml:space="preserve">The analysis included all patients who received MTX as background therapy on </w:t>
      </w:r>
      <w:r w:rsidR="00C648F9" w:rsidRPr="009710D4">
        <w:rPr>
          <w:sz w:val="20"/>
          <w:szCs w:val="24"/>
        </w:rPr>
        <w:t>d</w:t>
      </w:r>
      <w:r w:rsidRPr="009710D4">
        <w:rPr>
          <w:rFonts w:ascii="Times New Roman" w:hAnsi="Times New Roman"/>
          <w:sz w:val="20"/>
          <w:szCs w:val="24"/>
        </w:rPr>
        <w:t xml:space="preserve">ay 1 in the safety analysis set. </w:t>
      </w:r>
      <w:r w:rsidRPr="009710D4">
        <w:rPr>
          <w:rFonts w:ascii="Times New Roman" w:hAnsi="Times New Roman"/>
          <w:sz w:val="20"/>
          <w:szCs w:val="20"/>
        </w:rPr>
        <w:t xml:space="preserve">Eight patients who used both MTX and other </w:t>
      </w:r>
      <w:proofErr w:type="spellStart"/>
      <w:r w:rsidRPr="009710D4">
        <w:rPr>
          <w:rFonts w:ascii="Times New Roman" w:hAnsi="Times New Roman"/>
          <w:sz w:val="20"/>
          <w:szCs w:val="20"/>
        </w:rPr>
        <w:t>csDMARDs</w:t>
      </w:r>
      <w:proofErr w:type="spellEnd"/>
      <w:r w:rsidRPr="009710D4">
        <w:rPr>
          <w:rFonts w:ascii="Times New Roman" w:hAnsi="Times New Roman"/>
          <w:sz w:val="20"/>
          <w:szCs w:val="20"/>
        </w:rPr>
        <w:t xml:space="preserve"> on </w:t>
      </w:r>
      <w:r w:rsidR="00C648F9" w:rsidRPr="009710D4">
        <w:rPr>
          <w:sz w:val="20"/>
          <w:szCs w:val="24"/>
        </w:rPr>
        <w:t>d</w:t>
      </w:r>
      <w:r w:rsidRPr="009710D4">
        <w:rPr>
          <w:rFonts w:ascii="Times New Roman" w:hAnsi="Times New Roman"/>
          <w:sz w:val="20"/>
          <w:szCs w:val="20"/>
        </w:rPr>
        <w:t>ay 1 were excluded, as were two patients who exceeded the protocol</w:t>
      </w:r>
      <w:r w:rsidRPr="009710D4">
        <w:rPr>
          <w:rFonts w:ascii="Times New Roman" w:hAnsi="Times New Roman"/>
          <w:sz w:val="20"/>
          <w:szCs w:val="20"/>
        </w:rPr>
        <w:noBreakHyphen/>
        <w:t>defined maximum dose of MTX for the analysis (20 mg/week), and one patient without dosing frequency to calculate the dose.</w:t>
      </w:r>
      <w:r w:rsidRPr="009710D4">
        <w:rPr>
          <w:rFonts w:ascii="Times New Roman" w:hAnsi="Times New Roman"/>
          <w:sz w:val="20"/>
          <w:szCs w:val="24"/>
        </w:rPr>
        <w:t xml:space="preserve"> ALT, alanine aminotransferase; AST, aspartate aminotransferase; BID, twice</w:t>
      </w:r>
      <w:r w:rsidRPr="00A13041">
        <w:rPr>
          <w:rFonts w:ascii="Times New Roman" w:hAnsi="Times New Roman"/>
          <w:sz w:val="20"/>
          <w:szCs w:val="24"/>
        </w:rPr>
        <w:t xml:space="preserve"> daily; </w:t>
      </w:r>
      <w:bookmarkStart w:id="2" w:name="_Hlk56693204"/>
      <w:proofErr w:type="spellStart"/>
      <w:r w:rsidRPr="00A13041">
        <w:rPr>
          <w:rFonts w:ascii="Times New Roman" w:hAnsi="Times New Roman"/>
          <w:sz w:val="20"/>
          <w:szCs w:val="24"/>
        </w:rPr>
        <w:t>csDMARD</w:t>
      </w:r>
      <w:proofErr w:type="spellEnd"/>
      <w:r w:rsidRPr="00A13041">
        <w:rPr>
          <w:rFonts w:ascii="Times New Roman" w:hAnsi="Times New Roman"/>
          <w:sz w:val="20"/>
          <w:szCs w:val="24"/>
        </w:rPr>
        <w:t>, conventional synthetic disease</w:t>
      </w:r>
      <w:r w:rsidRPr="00A13041">
        <w:rPr>
          <w:rFonts w:ascii="Times New Roman" w:hAnsi="Times New Roman"/>
          <w:sz w:val="20"/>
          <w:szCs w:val="24"/>
        </w:rPr>
        <w:noBreakHyphen/>
        <w:t xml:space="preserve">modifying antirheumatic drug; </w:t>
      </w:r>
      <w:bookmarkEnd w:id="2"/>
      <w:r w:rsidRPr="00A13041">
        <w:rPr>
          <w:rFonts w:ascii="Times New Roman" w:hAnsi="Times New Roman"/>
          <w:sz w:val="20"/>
          <w:szCs w:val="24"/>
        </w:rPr>
        <w:t xml:space="preserve">MTX, methotrexate or methotrexate sodium; </w:t>
      </w:r>
      <w:r w:rsidRPr="00A13041">
        <w:rPr>
          <w:rFonts w:ascii="Times New Roman" w:hAnsi="Times New Roman"/>
          <w:i/>
          <w:iCs/>
          <w:sz w:val="20"/>
          <w:szCs w:val="24"/>
        </w:rPr>
        <w:t>N</w:t>
      </w:r>
      <w:r w:rsidRPr="00A13041">
        <w:rPr>
          <w:rFonts w:ascii="Times New Roman" w:hAnsi="Times New Roman"/>
          <w:sz w:val="20"/>
          <w:szCs w:val="24"/>
        </w:rPr>
        <w:t>, number of patients evaluable for changes from baseline in ALT or AST at each visit; ULN, upper limit of normal</w:t>
      </w:r>
    </w:p>
    <w:p w14:paraId="66484887" w14:textId="77777777" w:rsidR="007A3B0A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i/>
          <w:sz w:val="24"/>
        </w:rPr>
      </w:pPr>
    </w:p>
    <w:p w14:paraId="7E134EF0" w14:textId="77777777" w:rsidR="007A3B0A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i/>
          <w:sz w:val="24"/>
        </w:rPr>
      </w:pPr>
    </w:p>
    <w:p w14:paraId="45C83C9B" w14:textId="77777777" w:rsidR="007A3B0A" w:rsidRDefault="007A3B0A" w:rsidP="007A3B0A">
      <w:pPr>
        <w:pStyle w:val="1stlevelbulletedtext"/>
        <w:numPr>
          <w:ilvl w:val="0"/>
          <w:numId w:val="0"/>
        </w:numPr>
        <w:rPr>
          <w:rFonts w:ascii="Times New Roman" w:hAnsi="Times New Roman"/>
          <w:i/>
          <w:sz w:val="24"/>
        </w:rPr>
      </w:pPr>
    </w:p>
    <w:p w14:paraId="2DC9E40C" w14:textId="4ACF5538" w:rsidR="007A3B0A" w:rsidRPr="005F18A6" w:rsidRDefault="007A3B0A" w:rsidP="007A3B0A">
      <w:pPr>
        <w:pStyle w:val="1stlevelbulletedtext"/>
        <w:keepNext/>
        <w:numPr>
          <w:ilvl w:val="0"/>
          <w:numId w:val="0"/>
        </w:numPr>
        <w:rPr>
          <w:rFonts w:ascii="Times New Roman" w:hAnsi="Times New Roman"/>
          <w:sz w:val="24"/>
        </w:rPr>
      </w:pPr>
      <w:r w:rsidRPr="00FA762E">
        <w:rPr>
          <w:rFonts w:ascii="Times New Roman" w:hAnsi="Times New Roman"/>
          <w:b/>
          <w:bCs/>
          <w:iCs/>
          <w:sz w:val="24"/>
        </w:rPr>
        <w:lastRenderedPageBreak/>
        <w:t xml:space="preserve">Supplementary </w:t>
      </w:r>
      <w:r w:rsidRPr="009710D4">
        <w:rPr>
          <w:rFonts w:ascii="Times New Roman" w:hAnsi="Times New Roman"/>
          <w:b/>
          <w:bCs/>
          <w:iCs/>
          <w:sz w:val="24"/>
        </w:rPr>
        <w:t>Fig. 3</w:t>
      </w:r>
      <w:r w:rsidRPr="009710D4">
        <w:rPr>
          <w:rFonts w:ascii="Times New Roman" w:hAnsi="Times New Roman"/>
          <w:sz w:val="24"/>
        </w:rPr>
        <w:t xml:space="preserve"> Lipid values mean (SE) percent change from baseline (Δ) by background MTX dose (</w:t>
      </w:r>
      <w:r w:rsidR="000147E6" w:rsidRPr="009710D4">
        <w:rPr>
          <w:rFonts w:ascii="Times New Roman" w:hAnsi="Times New Roman"/>
          <w:sz w:val="24"/>
        </w:rPr>
        <w:t>m</w:t>
      </w:r>
      <w:r w:rsidRPr="009710D4">
        <w:rPr>
          <w:rFonts w:ascii="Times New Roman" w:hAnsi="Times New Roman"/>
          <w:sz w:val="24"/>
        </w:rPr>
        <w:t>onths 1 and 3)</w:t>
      </w:r>
    </w:p>
    <w:p w14:paraId="353E5CC1" w14:textId="77777777" w:rsidR="007A3B0A" w:rsidRPr="00795CF9" w:rsidRDefault="007A3B0A" w:rsidP="007A3B0A">
      <w:pPr>
        <w:pStyle w:val="1stlevelbulletedtext"/>
        <w:keepNext/>
        <w:numPr>
          <w:ilvl w:val="0"/>
          <w:numId w:val="0"/>
        </w:num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2643000A" wp14:editId="73653488">
            <wp:extent cx="5731510" cy="518541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8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91B06" w14:textId="4D25F530" w:rsidR="007A3B0A" w:rsidRPr="008B4498" w:rsidRDefault="007A3B0A" w:rsidP="007A3B0A">
      <w:pPr>
        <w:pStyle w:val="1stlevelbulletedtext"/>
        <w:keepNext/>
        <w:numPr>
          <w:ilvl w:val="0"/>
          <w:numId w:val="0"/>
        </w:numPr>
        <w:rPr>
          <w:rFonts w:ascii="Times New Roman" w:hAnsi="Times New Roman"/>
          <w:sz w:val="20"/>
          <w:szCs w:val="20"/>
        </w:rPr>
        <w:sectPr w:rsidR="007A3B0A" w:rsidRPr="008B4498" w:rsidSect="002506E6">
          <w:pgSz w:w="11906" w:h="16838"/>
          <w:pgMar w:top="1701" w:right="1440" w:bottom="992" w:left="1440" w:header="709" w:footer="709" w:gutter="0"/>
          <w:cols w:space="708"/>
          <w:docGrid w:linePitch="360"/>
        </w:sectPr>
      </w:pPr>
      <w:r w:rsidRPr="004743F3">
        <w:rPr>
          <w:rFonts w:ascii="Times New Roman" w:hAnsi="Times New Roman"/>
          <w:sz w:val="20"/>
          <w:szCs w:val="20"/>
        </w:rPr>
        <w:t>(</w:t>
      </w:r>
      <w:r w:rsidRPr="006A2F05">
        <w:rPr>
          <w:rFonts w:ascii="Times New Roman" w:hAnsi="Times New Roman"/>
          <w:b/>
          <w:bCs/>
          <w:sz w:val="20"/>
          <w:szCs w:val="20"/>
        </w:rPr>
        <w:t>a</w:t>
      </w:r>
      <w:r w:rsidRPr="004743F3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</w:t>
      </w:r>
      <w:r w:rsidRPr="00AD36AE">
        <w:rPr>
          <w:rFonts w:ascii="Times New Roman" w:hAnsi="Times New Roman"/>
          <w:sz w:val="20"/>
          <w:szCs w:val="20"/>
        </w:rPr>
        <w:t>LDL cholesterol (</w:t>
      </w:r>
      <w:r>
        <w:rPr>
          <w:rFonts w:ascii="Times New Roman" w:hAnsi="Times New Roman"/>
          <w:sz w:val="20"/>
          <w:szCs w:val="20"/>
        </w:rPr>
        <w:t>tofacitinib 5 mg BID</w:t>
      </w:r>
      <w:r w:rsidRPr="00AD36A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,</w:t>
      </w:r>
      <w:r w:rsidRPr="00AD36A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 w:rsidRPr="006A2F05">
        <w:rPr>
          <w:rFonts w:ascii="Times New Roman" w:hAnsi="Times New Roman"/>
          <w:b/>
          <w:bCs/>
          <w:sz w:val="20"/>
          <w:szCs w:val="20"/>
        </w:rPr>
        <w:t>b</w:t>
      </w:r>
      <w:r w:rsidRPr="00AD36AE">
        <w:rPr>
          <w:rFonts w:ascii="Times New Roman" w:hAnsi="Times New Roman"/>
          <w:sz w:val="20"/>
          <w:szCs w:val="20"/>
        </w:rPr>
        <w:t>) LDL cholesterol (</w:t>
      </w:r>
      <w:r>
        <w:rPr>
          <w:rFonts w:ascii="Times New Roman" w:hAnsi="Times New Roman"/>
          <w:sz w:val="20"/>
          <w:szCs w:val="20"/>
        </w:rPr>
        <w:t>tofacitinib 10 mg BID</w:t>
      </w:r>
      <w:r w:rsidRPr="00AD36A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, (</w:t>
      </w:r>
      <w:r w:rsidRPr="006A2F05">
        <w:rPr>
          <w:rFonts w:ascii="Times New Roman" w:hAnsi="Times New Roman"/>
          <w:b/>
          <w:bCs/>
          <w:sz w:val="20"/>
          <w:szCs w:val="20"/>
        </w:rPr>
        <w:t>c</w:t>
      </w:r>
      <w:r w:rsidRPr="00AD36AE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LDL cholesterol (placebo), (</w:t>
      </w:r>
      <w:r w:rsidRPr="006A2F05">
        <w:rPr>
          <w:rFonts w:ascii="Times New Roman" w:hAnsi="Times New Roman"/>
          <w:b/>
          <w:bCs/>
          <w:sz w:val="20"/>
          <w:szCs w:val="20"/>
        </w:rPr>
        <w:t>d</w:t>
      </w:r>
      <w:r w:rsidRPr="00363AA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H</w:t>
      </w:r>
      <w:r w:rsidRPr="00AD36AE">
        <w:rPr>
          <w:rFonts w:ascii="Times New Roman" w:hAnsi="Times New Roman"/>
          <w:sz w:val="20"/>
          <w:szCs w:val="20"/>
        </w:rPr>
        <w:t>DL cholesterol (</w:t>
      </w:r>
      <w:r>
        <w:rPr>
          <w:rFonts w:ascii="Times New Roman" w:hAnsi="Times New Roman"/>
          <w:sz w:val="20"/>
          <w:szCs w:val="20"/>
        </w:rPr>
        <w:t>tofacitinib 5 mg BID</w:t>
      </w:r>
      <w:r w:rsidRPr="00AD36A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,</w:t>
      </w:r>
      <w:r w:rsidRPr="00AD36A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 w:rsidRPr="006A2F05">
        <w:rPr>
          <w:rFonts w:ascii="Times New Roman" w:hAnsi="Times New Roman"/>
          <w:b/>
          <w:bCs/>
          <w:sz w:val="20"/>
          <w:szCs w:val="20"/>
        </w:rPr>
        <w:t>e</w:t>
      </w:r>
      <w:r w:rsidRPr="00AD36AE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H</w:t>
      </w:r>
      <w:r w:rsidRPr="00AD36AE">
        <w:rPr>
          <w:rFonts w:ascii="Times New Roman" w:hAnsi="Times New Roman"/>
          <w:sz w:val="20"/>
          <w:szCs w:val="20"/>
        </w:rPr>
        <w:t>DL cholesterol (</w:t>
      </w:r>
      <w:r>
        <w:rPr>
          <w:rFonts w:ascii="Times New Roman" w:hAnsi="Times New Roman"/>
          <w:sz w:val="20"/>
          <w:szCs w:val="20"/>
        </w:rPr>
        <w:t>tofacitinib 10 mg BID</w:t>
      </w:r>
      <w:r w:rsidRPr="00AD36A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, (</w:t>
      </w:r>
      <w:r w:rsidRPr="006A2F05"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) HDL cholesterol (placebo), (</w:t>
      </w:r>
      <w:r w:rsidRPr="006A2F05">
        <w:rPr>
          <w:rFonts w:ascii="Times New Roman" w:hAnsi="Times New Roman"/>
          <w:b/>
          <w:bCs/>
          <w:sz w:val="20"/>
          <w:szCs w:val="20"/>
        </w:rPr>
        <w:t>g</w:t>
      </w:r>
      <w:r w:rsidRPr="00363AA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total</w:t>
      </w:r>
      <w:r w:rsidRPr="00AD36AE">
        <w:rPr>
          <w:rFonts w:ascii="Times New Roman" w:hAnsi="Times New Roman"/>
          <w:sz w:val="20"/>
          <w:szCs w:val="20"/>
        </w:rPr>
        <w:t xml:space="preserve"> cholesterol (</w:t>
      </w:r>
      <w:r>
        <w:rPr>
          <w:rFonts w:ascii="Times New Roman" w:hAnsi="Times New Roman"/>
          <w:sz w:val="20"/>
          <w:szCs w:val="20"/>
        </w:rPr>
        <w:t>tofacitinib 5 mg BID</w:t>
      </w:r>
      <w:r w:rsidRPr="00AD36A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,</w:t>
      </w:r>
      <w:r w:rsidRPr="00AD36A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 w:rsidRPr="006A2F05">
        <w:rPr>
          <w:rFonts w:ascii="Times New Roman" w:hAnsi="Times New Roman"/>
          <w:b/>
          <w:bCs/>
          <w:sz w:val="20"/>
          <w:szCs w:val="20"/>
        </w:rPr>
        <w:t>h</w:t>
      </w:r>
      <w:r w:rsidRPr="00AD36AE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total</w:t>
      </w:r>
      <w:r w:rsidRPr="00AD36AE">
        <w:rPr>
          <w:rFonts w:ascii="Times New Roman" w:hAnsi="Times New Roman"/>
          <w:sz w:val="20"/>
          <w:szCs w:val="20"/>
        </w:rPr>
        <w:t xml:space="preserve"> cholesterol (</w:t>
      </w:r>
      <w:r>
        <w:rPr>
          <w:rFonts w:ascii="Times New Roman" w:hAnsi="Times New Roman"/>
          <w:sz w:val="20"/>
          <w:szCs w:val="20"/>
        </w:rPr>
        <w:t>tofacitinib 10 mg BID</w:t>
      </w:r>
      <w:r w:rsidRPr="00AD36A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, and </w:t>
      </w:r>
      <w:r w:rsidRPr="006B4102">
        <w:rPr>
          <w:rFonts w:ascii="Times New Roman" w:hAnsi="Times New Roman"/>
          <w:sz w:val="20"/>
          <w:szCs w:val="20"/>
        </w:rPr>
        <w:t>(</w:t>
      </w:r>
      <w:r w:rsidRPr="006A2F05">
        <w:rPr>
          <w:rFonts w:ascii="Times New Roman" w:hAnsi="Times New Roman"/>
          <w:b/>
          <w:bCs/>
          <w:sz w:val="20"/>
          <w:szCs w:val="20"/>
        </w:rPr>
        <w:t>i</w:t>
      </w:r>
      <w:r w:rsidRPr="00AD36AE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 xml:space="preserve">total </w:t>
      </w:r>
      <w:r w:rsidRPr="009710D4">
        <w:rPr>
          <w:rFonts w:ascii="Times New Roman" w:hAnsi="Times New Roman"/>
          <w:sz w:val="20"/>
          <w:szCs w:val="20"/>
        </w:rPr>
        <w:t xml:space="preserve">cholesterol (placebo), at </w:t>
      </w:r>
      <w:r w:rsidR="000147E6" w:rsidRPr="009710D4">
        <w:rPr>
          <w:rFonts w:ascii="Times New Roman" w:hAnsi="Times New Roman"/>
          <w:sz w:val="20"/>
          <w:szCs w:val="20"/>
        </w:rPr>
        <w:t>m</w:t>
      </w:r>
      <w:r w:rsidRPr="009710D4">
        <w:rPr>
          <w:rFonts w:ascii="Times New Roman" w:hAnsi="Times New Roman"/>
          <w:sz w:val="20"/>
          <w:szCs w:val="20"/>
        </w:rPr>
        <w:t xml:space="preserve">onths 1 and 3. </w:t>
      </w:r>
      <w:r w:rsidRPr="009710D4">
        <w:rPr>
          <w:rFonts w:ascii="Times New Roman" w:hAnsi="Times New Roman"/>
          <w:sz w:val="20"/>
          <w:szCs w:val="24"/>
        </w:rPr>
        <w:t xml:space="preserve">The analysis included all patients who received MTX as background therapy on </w:t>
      </w:r>
      <w:r w:rsidR="00C648F9" w:rsidRPr="009710D4">
        <w:rPr>
          <w:sz w:val="20"/>
          <w:szCs w:val="24"/>
        </w:rPr>
        <w:t>d</w:t>
      </w:r>
      <w:r w:rsidRPr="009710D4">
        <w:rPr>
          <w:rFonts w:ascii="Times New Roman" w:hAnsi="Times New Roman"/>
          <w:sz w:val="20"/>
          <w:szCs w:val="24"/>
        </w:rPr>
        <w:t xml:space="preserve">ay 1 in the safety analysis set. </w:t>
      </w:r>
      <w:r w:rsidRPr="009710D4">
        <w:rPr>
          <w:rFonts w:ascii="Times New Roman" w:hAnsi="Times New Roman"/>
          <w:sz w:val="20"/>
          <w:szCs w:val="20"/>
        </w:rPr>
        <w:t xml:space="preserve">Eight patients who used both MTX and other </w:t>
      </w:r>
      <w:proofErr w:type="spellStart"/>
      <w:r w:rsidRPr="009710D4">
        <w:rPr>
          <w:rFonts w:ascii="Times New Roman" w:hAnsi="Times New Roman"/>
          <w:sz w:val="20"/>
          <w:szCs w:val="20"/>
        </w:rPr>
        <w:t>csDMARDs</w:t>
      </w:r>
      <w:proofErr w:type="spellEnd"/>
      <w:r w:rsidRPr="009710D4">
        <w:rPr>
          <w:rFonts w:ascii="Times New Roman" w:hAnsi="Times New Roman"/>
          <w:sz w:val="20"/>
          <w:szCs w:val="20"/>
        </w:rPr>
        <w:t xml:space="preserve"> on </w:t>
      </w:r>
      <w:r w:rsidR="00C648F9" w:rsidRPr="009710D4">
        <w:rPr>
          <w:sz w:val="20"/>
          <w:szCs w:val="24"/>
        </w:rPr>
        <w:t>d</w:t>
      </w:r>
      <w:r w:rsidRPr="009710D4">
        <w:rPr>
          <w:rFonts w:ascii="Times New Roman" w:hAnsi="Times New Roman"/>
          <w:sz w:val="20"/>
          <w:szCs w:val="20"/>
        </w:rPr>
        <w:t>ay 1 were excluded, as were two patients who exceeded the protocol</w:t>
      </w:r>
      <w:r w:rsidRPr="009710D4">
        <w:rPr>
          <w:rFonts w:ascii="Times New Roman" w:hAnsi="Times New Roman"/>
          <w:sz w:val="20"/>
          <w:szCs w:val="20"/>
        </w:rPr>
        <w:noBreakHyphen/>
        <w:t>defined maximum dose of MTX for the analysis (20 mg/week), and one patient without</w:t>
      </w:r>
      <w:r w:rsidRPr="008B4498">
        <w:rPr>
          <w:rFonts w:ascii="Times New Roman" w:hAnsi="Times New Roman"/>
          <w:sz w:val="20"/>
          <w:szCs w:val="20"/>
        </w:rPr>
        <w:t xml:space="preserve"> dosing frequency to calculate the dose.</w:t>
      </w:r>
      <w:r w:rsidRPr="008B4498">
        <w:rPr>
          <w:rFonts w:ascii="Times New Roman" w:hAnsi="Times New Roman"/>
          <w:color w:val="000000"/>
          <w:sz w:val="20"/>
          <w:szCs w:val="24"/>
        </w:rPr>
        <w:t xml:space="preserve"> B</w:t>
      </w:r>
      <w:r>
        <w:rPr>
          <w:rFonts w:ascii="Times New Roman" w:hAnsi="Times New Roman"/>
          <w:color w:val="000000"/>
          <w:sz w:val="20"/>
          <w:szCs w:val="24"/>
        </w:rPr>
        <w:t>ID, </w:t>
      </w:r>
      <w:r w:rsidRPr="008B4498">
        <w:rPr>
          <w:rFonts w:ascii="Times New Roman" w:hAnsi="Times New Roman"/>
          <w:color w:val="000000"/>
          <w:sz w:val="20"/>
          <w:szCs w:val="24"/>
        </w:rPr>
        <w:t>twice daily</w:t>
      </w:r>
      <w:r w:rsidRPr="008B4498">
        <w:rPr>
          <w:color w:val="000000"/>
          <w:sz w:val="20"/>
          <w:szCs w:val="24"/>
        </w:rPr>
        <w:t xml:space="preserve">; </w:t>
      </w:r>
      <w:proofErr w:type="spellStart"/>
      <w:r w:rsidRPr="004E0BC6">
        <w:rPr>
          <w:rFonts w:ascii="Times New Roman" w:hAnsi="Times New Roman"/>
          <w:sz w:val="20"/>
          <w:szCs w:val="24"/>
        </w:rPr>
        <w:t>csDMARD</w:t>
      </w:r>
      <w:proofErr w:type="spellEnd"/>
      <w:r w:rsidRPr="004E0BC6">
        <w:rPr>
          <w:rFonts w:ascii="Times New Roman" w:hAnsi="Times New Roman"/>
          <w:sz w:val="20"/>
          <w:szCs w:val="24"/>
        </w:rPr>
        <w:t>, conventional synthetic disease</w:t>
      </w:r>
      <w:r w:rsidRPr="004E0BC6">
        <w:rPr>
          <w:rFonts w:ascii="Times New Roman" w:hAnsi="Times New Roman"/>
          <w:sz w:val="20"/>
          <w:szCs w:val="24"/>
        </w:rPr>
        <w:noBreakHyphen/>
        <w:t xml:space="preserve">modifying antirheumatic drug; </w:t>
      </w:r>
      <w:r w:rsidRPr="008B4498"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DL, high-density lipoprotein; LDL, low-density lipoprotein; MTX,</w:t>
      </w:r>
      <w:r w:rsidRPr="008B4498">
        <w:rPr>
          <w:rFonts w:ascii="Times New Roman" w:hAnsi="Times New Roman"/>
          <w:sz w:val="20"/>
          <w:szCs w:val="20"/>
        </w:rPr>
        <w:t xml:space="preserve"> methotrexate or methotrexate sodium</w:t>
      </w:r>
      <w:r>
        <w:rPr>
          <w:rFonts w:ascii="Times New Roman" w:hAnsi="Times New Roman"/>
          <w:sz w:val="20"/>
          <w:szCs w:val="20"/>
        </w:rPr>
        <w:t xml:space="preserve">; </w:t>
      </w:r>
      <w:r w:rsidRPr="005E2FF0">
        <w:rPr>
          <w:rFonts w:ascii="Times New Roman" w:hAnsi="Times New Roman"/>
          <w:i/>
          <w:iCs/>
          <w:sz w:val="20"/>
          <w:szCs w:val="24"/>
        </w:rPr>
        <w:t>N</w:t>
      </w:r>
      <w:r>
        <w:rPr>
          <w:rFonts w:ascii="Times New Roman" w:hAnsi="Times New Roman"/>
          <w:sz w:val="20"/>
          <w:szCs w:val="24"/>
        </w:rPr>
        <w:t>, </w:t>
      </w:r>
      <w:r w:rsidRPr="008B4498">
        <w:rPr>
          <w:rFonts w:ascii="Times New Roman" w:hAnsi="Times New Roman"/>
          <w:color w:val="000000"/>
          <w:sz w:val="20"/>
          <w:szCs w:val="24"/>
        </w:rPr>
        <w:t>number of patients evaluable for change from baseline in the endpoint at each visit</w:t>
      </w:r>
      <w:r>
        <w:rPr>
          <w:rFonts w:ascii="Times New Roman" w:hAnsi="Times New Roman"/>
          <w:color w:val="000000"/>
          <w:sz w:val="20"/>
          <w:szCs w:val="24"/>
        </w:rPr>
        <w:t xml:space="preserve">; </w:t>
      </w:r>
      <w:r>
        <w:rPr>
          <w:rFonts w:ascii="Times New Roman" w:hAnsi="Times New Roman"/>
          <w:sz w:val="20"/>
          <w:szCs w:val="20"/>
        </w:rPr>
        <w:t>SE, </w:t>
      </w:r>
      <w:r w:rsidRPr="008B4498">
        <w:rPr>
          <w:rFonts w:ascii="Times New Roman" w:hAnsi="Times New Roman"/>
          <w:sz w:val="20"/>
          <w:szCs w:val="20"/>
        </w:rPr>
        <w:t>standard error</w:t>
      </w:r>
      <w:r>
        <w:rPr>
          <w:rFonts w:ascii="Times New Roman" w:hAnsi="Times New Roman"/>
          <w:sz w:val="20"/>
          <w:szCs w:val="20"/>
        </w:rPr>
        <w:t xml:space="preserve">; </w:t>
      </w:r>
      <w:r w:rsidRPr="004E0BC6">
        <w:rPr>
          <w:rFonts w:ascii="Times New Roman" w:hAnsi="Times New Roman"/>
          <w:sz w:val="20"/>
          <w:szCs w:val="24"/>
        </w:rPr>
        <w:t>Δ,</w:t>
      </w:r>
      <w:r>
        <w:rPr>
          <w:rFonts w:ascii="Times New Roman" w:hAnsi="Times New Roman"/>
          <w:sz w:val="20"/>
          <w:szCs w:val="24"/>
        </w:rPr>
        <w:t> </w:t>
      </w:r>
      <w:r w:rsidRPr="004E0BC6">
        <w:rPr>
          <w:rFonts w:ascii="Times New Roman" w:hAnsi="Times New Roman"/>
          <w:sz w:val="20"/>
          <w:szCs w:val="24"/>
        </w:rPr>
        <w:t>change from baseline</w:t>
      </w:r>
    </w:p>
    <w:p w14:paraId="250E96E3" w14:textId="77777777" w:rsidR="007A3B0A" w:rsidRPr="008B4498" w:rsidRDefault="007A3B0A" w:rsidP="007A3B0A">
      <w:pPr>
        <w:spacing w:after="160"/>
        <w:rPr>
          <w:rFonts w:ascii="Times New Roman" w:hAnsi="Times New Roman"/>
          <w:noProof/>
          <w:sz w:val="20"/>
          <w:szCs w:val="20"/>
        </w:rPr>
      </w:pPr>
      <w:r w:rsidRPr="00A13041">
        <w:rPr>
          <w:rFonts w:ascii="Times New Roman" w:hAnsi="Times New Roman"/>
          <w:b/>
          <w:bCs/>
          <w:iCs/>
          <w:sz w:val="24"/>
          <w:szCs w:val="20"/>
        </w:rPr>
        <w:lastRenderedPageBreak/>
        <w:t>Supplementary Fig. 4</w:t>
      </w:r>
      <w:r w:rsidRPr="00A13041">
        <w:rPr>
          <w:rFonts w:ascii="Times New Roman" w:hAnsi="Times New Roman"/>
          <w:sz w:val="24"/>
          <w:szCs w:val="20"/>
        </w:rPr>
        <w:t xml:space="preserve"> </w:t>
      </w:r>
      <w:r w:rsidRPr="00407563">
        <w:rPr>
          <w:rFonts w:ascii="Times New Roman" w:hAnsi="Times New Roman"/>
          <w:sz w:val="24"/>
        </w:rPr>
        <w:t>M</w:t>
      </w:r>
      <w:r w:rsidRPr="008B4498">
        <w:rPr>
          <w:rFonts w:ascii="Times New Roman" w:hAnsi="Times New Roman"/>
          <w:sz w:val="24"/>
        </w:rPr>
        <w:t>ean (SE) change from baseline</w:t>
      </w:r>
      <w:r>
        <w:rPr>
          <w:rFonts w:ascii="Times New Roman" w:hAnsi="Times New Roman"/>
          <w:sz w:val="24"/>
        </w:rPr>
        <w:t xml:space="preserve"> (</w:t>
      </w:r>
      <w:r w:rsidRPr="005E2FF0">
        <w:rPr>
          <w:rFonts w:ascii="Times New Roman" w:hAnsi="Times New Roman"/>
          <w:sz w:val="24"/>
        </w:rPr>
        <w:t>Δ)</w:t>
      </w:r>
      <w:r w:rsidRPr="008B4498">
        <w:rPr>
          <w:rFonts w:ascii="Times New Roman" w:hAnsi="Times New Roman"/>
          <w:sz w:val="24"/>
        </w:rPr>
        <w:t xml:space="preserve"> </w:t>
      </w:r>
      <w:r w:rsidRPr="005E2FF0">
        <w:rPr>
          <w:rFonts w:ascii="Times New Roman" w:hAnsi="Times New Roman"/>
          <w:sz w:val="24"/>
        </w:rPr>
        <w:t>in h</w:t>
      </w:r>
      <w:r w:rsidRPr="008B4498">
        <w:rPr>
          <w:rFonts w:ascii="Times New Roman" w:hAnsi="Times New Roman"/>
          <w:sz w:val="24"/>
          <w:szCs w:val="20"/>
        </w:rPr>
        <w:t xml:space="preserve">ematology values </w:t>
      </w:r>
      <w:r w:rsidRPr="008B4498">
        <w:rPr>
          <w:rFonts w:ascii="Times New Roman" w:hAnsi="Times New Roman"/>
          <w:sz w:val="24"/>
        </w:rPr>
        <w:t>by</w:t>
      </w:r>
      <w:r w:rsidRPr="008B4498">
        <w:rPr>
          <w:rFonts w:ascii="Times New Roman" w:hAnsi="Times New Roman"/>
          <w:sz w:val="24"/>
          <w:szCs w:val="20"/>
        </w:rPr>
        <w:t xml:space="preserve"> background MTX dose</w:t>
      </w:r>
    </w:p>
    <w:p w14:paraId="3BBF56E9" w14:textId="77777777" w:rsidR="007A3B0A" w:rsidRPr="008B4498" w:rsidRDefault="007A3B0A" w:rsidP="007A3B0A">
      <w:pPr>
        <w:spacing w:after="160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 wp14:anchorId="0C9D2864" wp14:editId="042335DC">
            <wp:extent cx="5731510" cy="341249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5F752" w14:textId="5E0186D4" w:rsidR="007A3B0A" w:rsidRPr="0065102E" w:rsidRDefault="007A3B0A" w:rsidP="007A3B0A">
      <w:pPr>
        <w:pStyle w:val="Paragraph"/>
        <w:spacing w:after="120" w:line="480" w:lineRule="auto"/>
        <w:rPr>
          <w:sz w:val="20"/>
          <w:szCs w:val="20"/>
        </w:rPr>
      </w:pPr>
      <w:r w:rsidRPr="004743F3">
        <w:rPr>
          <w:color w:val="000000"/>
          <w:sz w:val="20"/>
          <w:szCs w:val="24"/>
        </w:rPr>
        <w:t>(</w:t>
      </w:r>
      <w:r w:rsidRPr="006A2F05">
        <w:rPr>
          <w:b/>
          <w:bCs/>
          <w:color w:val="000000"/>
          <w:sz w:val="20"/>
          <w:szCs w:val="24"/>
        </w:rPr>
        <w:t>a</w:t>
      </w:r>
      <w:r w:rsidRPr="004743F3">
        <w:rPr>
          <w:color w:val="000000"/>
          <w:sz w:val="20"/>
          <w:szCs w:val="24"/>
        </w:rPr>
        <w:t>)</w:t>
      </w:r>
      <w:r>
        <w:rPr>
          <w:color w:val="000000"/>
          <w:sz w:val="20"/>
          <w:szCs w:val="24"/>
        </w:rPr>
        <w:t xml:space="preserve"> </w:t>
      </w:r>
      <w:proofErr w:type="spellStart"/>
      <w:r w:rsidRPr="008B4498">
        <w:rPr>
          <w:color w:val="000000"/>
          <w:sz w:val="20"/>
          <w:szCs w:val="24"/>
        </w:rPr>
        <w:t>Hemoglobin</w:t>
      </w:r>
      <w:proofErr w:type="spellEnd"/>
      <w:r w:rsidRPr="008B4498">
        <w:rPr>
          <w:color w:val="000000"/>
          <w:sz w:val="20"/>
          <w:szCs w:val="24"/>
        </w:rPr>
        <w:t xml:space="preserve"> (</w:t>
      </w:r>
      <w:r w:rsidRPr="008B4498">
        <w:rPr>
          <w:sz w:val="20"/>
          <w:szCs w:val="20"/>
        </w:rPr>
        <w:t>tofacitinib 5 mg BID)</w:t>
      </w:r>
      <w:r>
        <w:rPr>
          <w:sz w:val="20"/>
          <w:szCs w:val="20"/>
        </w:rPr>
        <w:t>,</w:t>
      </w:r>
      <w:r w:rsidRPr="008B4498">
        <w:rPr>
          <w:sz w:val="20"/>
          <w:szCs w:val="20"/>
        </w:rPr>
        <w:t xml:space="preserve"> (</w:t>
      </w:r>
      <w:r w:rsidRPr="006A2F05">
        <w:rPr>
          <w:b/>
          <w:bCs/>
          <w:sz w:val="20"/>
          <w:szCs w:val="20"/>
        </w:rPr>
        <w:t>b</w:t>
      </w:r>
      <w:r w:rsidRPr="008B4498">
        <w:rPr>
          <w:sz w:val="20"/>
          <w:szCs w:val="20"/>
        </w:rPr>
        <w:t xml:space="preserve">) </w:t>
      </w:r>
      <w:proofErr w:type="spellStart"/>
      <w:r w:rsidRPr="008B4498">
        <w:rPr>
          <w:sz w:val="20"/>
          <w:szCs w:val="20"/>
        </w:rPr>
        <w:t>hemoglobin</w:t>
      </w:r>
      <w:proofErr w:type="spellEnd"/>
      <w:r w:rsidRPr="008B4498">
        <w:rPr>
          <w:sz w:val="20"/>
          <w:szCs w:val="20"/>
        </w:rPr>
        <w:t xml:space="preserve"> (tofacitinib 10 mg BID)</w:t>
      </w:r>
      <w:r>
        <w:rPr>
          <w:sz w:val="20"/>
          <w:szCs w:val="20"/>
        </w:rPr>
        <w:t>,</w:t>
      </w:r>
      <w:r w:rsidRPr="008B4498">
        <w:rPr>
          <w:sz w:val="20"/>
          <w:szCs w:val="20"/>
        </w:rPr>
        <w:t xml:space="preserve"> (</w:t>
      </w:r>
      <w:r w:rsidRPr="006A2F05">
        <w:rPr>
          <w:b/>
          <w:bCs/>
          <w:sz w:val="20"/>
          <w:szCs w:val="20"/>
        </w:rPr>
        <w:t>c</w:t>
      </w:r>
      <w:r w:rsidRPr="008B4498">
        <w:rPr>
          <w:sz w:val="20"/>
          <w:szCs w:val="20"/>
        </w:rPr>
        <w:t xml:space="preserve">) </w:t>
      </w:r>
      <w:proofErr w:type="spellStart"/>
      <w:r w:rsidRPr="008B4498">
        <w:rPr>
          <w:sz w:val="20"/>
          <w:szCs w:val="20"/>
        </w:rPr>
        <w:t>hemoglobin</w:t>
      </w:r>
      <w:proofErr w:type="spellEnd"/>
      <w:r w:rsidRPr="008B4498">
        <w:rPr>
          <w:sz w:val="20"/>
          <w:szCs w:val="20"/>
        </w:rPr>
        <w:t xml:space="preserve"> (placebo)</w:t>
      </w:r>
      <w:r>
        <w:rPr>
          <w:sz w:val="20"/>
          <w:szCs w:val="20"/>
        </w:rPr>
        <w:t>,</w:t>
      </w:r>
      <w:r w:rsidRPr="008B4498">
        <w:rPr>
          <w:sz w:val="20"/>
          <w:szCs w:val="20"/>
        </w:rPr>
        <w:t xml:space="preserve"> (</w:t>
      </w:r>
      <w:r w:rsidRPr="006A2F05">
        <w:rPr>
          <w:b/>
          <w:bCs/>
          <w:color w:val="000000"/>
          <w:sz w:val="20"/>
          <w:szCs w:val="24"/>
        </w:rPr>
        <w:t>d</w:t>
      </w:r>
      <w:r w:rsidRPr="008B4498">
        <w:rPr>
          <w:color w:val="000000"/>
          <w:sz w:val="20"/>
          <w:szCs w:val="24"/>
        </w:rPr>
        <w:t>)</w:t>
      </w:r>
      <w:r>
        <w:rPr>
          <w:color w:val="000000"/>
          <w:sz w:val="20"/>
          <w:szCs w:val="24"/>
        </w:rPr>
        <w:t> </w:t>
      </w:r>
      <w:r w:rsidRPr="008B4498">
        <w:rPr>
          <w:sz w:val="20"/>
          <w:szCs w:val="20"/>
        </w:rPr>
        <w:t xml:space="preserve">neutrophils </w:t>
      </w:r>
      <w:r w:rsidRPr="008B4498">
        <w:rPr>
          <w:color w:val="000000"/>
          <w:sz w:val="20"/>
          <w:szCs w:val="24"/>
        </w:rPr>
        <w:t>(</w:t>
      </w:r>
      <w:r w:rsidRPr="008B4498">
        <w:rPr>
          <w:sz w:val="20"/>
          <w:szCs w:val="20"/>
        </w:rPr>
        <w:t>tofacitinib 5 mg BID)</w:t>
      </w:r>
      <w:r>
        <w:rPr>
          <w:sz w:val="20"/>
          <w:szCs w:val="20"/>
        </w:rPr>
        <w:t>,</w:t>
      </w:r>
      <w:r w:rsidRPr="008B4498">
        <w:rPr>
          <w:sz w:val="20"/>
          <w:szCs w:val="20"/>
        </w:rPr>
        <w:t xml:space="preserve"> (</w:t>
      </w:r>
      <w:r w:rsidRPr="006A2F05">
        <w:rPr>
          <w:b/>
          <w:bCs/>
          <w:sz w:val="20"/>
          <w:szCs w:val="20"/>
        </w:rPr>
        <w:t>e</w:t>
      </w:r>
      <w:r w:rsidRPr="008B4498">
        <w:rPr>
          <w:sz w:val="20"/>
          <w:szCs w:val="20"/>
        </w:rPr>
        <w:t>) neutrophils (tofacitinib 10 mg BID)</w:t>
      </w:r>
      <w:r>
        <w:rPr>
          <w:sz w:val="20"/>
          <w:szCs w:val="20"/>
        </w:rPr>
        <w:t xml:space="preserve">, </w:t>
      </w:r>
      <w:r w:rsidRPr="008B4498">
        <w:rPr>
          <w:sz w:val="20"/>
          <w:szCs w:val="20"/>
        </w:rPr>
        <w:t>(</w:t>
      </w:r>
      <w:r w:rsidRPr="006A2F05">
        <w:rPr>
          <w:b/>
          <w:bCs/>
          <w:sz w:val="20"/>
          <w:szCs w:val="20"/>
        </w:rPr>
        <w:t>f</w:t>
      </w:r>
      <w:r w:rsidRPr="008B4498">
        <w:rPr>
          <w:sz w:val="20"/>
          <w:szCs w:val="20"/>
        </w:rPr>
        <w:t>) neutrophils (placebo)</w:t>
      </w:r>
      <w:r>
        <w:rPr>
          <w:sz w:val="20"/>
          <w:szCs w:val="20"/>
        </w:rPr>
        <w:t xml:space="preserve">, </w:t>
      </w:r>
      <w:r w:rsidRPr="009710D4">
        <w:rPr>
          <w:sz w:val="20"/>
          <w:szCs w:val="20"/>
        </w:rPr>
        <w:t>(</w:t>
      </w:r>
      <w:r w:rsidRPr="009710D4">
        <w:rPr>
          <w:b/>
          <w:bCs/>
          <w:color w:val="000000"/>
          <w:sz w:val="20"/>
          <w:szCs w:val="24"/>
        </w:rPr>
        <w:t>g</w:t>
      </w:r>
      <w:r w:rsidRPr="009710D4">
        <w:rPr>
          <w:color w:val="000000"/>
          <w:sz w:val="20"/>
          <w:szCs w:val="24"/>
        </w:rPr>
        <w:t>) </w:t>
      </w:r>
      <w:r w:rsidRPr="009710D4">
        <w:rPr>
          <w:sz w:val="20"/>
          <w:szCs w:val="20"/>
        </w:rPr>
        <w:t xml:space="preserve">lymphocytes </w:t>
      </w:r>
      <w:r w:rsidRPr="009710D4">
        <w:rPr>
          <w:color w:val="000000"/>
          <w:sz w:val="20"/>
          <w:szCs w:val="24"/>
        </w:rPr>
        <w:t>(</w:t>
      </w:r>
      <w:r w:rsidRPr="009710D4">
        <w:rPr>
          <w:sz w:val="20"/>
          <w:szCs w:val="20"/>
        </w:rPr>
        <w:t>tofacitinib 5 mg BID), (</w:t>
      </w:r>
      <w:r w:rsidRPr="009710D4">
        <w:rPr>
          <w:b/>
          <w:bCs/>
          <w:sz w:val="20"/>
          <w:szCs w:val="20"/>
        </w:rPr>
        <w:t>h</w:t>
      </w:r>
      <w:r w:rsidRPr="009710D4">
        <w:rPr>
          <w:sz w:val="20"/>
          <w:szCs w:val="20"/>
        </w:rPr>
        <w:t>) lymphocytes (tofacitinib 10 mg BID), and (</w:t>
      </w:r>
      <w:r w:rsidRPr="009710D4">
        <w:rPr>
          <w:b/>
          <w:bCs/>
          <w:sz w:val="20"/>
          <w:szCs w:val="20"/>
        </w:rPr>
        <w:t>i</w:t>
      </w:r>
      <w:r w:rsidRPr="009710D4">
        <w:rPr>
          <w:sz w:val="20"/>
          <w:szCs w:val="20"/>
        </w:rPr>
        <w:t>) lymphocytes (placebo), at </w:t>
      </w:r>
      <w:r w:rsidR="000147E6" w:rsidRPr="009710D4">
        <w:rPr>
          <w:sz w:val="20"/>
          <w:szCs w:val="20"/>
        </w:rPr>
        <w:t>m</w:t>
      </w:r>
      <w:r w:rsidRPr="009710D4">
        <w:rPr>
          <w:sz w:val="20"/>
          <w:szCs w:val="20"/>
        </w:rPr>
        <w:t xml:space="preserve">onths 1, 2, and 3. </w:t>
      </w:r>
      <w:r w:rsidRPr="009710D4">
        <w:rPr>
          <w:sz w:val="20"/>
          <w:szCs w:val="24"/>
        </w:rPr>
        <w:t xml:space="preserve">The analysis included all patients who received MTX as background therapy on </w:t>
      </w:r>
      <w:r w:rsidR="00C648F9" w:rsidRPr="009710D4">
        <w:rPr>
          <w:sz w:val="20"/>
          <w:szCs w:val="24"/>
          <w:lang w:val="en-US"/>
        </w:rPr>
        <w:t>d</w:t>
      </w:r>
      <w:proofErr w:type="spellStart"/>
      <w:r w:rsidRPr="009710D4">
        <w:rPr>
          <w:sz w:val="20"/>
          <w:szCs w:val="24"/>
        </w:rPr>
        <w:t>ay</w:t>
      </w:r>
      <w:proofErr w:type="spellEnd"/>
      <w:r w:rsidRPr="009710D4">
        <w:rPr>
          <w:sz w:val="20"/>
          <w:szCs w:val="24"/>
        </w:rPr>
        <w:t xml:space="preserve"> 1 in the safety analysis set. </w:t>
      </w:r>
      <w:r w:rsidRPr="009710D4">
        <w:rPr>
          <w:sz w:val="20"/>
          <w:szCs w:val="20"/>
        </w:rPr>
        <w:t xml:space="preserve">Eight patients who used both MTX and other </w:t>
      </w:r>
      <w:proofErr w:type="spellStart"/>
      <w:r w:rsidRPr="009710D4">
        <w:rPr>
          <w:sz w:val="20"/>
          <w:szCs w:val="20"/>
        </w:rPr>
        <w:t>csDMARDs</w:t>
      </w:r>
      <w:proofErr w:type="spellEnd"/>
      <w:r w:rsidRPr="009710D4">
        <w:rPr>
          <w:sz w:val="20"/>
          <w:szCs w:val="20"/>
        </w:rPr>
        <w:t xml:space="preserve"> on </w:t>
      </w:r>
      <w:r w:rsidR="00C648F9" w:rsidRPr="009710D4">
        <w:rPr>
          <w:sz w:val="20"/>
          <w:szCs w:val="24"/>
          <w:lang w:val="en-US"/>
        </w:rPr>
        <w:t>d</w:t>
      </w:r>
      <w:r w:rsidRPr="009710D4">
        <w:rPr>
          <w:sz w:val="20"/>
          <w:szCs w:val="20"/>
        </w:rPr>
        <w:t>ay 1 were excluded, as were two patients who exceeded the protocol</w:t>
      </w:r>
      <w:r w:rsidRPr="009710D4">
        <w:rPr>
          <w:sz w:val="20"/>
          <w:szCs w:val="20"/>
        </w:rPr>
        <w:noBreakHyphen/>
        <w:t xml:space="preserve">defined maximum dose of MTX for the analysis (20 mg/week), and one patient without dosing frequency to calculate the dose. </w:t>
      </w:r>
      <w:r w:rsidRPr="009710D4">
        <w:rPr>
          <w:color w:val="000000"/>
          <w:sz w:val="20"/>
          <w:szCs w:val="24"/>
        </w:rPr>
        <w:t xml:space="preserve">BID, twice daily; </w:t>
      </w:r>
      <w:proofErr w:type="spellStart"/>
      <w:r w:rsidRPr="009710D4">
        <w:rPr>
          <w:sz w:val="20"/>
          <w:szCs w:val="24"/>
        </w:rPr>
        <w:t>csDMARD</w:t>
      </w:r>
      <w:proofErr w:type="spellEnd"/>
      <w:r w:rsidRPr="004E0BC6">
        <w:rPr>
          <w:sz w:val="20"/>
          <w:szCs w:val="24"/>
        </w:rPr>
        <w:t>, conventional synthetic disease</w:t>
      </w:r>
      <w:r w:rsidRPr="004E0BC6">
        <w:rPr>
          <w:sz w:val="20"/>
          <w:szCs w:val="24"/>
        </w:rPr>
        <w:noBreakHyphen/>
        <w:t xml:space="preserve">modifying antirheumatic drug; </w:t>
      </w:r>
      <w:r>
        <w:rPr>
          <w:color w:val="000000"/>
          <w:sz w:val="20"/>
          <w:szCs w:val="24"/>
        </w:rPr>
        <w:t>MTX, </w:t>
      </w:r>
      <w:r w:rsidRPr="008B4498">
        <w:rPr>
          <w:color w:val="000000"/>
          <w:sz w:val="20"/>
          <w:szCs w:val="24"/>
        </w:rPr>
        <w:t>methotrex</w:t>
      </w:r>
      <w:r>
        <w:rPr>
          <w:color w:val="000000"/>
          <w:sz w:val="20"/>
          <w:szCs w:val="24"/>
        </w:rPr>
        <w:t xml:space="preserve">ate or methotrexate sodium; </w:t>
      </w:r>
      <w:r w:rsidRPr="005E2FF0">
        <w:rPr>
          <w:i/>
          <w:iCs/>
          <w:sz w:val="20"/>
          <w:szCs w:val="24"/>
          <w:lang w:val="en-US"/>
        </w:rPr>
        <w:t>N</w:t>
      </w:r>
      <w:r>
        <w:rPr>
          <w:sz w:val="20"/>
          <w:szCs w:val="24"/>
          <w:lang w:val="en-US"/>
        </w:rPr>
        <w:t>, </w:t>
      </w:r>
      <w:r w:rsidRPr="008B4498">
        <w:rPr>
          <w:color w:val="000000"/>
          <w:sz w:val="20"/>
          <w:szCs w:val="24"/>
        </w:rPr>
        <w:t>number of patients evaluable for change from baseline in the endpoint at each visit</w:t>
      </w:r>
      <w:r>
        <w:rPr>
          <w:color w:val="000000"/>
          <w:sz w:val="20"/>
          <w:szCs w:val="24"/>
        </w:rPr>
        <w:t>; SE,</w:t>
      </w:r>
      <w:r w:rsidRPr="008B4498">
        <w:rPr>
          <w:color w:val="000000"/>
          <w:sz w:val="20"/>
          <w:szCs w:val="24"/>
        </w:rPr>
        <w:t xml:space="preserve"> standard error</w:t>
      </w:r>
      <w:r>
        <w:rPr>
          <w:color w:val="000000"/>
          <w:sz w:val="20"/>
          <w:szCs w:val="24"/>
        </w:rPr>
        <w:t xml:space="preserve">; </w:t>
      </w:r>
      <w:r w:rsidRPr="004E0BC6">
        <w:rPr>
          <w:sz w:val="20"/>
          <w:szCs w:val="24"/>
        </w:rPr>
        <w:t>Δ,</w:t>
      </w:r>
      <w:r>
        <w:rPr>
          <w:sz w:val="20"/>
          <w:szCs w:val="24"/>
        </w:rPr>
        <w:t> </w:t>
      </w:r>
      <w:r w:rsidRPr="004E0BC6">
        <w:rPr>
          <w:sz w:val="20"/>
          <w:szCs w:val="24"/>
        </w:rPr>
        <w:t>change from baseline</w:t>
      </w:r>
    </w:p>
    <w:p w14:paraId="669DD3FC" w14:textId="77777777" w:rsidR="007A3B0A" w:rsidRPr="004321C1" w:rsidRDefault="007A3B0A" w:rsidP="007A3B0A"/>
    <w:p w14:paraId="4FDA6A86" w14:textId="77777777" w:rsidR="007A3B0A" w:rsidRDefault="007A3B0A" w:rsidP="007A3B0A"/>
    <w:p w14:paraId="40181A61" w14:textId="77777777" w:rsidR="009A4A07" w:rsidRDefault="009A4A07"/>
    <w:sectPr w:rsidR="009A4A07" w:rsidSect="003246DD">
      <w:pgSz w:w="11906" w:h="16838"/>
      <w:pgMar w:top="1701" w:right="1440" w:bottom="99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17E7E"/>
    <w:multiLevelType w:val="hybridMultilevel"/>
    <w:tmpl w:val="E3D86490"/>
    <w:lvl w:ilvl="0" w:tplc="649C354A">
      <w:start w:val="1"/>
      <w:numFmt w:val="bullet"/>
      <w:pStyle w:val="1stlevelbullete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0C7C6C">
      <w:start w:val="1"/>
      <w:numFmt w:val="bullet"/>
      <w:pStyle w:val="2ndlevel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ACECD76">
      <w:start w:val="1"/>
      <w:numFmt w:val="bullet"/>
      <w:pStyle w:val="3rdlevel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CDA96">
      <w:start w:val="1"/>
      <w:numFmt w:val="bullet"/>
      <w:pStyle w:val="4thlevel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0A"/>
    <w:rsid w:val="000147E6"/>
    <w:rsid w:val="000B4D5E"/>
    <w:rsid w:val="003C737E"/>
    <w:rsid w:val="006506D5"/>
    <w:rsid w:val="007A3B0A"/>
    <w:rsid w:val="009710D4"/>
    <w:rsid w:val="009A4A07"/>
    <w:rsid w:val="00C648F9"/>
    <w:rsid w:val="00D8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2753F"/>
  <w15:chartTrackingRefBased/>
  <w15:docId w15:val="{D71A5756-F3C1-4107-999F-37B2AED7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non-spaced for bullets"/>
    <w:rsid w:val="007A3B0A"/>
    <w:pPr>
      <w:spacing w:after="0" w:line="480" w:lineRule="auto"/>
    </w:pPr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B0A"/>
    <w:pPr>
      <w:keepNext/>
      <w:keepLines/>
      <w:spacing w:before="12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B0A"/>
    <w:rPr>
      <w:rFonts w:ascii="Times New Roman" w:eastAsiaTheme="majorEastAsia" w:hAnsi="Times New Roman" w:cstheme="majorBidi"/>
      <w:b/>
      <w:sz w:val="28"/>
      <w:szCs w:val="32"/>
      <w:lang w:val="en-US"/>
    </w:rPr>
  </w:style>
  <w:style w:type="table" w:styleId="TableGrid">
    <w:name w:val="Table Grid"/>
    <w:basedOn w:val="TableNormal"/>
    <w:uiPriority w:val="39"/>
    <w:rsid w:val="007A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tlevelbulletedtext">
    <w:name w:val="1st level bulleted text"/>
    <w:basedOn w:val="Normal"/>
    <w:link w:val="1stlevelbulletedtextChar"/>
    <w:qFormat/>
    <w:rsid w:val="007A3B0A"/>
    <w:pPr>
      <w:numPr>
        <w:numId w:val="1"/>
      </w:numPr>
    </w:pPr>
  </w:style>
  <w:style w:type="paragraph" w:customStyle="1" w:styleId="2ndlevelbullet">
    <w:name w:val="2nd level bullet"/>
    <w:basedOn w:val="1stlevelbulletedtext"/>
    <w:qFormat/>
    <w:rsid w:val="007A3B0A"/>
    <w:pPr>
      <w:numPr>
        <w:ilvl w:val="1"/>
      </w:numPr>
      <w:ind w:left="1434" w:hanging="357"/>
    </w:pPr>
    <w:rPr>
      <w:rFonts w:ascii="Times New Roman" w:hAnsi="Times New Roman"/>
      <w:sz w:val="24"/>
      <w:szCs w:val="24"/>
    </w:rPr>
  </w:style>
  <w:style w:type="character" w:customStyle="1" w:styleId="1stlevelbulletedtextChar">
    <w:name w:val="1st level bulleted text Char"/>
    <w:basedOn w:val="DefaultParagraphFont"/>
    <w:link w:val="1stlevelbulletedtext"/>
    <w:rsid w:val="007A3B0A"/>
    <w:rPr>
      <w:rFonts w:cs="Times New Roman"/>
      <w:lang w:val="en-US"/>
    </w:rPr>
  </w:style>
  <w:style w:type="paragraph" w:customStyle="1" w:styleId="3rdlevelbullet">
    <w:name w:val="3rd level bullet"/>
    <w:basedOn w:val="1stlevelbulletedtext"/>
    <w:qFormat/>
    <w:rsid w:val="007A3B0A"/>
    <w:pPr>
      <w:numPr>
        <w:ilvl w:val="2"/>
      </w:numPr>
      <w:ind w:left="1276"/>
    </w:pPr>
  </w:style>
  <w:style w:type="paragraph" w:customStyle="1" w:styleId="4thlevelbullet">
    <w:name w:val="4th level bullet"/>
    <w:basedOn w:val="1stlevelbulletedtext"/>
    <w:qFormat/>
    <w:rsid w:val="007A3B0A"/>
    <w:pPr>
      <w:numPr>
        <w:ilvl w:val="3"/>
      </w:numPr>
      <w:ind w:left="1701"/>
    </w:pPr>
  </w:style>
  <w:style w:type="paragraph" w:customStyle="1" w:styleId="Paragraph">
    <w:name w:val="Paragraph"/>
    <w:link w:val="ParagraphChar1"/>
    <w:uiPriority w:val="99"/>
    <w:qFormat/>
    <w:rsid w:val="007A3B0A"/>
    <w:pPr>
      <w:spacing w:after="240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ParagraphChar1">
    <w:name w:val="Paragraph Char1"/>
    <w:link w:val="Paragraph"/>
    <w:uiPriority w:val="99"/>
    <w:locked/>
    <w:rsid w:val="007A3B0A"/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7A3B0A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A3B0A"/>
    <w:pPr>
      <w:spacing w:after="240"/>
      <w:contextualSpacing/>
    </w:pPr>
    <w:rPr>
      <w:rFonts w:ascii="Times New Roman Bold" w:eastAsiaTheme="majorEastAsia" w:hAnsi="Times New Roman Bold" w:cstheme="majorBidi"/>
      <w:b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B0A"/>
    <w:rPr>
      <w:rFonts w:ascii="Times New Roman Bold" w:eastAsiaTheme="majorEastAsia" w:hAnsi="Times New Roman Bold" w:cstheme="majorBidi"/>
      <w:b/>
      <w:kern w:val="28"/>
      <w:sz w:val="28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a.Takiya@pfizer.com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F77A9721722DDB4E98716100F4250061" ma:contentTypeVersion="0" ma:contentTypeDescription="Create a new document." ma:contentTypeScope="" ma:versionID="8fbce67ee71dc71ea7a510a5dda8d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E978A-43B6-4975-9B37-1FA9D634AE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9F9B24-F222-4197-8362-2787DE334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2EB05-CE2D-494C-AADF-4E6B6A75B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1164</Words>
  <Characters>6636</Characters>
  <Application>Microsoft Office Word</Application>
  <DocSecurity>0</DocSecurity>
  <Lines>55</Lines>
  <Paragraphs>15</Paragraphs>
  <ScaleCrop>false</ScaleCrop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Graham, Laura (GLA-CMC)</dc:creator>
  <cp:keywords/>
  <dc:description/>
  <cp:lastModifiedBy>Hogarth, Lauren (MAN-CMC)</cp:lastModifiedBy>
  <cp:revision>2</cp:revision>
  <dcterms:created xsi:type="dcterms:W3CDTF">2021-08-19T11:28:00Z</dcterms:created>
  <dcterms:modified xsi:type="dcterms:W3CDTF">2021-08-19T11:28:00Z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0x010100FA0963FA69A646AA916D2E41284FC10000F77A9721722DDB4E98716100F4250061</vt:lpwstr>
  </property>
</Properties>
</file>