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4A309" w14:textId="77777777" w:rsidR="00897E75" w:rsidRPr="00C26A1B" w:rsidRDefault="00897E75" w:rsidP="00897E75">
      <w:r>
        <w:rPr>
          <w:b/>
          <w:bCs/>
        </w:rPr>
        <w:t>Online Resource 4</w:t>
      </w:r>
      <w:r w:rsidRPr="009003A1">
        <w:rPr>
          <w:b/>
          <w:bCs/>
        </w:rPr>
        <w:t>. Classification of Rheumatoid Arthritis Recommendations</w:t>
      </w:r>
      <w:r w:rsidRPr="009003A1">
        <w:t xml:space="preserve"> </w:t>
      </w:r>
    </w:p>
    <w:p w14:paraId="151F520F" w14:textId="77777777" w:rsidR="00897E75" w:rsidRDefault="00897E75" w:rsidP="00897E75">
      <w:pPr>
        <w:rPr>
          <w:b/>
          <w:bCs/>
        </w:rPr>
      </w:pPr>
      <w:r w:rsidRPr="00F44B29">
        <w:rPr>
          <w:b/>
          <w:bCs/>
        </w:rPr>
        <w:t>Table 1. Non-pharmacological recommendations</w:t>
      </w:r>
      <w:r w:rsidRPr="009003A1">
        <w:rPr>
          <w:b/>
          <w:bCs/>
        </w:rPr>
        <w:t xml:space="preserve"> </w:t>
      </w:r>
    </w:p>
    <w:p w14:paraId="6D9BCF5B" w14:textId="77777777" w:rsidR="00897E75" w:rsidRPr="009003A1" w:rsidRDefault="00897E75" w:rsidP="00897E75">
      <w:pPr>
        <w:rPr>
          <w:b/>
          <w:bCs/>
        </w:rPr>
      </w:pPr>
    </w:p>
    <w:tbl>
      <w:tblPr>
        <w:tblW w:w="14885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0"/>
        <w:gridCol w:w="825"/>
        <w:gridCol w:w="901"/>
        <w:gridCol w:w="735"/>
        <w:gridCol w:w="707"/>
        <w:gridCol w:w="887"/>
        <w:gridCol w:w="696"/>
        <w:gridCol w:w="1047"/>
        <w:gridCol w:w="1750"/>
        <w:gridCol w:w="1115"/>
        <w:gridCol w:w="760"/>
        <w:gridCol w:w="681"/>
        <w:gridCol w:w="1839"/>
        <w:gridCol w:w="992"/>
      </w:tblGrid>
      <w:tr w:rsidR="00897E75" w:rsidRPr="005E53EE" w14:paraId="632B7749" w14:textId="77777777" w:rsidTr="00DF33A4">
        <w:trPr>
          <w:trHeight w:val="260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6EC1F5" w14:textId="77777777" w:rsidR="00897E75" w:rsidRPr="00EA546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D139D0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ACR (2021)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&lt;EndNote&gt;&lt;Cite&gt;&lt;Author&gt;Fraenkel&lt;/Author&gt;&lt;Year&gt;2021&lt;/Year&gt;&lt;RecNum&gt;13&lt;/RecNum&gt;&lt;DisplayText&gt;[48]&lt;/DisplayText&gt;&lt;record&gt;&lt;rec-number&gt;13&lt;/rec-number&gt;&lt;foreign-keys&gt;&lt;key app="EN" db-id="zf9rd0ada95vwuezxwn5ppd4sptwaaars9at" timestamp="1655341627"&gt;13&lt;/key&gt;&lt;/foreign-keys&gt;&lt;ref-type name="Journal Article"&gt;17&lt;/ref-type&gt;&lt;contributors&gt;&lt;authors&gt;&lt;author&gt;Fraenkel, L., Bathon, J. M., England, B. R., St. Clair, E. W., Arayssi, T., Carandang, K., ... &amp;amp; Akl, E. A. &lt;/author&gt;&lt;/authors&gt;&lt;/contributors&gt;&lt;titles&gt;&lt;title&gt;2021 American College of Rheumatology guideline for the treatment of rheumatoid arthritis.&lt;/title&gt;&lt;secondary-title&gt;Arthritis &amp;amp; Rheumatology&lt;/secondary-title&gt;&lt;/titles&gt;&lt;periodical&gt;&lt;full-title&gt;Arthritis &amp;amp; rheumatology&lt;/full-title&gt;&lt;/periodical&gt;&lt;pages&gt;1108-1123&lt;/pages&gt;&lt;volume&gt;73&lt;/volume&gt;&lt;number&gt;7&lt;/number&gt;&lt;dates&gt;&lt;year&gt;2021&lt;/year&gt;&lt;/dates&gt;&lt;urls&gt;&lt;/urls&gt;&lt;/record&gt;&lt;/Cite&gt;&lt;/EndNote&gt;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[48]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47D261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APLAR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&lt;EndNote&gt;&lt;Cite&gt;&lt;Author&gt;Lau&lt;/Author&gt;&lt;Year&gt;2015&lt;/Year&gt;&lt;RecNum&gt;3&lt;/RecNum&gt;&lt;DisplayText&gt;[45]&lt;/DisplayText&gt;&lt;record&gt;&lt;rec-number&gt;3&lt;/rec-number&gt;&lt;foreign-keys&gt;&lt;key app="EN" db-id="zf9rd0ada95vwuezxwn5ppd4sptwaaars9at" timestamp="1655340768"&gt;3&lt;/key&gt;&lt;/foreign-keys&gt;&lt;ref-type name="Journal Article"&gt;17&lt;/ref-type&gt;&lt;contributors&gt;&lt;authors&gt;&lt;author&gt;Lau, C. S., Chia, F., Harrison, A., Hsieh, T. Y., Jain, R., Jung, S. M., ... &amp;amp; Yeap, S. S. &lt;/author&gt;&lt;/authors&gt;&lt;/contributors&gt;&lt;titles&gt;&lt;title&gt;APLAR rheumatoid arthritis treatment recommendations.&lt;/title&gt;&lt;secondary-title&gt;International journal of rheumatic diseases&lt;/secondary-title&gt;&lt;/titles&gt;&lt;periodical&gt;&lt;full-title&gt;International journal of rheumatic diseases&lt;/full-title&gt;&lt;/periodical&gt;&lt;pages&gt;685-713&lt;/pages&gt;&lt;volume&gt;18&lt;/volume&gt;&lt;number&gt;7&lt;/number&gt;&lt;dates&gt;&lt;year&gt;2015&lt;/year&gt;&lt;/dates&gt;&lt;urls&gt;&lt;/urls&gt;&lt;/record&gt;&lt;/Cite&gt;&lt;/EndNote&gt;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[45]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02BDC1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BSR</w:t>
            </w:r>
          </w:p>
          <w:p w14:paraId="5DA7F32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&lt;EndNote&gt;&lt;Cite&gt;&lt;Author&gt;da Mota&lt;/Author&gt;&lt;Year&gt;2018&lt;/Year&gt;&lt;RecNum&gt;9&lt;/RecNum&gt;&lt;DisplayText&gt;[42]&lt;/DisplayText&gt;&lt;record&gt;&lt;rec-number&gt;9&lt;/rec-number&gt;&lt;foreign-keys&gt;&lt;key app="EN" db-id="zf9rd0ada95vwuezxwn5ppd4sptwaaars9at" timestamp="1655341430"&gt;9&lt;/key&gt;&lt;/foreign-keys&gt;&lt;ref-type name="Journal Article"&gt;17&lt;/ref-type&gt;&lt;contributors&gt;&lt;authors&gt;&lt;author&gt;da Mota, L. M. H., Kakehasi, A. M., Gomides, A. P. M., Duarte, A. L. B. P., Cruz, B. A., Brenol, C. V., ... &amp;amp; Giorgi, R. D. N. &lt;/author&gt;&lt;/authors&gt;&lt;/contributors&gt;&lt;titles&gt;&lt;title&gt;2017 recommendations of the Brazilian Society of Rheumatology for the pharmacological treatment of rheumatoid arthritis.&lt;/title&gt;&lt;secondary-title&gt;Advances in Rheumatology&lt;/secondary-title&gt;&lt;/titles&gt;&lt;periodical&gt;&lt;full-title&gt;Advances in Rheumatology&lt;/full-title&gt;&lt;/periodical&gt;&lt;pages&gt;1-17&lt;/pages&gt;&lt;volume&gt;58&lt;/volume&gt;&lt;number&gt;1&lt;/number&gt;&lt;dates&gt;&lt;year&gt;2018&lt;/year&gt;&lt;/dates&gt;&lt;urls&gt;&lt;/urls&gt;&lt;/record&gt;&lt;/Cite&gt;&lt;/EndNote&gt;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[42]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F27855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CRA</w:t>
            </w:r>
          </w:p>
          <w:p w14:paraId="7A325B1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&lt;EndNote&gt;&lt;Cite&gt;&lt;Author&gt;Hazlewood&lt;/Author&gt;&lt;Year&gt;2022&lt;/Year&gt;&lt;RecNum&gt;61&lt;/RecNum&gt;&lt;DisplayText&gt;[51]&lt;/DisplayText&gt;&lt;record&gt;&lt;rec-number&gt;61&lt;/rec-number&gt;&lt;foreign-keys&gt;&lt;key app="EN" db-id="zf9rd0ada95vwuezxwn5ppd4sptwaaars9at" timestamp="1681176928"&gt;61&lt;/key&gt;&lt;/foreign-keys&gt;&lt;ref-type name="Journal Article"&gt;17&lt;/ref-type&gt;&lt;contributors&gt;&lt;authors&gt;&lt;author&gt;Hazlewood, G. S., Pardo, J. P., Barnabe, C., Schieir, O., Barber, C. E., Proulx, L., ... &amp;amp; Pope, J. E. &lt;/author&gt;&lt;/authors&gt;&lt;/contributors&gt;&lt;titles&gt;&lt;title&gt;Canadian Rheumatology Association living guidelines for the pharmacological management of rheumatoid arthritis with disease-modifying antirheumatic drugs. &lt;/title&gt;&lt;secondary-title&gt;The Journal of Rheumatology&lt;/secondary-title&gt;&lt;/titles&gt;&lt;periodical&gt;&lt;full-title&gt;The Journal of Rheumatology&lt;/full-title&gt;&lt;/periodical&gt;&lt;dates&gt;&lt;year&gt;2022&lt;/year&gt;&lt;/dates&gt;&lt;urls&gt;&lt;/urls&gt;&lt;/record&gt;&lt;/Cite&gt;&lt;/EndNote&gt;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[51]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DCE24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EULAR </w:t>
            </w:r>
          </w:p>
          <w:p w14:paraId="4CE0EFA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(2023)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&lt;EndNote&gt;&lt;Cite&gt;&lt;Author&gt;Smolen JS&lt;/Author&gt;&lt;Year&gt;2023&lt;/Year&gt;&lt;RecNum&gt;54&lt;/RecNum&gt;&lt;DisplayText&gt;[50]&lt;/DisplayText&gt;&lt;record&gt;&lt;rec-number&gt;54&lt;/rec-number&gt;&lt;foreign-keys&gt;&lt;key app="EN" db-id="zf9rd0ada95vwuezxwn5ppd4sptwaaars9at" timestamp="1676192970"&gt;54&lt;/key&gt;&lt;/foreign-keys&gt;&lt;ref-type name="Journal Article"&gt;17&lt;/ref-type&gt;&lt;contributors&gt;&lt;authors&gt;&lt;author&gt;Smolen JS, Landewé RBM, Bergstra SA, et al&lt;/author&gt;&lt;/authors&gt;&lt;/contributors&gt;&lt;titles&gt;&lt;title&gt;EULAR recommendations for the management of rheumatoid arthritis with synthetic and biological disease-modifying antirheumatic drugs: 2022 update&lt;/title&gt;&lt;/titles&gt;&lt;dates&gt;&lt;year&gt;2023&lt;/year&gt;&lt;/dates&gt;&lt;urls&gt;&lt;/urls&gt;&lt;/record&gt;&lt;/Cite&gt;&lt;/EndNote&gt;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[50]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C56558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ISR</w:t>
            </w:r>
          </w:p>
          <w:p w14:paraId="471CB61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&lt;EndNote&gt;&lt;Cite&gt;&lt;Author&gt;Parisi&lt;/Author&gt;&lt;Year&gt;2019&lt;/Year&gt;&lt;RecNum&gt;1&lt;/RecNum&gt;&lt;DisplayText&gt;[4]&lt;/DisplayText&gt;&lt;record&gt;&lt;rec-number&gt;1&lt;/rec-number&gt;&lt;foreign-keys&gt;&lt;key app="EN" db-id="zf9rd0ada95vwuezxwn5ppd4sptwaaars9at" timestamp="1655258041"&gt;1&lt;/key&gt;&lt;/foreign-keys&gt;&lt;ref-type name="Journal Article"&gt;17&lt;/ref-type&gt;&lt;contributors&gt;&lt;authors&gt;&lt;author&gt;Parisi, S., Bortoluzzi, A., Sebastiani, G. D., Conti, F., Caporali, R., Ughi, N., ... &amp;amp; Scirè, C. A.&lt;/author&gt;&lt;/authors&gt;&lt;/contributors&gt;&lt;titles&gt;&lt;title&gt;The Italian Society for Rheumatology clinical practice guidelines for rheumatoid arthritis. &lt;/title&gt;&lt;secondary-title&gt;Reumatismo&lt;/secondary-title&gt;&lt;/titles&gt;&lt;periodical&gt;&lt;full-title&gt;Reumatismo&lt;/full-title&gt;&lt;/periodical&gt;&lt;pages&gt;22-49&lt;/pages&gt;&lt;volume&gt;71&lt;/volume&gt;&lt;num-vols&gt;S1&lt;/num-vols&gt;&lt;dates&gt;&lt;year&gt;2019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81C50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MaHTAS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&lt;EndNote&gt;&lt;Cite&gt;&lt;Author&gt;(MaHTAS)&lt;/Author&gt;&lt;Year&gt;2019&lt;/Year&gt;&lt;RecNum&gt;5&lt;/RecNum&gt;&lt;DisplayText&gt;[43]&lt;/DisplayText&gt;&lt;record&gt;&lt;rec-number&gt;5&lt;/rec-number&gt;&lt;foreign-keys&gt;&lt;key app="EN" db-id="zf9rd0ada95vwuezxwn5ppd4sptwaaars9at" timestamp="1655341141"&gt;5&lt;/key&gt;&lt;/foreign-keys&gt;&lt;ref-type name="Journal Article"&gt;17&lt;/ref-type&gt;&lt;contributors&gt;&lt;authors&gt;&lt;author&gt;Malaysia Health Technology Assessment Section (MaHTAS)&lt;/author&gt;&lt;/authors&gt;&lt;/contributors&gt;&lt;auth-address&gt;Malaysia Health Technology Assessment Section (MaHTAS)&amp;#xD;Medical Development Division, Ministry of Health Malaysia&amp;#xD;Level 4, Block E1, Precinct 1&amp;#xD;Federal Government Administrative Centre&amp;#xD;62590 Putrajaya, Malaysia&lt;/auth-address&gt;&lt;titles&gt;&lt;title&gt;Clinical Practice Guidelines - Management of Rheumatoid Arthritis &lt;/title&gt;&lt;/titles&gt;&lt;dates&gt;&lt;year&gt;2019&lt;/year&gt;&lt;/dates&gt;&lt;urls&gt;&lt;related-urls&gt;&lt;url&gt;Available on the following websites:&lt;/url&gt;&lt;url&gt;http://www.moh.gov.my&lt;/url&gt;&lt;url&gt;http://www.acadmed.org.my&lt;/url&gt;&lt;url&gt;http://www.msr.my/&lt;/url&gt;&lt;/related-urls&gt;&lt;/urls&gt;&lt;/record&gt;&lt;/Cite&gt;&lt;/EndNote&gt;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[43]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4716EE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NICE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&lt;EndNote&gt;&lt;Cite&gt;&lt;Author&gt;NICE&lt;/Author&gt;&lt;Year&gt;2018 &lt;/Year&gt;&lt;RecNum&gt;6&lt;/RecNum&gt;&lt;DisplayText&gt;[44]&lt;/DisplayText&gt;&lt;record&gt;&lt;rec-number&gt;6&lt;/rec-number&gt;&lt;foreign-keys&gt;&lt;key app="EN" db-id="zf9rd0ada95vwuezxwn5ppd4sptwaaars9at" timestamp="1655341224"&gt;6&lt;/key&gt;&lt;/foreign-keys&gt;&lt;ref-type name="Journal Article"&gt;17&lt;/ref-type&gt;&lt;contributors&gt;&lt;authors&gt;&lt;author&gt;National Insititute for Health and Care Excellence NICE &lt;/author&gt;&lt;/authors&gt;&lt;/contributors&gt;&lt;titles&gt;&lt;title&gt;Rheumatoid arthritis in adults: management &lt;/title&gt;&lt;/titles&gt;&lt;dates&gt;&lt;year&gt;2018 &lt;/year&gt;&lt;/dates&gt;&lt;urls&gt;&lt;related-urls&gt;&lt;url&gt;https://www.nice.org.uk/guidance/ng100&lt;/url&gt;&lt;/related-urls&gt;&lt;/urls&gt;&lt;/record&gt;&lt;/Cite&gt;&lt;/EndNote&gt;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[44]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EB7311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Peter et al.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&lt;EndNote&gt;&lt;Cite&gt;&lt;Author&gt;Peter&lt;/Author&gt;&lt;Year&gt;2021&lt;/Year&gt;&lt;RecNum&gt;14&lt;/RecNum&gt;&lt;DisplayText&gt;[49]&lt;/DisplayText&gt;&lt;record&gt;&lt;rec-number&gt;14&lt;/rec-number&gt;&lt;foreign-keys&gt;&lt;key app="EN" db-id="zf9rd0ada95vwuezxwn5ppd4sptwaaars9at" timestamp="1655341673"&gt;14&lt;/key&gt;&lt;/foreign-keys&gt;&lt;ref-type name="Journal Article"&gt;17&lt;/ref-type&gt;&lt;contributors&gt;&lt;authors&gt;&lt;author&gt;Peter, W. F., Swart, N. M., Meerhoff, G. A., &amp;amp; Vliet Vlieland, T. P. &lt;/author&gt;&lt;/authors&gt;&lt;/contributors&gt;&lt;titles&gt;&lt;title&gt;Clinical practice guideline for physical therapist management of people with rheumatoid arthritis.&lt;/title&gt;&lt;secondary-title&gt;Physical therapy&lt;/secondary-title&gt;&lt;/titles&gt;&lt;periodical&gt;&lt;full-title&gt;Physical therapy&lt;/full-title&gt;&lt;/periodical&gt;&lt;volume&gt;101&lt;/volume&gt;&lt;number&gt;8&lt;/number&gt;&lt;dates&gt;&lt;year&gt;2021&lt;/year&gt;&lt;/dates&gt;&lt;urls&gt;&lt;/urls&gt;&lt;/record&gt;&lt;/Cite&gt;&lt;/EndNote&gt;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[49]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4E3DFA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Santos et al.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&lt;EndNote&gt;&lt;Cite&gt;&lt;Author&gt;Santos&lt;/Author&gt;&lt;Year&gt;2021&lt;/Year&gt;&lt;RecNum&gt;12&lt;/RecNum&gt;&lt;DisplayText&gt;[47]&lt;/DisplayText&gt;&lt;record&gt;&lt;rec-number&gt;12&lt;/rec-number&gt;&lt;foreign-keys&gt;&lt;key app="EN" db-id="zf9rd0ada95vwuezxwn5ppd4sptwaaars9at" timestamp="1655341588"&gt;12&lt;/key&gt;&lt;/foreign-keys&gt;&lt;ref-type name="Journal Article"&gt;17&lt;/ref-type&gt;&lt;contributors&gt;&lt;authors&gt;&lt;author&gt;Santos, E. J., Duarte, C., Ferreira, R. J., Pinto, A. M., Moreira, A., Vaz, C., ... &amp;amp; da Silva, J. A&lt;/author&gt;&lt;/authors&gt;&lt;/contributors&gt;&lt;titles&gt;&lt;title&gt;Portuguese multidisciplinary recommendations for non-pharmacological and non-surgical interventions in patients with rheumatoid arthritis&lt;/title&gt;&lt;secondary-title&gt;Acta reumatologica portuguesa&lt;/secondary-title&gt;&lt;/titles&gt;&lt;periodical&gt;&lt;full-title&gt;Acta reumatologica portuguesa&lt;/full-title&gt;&lt;/periodical&gt;&lt;pages&gt;40-54&lt;/pages&gt;&lt;volume&gt;46&lt;/volume&gt;&lt;number&gt;1&lt;/number&gt;&lt;dates&gt;&lt;year&gt;2021&lt;/year&gt;&lt;/dates&gt;&lt;urls&gt;&lt;/urls&gt;&lt;/record&gt;&lt;/Cite&gt;&lt;/EndNote&gt;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[47]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508EE4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SER</w:t>
            </w:r>
          </w:p>
          <w:p w14:paraId="62A8F77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&lt;EndNote&gt;&lt;Cite&gt;&lt;Author&gt;(SER)&lt;/Author&gt;&lt;Year&gt;2019&lt;/Year&gt;&lt;RecNum&gt;11&lt;/RecNum&gt;&lt;DisplayText&gt;[41]&lt;/DisplayText&gt;&lt;record&gt;&lt;rec-number&gt;11&lt;/rec-number&gt;&lt;foreign-keys&gt;&lt;key app="EN" db-id="zf9rd0ada95vwuezxwn5ppd4sptwaaars9at" timestamp="1655341548"&gt;11&lt;/key&gt;&lt;/foreign-keys&gt;&lt;ref-type name="Journal Article"&gt;17&lt;/ref-type&gt;&lt;contributors&gt;&lt;authors&gt;&lt;author&gt;GUIPCAR working group Spanish Society of Rheumatology (SER)&lt;/author&gt;&lt;/authors&gt;&lt;/contributors&gt;&lt;titles&gt;&lt;title&gt;Clinical Practice Guidelines for the Management of Pa- tients with Rheumatoid Arthritis&lt;/title&gt;&lt;/titles&gt;&lt;dates&gt;&lt;year&gt;2019&lt;/year&gt;&lt;/dates&gt;&lt;urls&gt;&lt;/urls&gt;&lt;/record&gt;&lt;/Cite&gt;&lt;/EndNote&gt;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72BB2B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Tenten-Diepenmaat et al.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&lt;EndNote&gt;&lt;Cite&gt;&lt;Author&gt;Tenten-Diepenmaat&lt;/Author&gt;&lt;Year&gt;2018&lt;/Year&gt;&lt;RecNum&gt;4&lt;/RecNum&gt;&lt;DisplayText&gt;[46]&lt;/DisplayText&gt;&lt;record&gt;&lt;rec-number&gt;4&lt;/rec-number&gt;&lt;foreign-keys&gt;&lt;key app="EN" db-id="zf9rd0ada95vwuezxwn5ppd4sptwaaars9at" timestamp="1655340924"&gt;4&lt;/key&gt;&lt;/foreign-keys&gt;&lt;ref-type name="Journal Article"&gt;17&lt;/ref-type&gt;&lt;contributors&gt;&lt;authors&gt;&lt;author&gt;Tenten-Diepenmaat, M., van der Leeden, M., Vlieland, T. P. V., &amp;amp; Dekker, J. &lt;/author&gt;&lt;/authors&gt;&lt;/contributors&gt;&lt;titles&gt;&lt;title&gt;Multidisciplinary recommendations for diagnosis and treatment of foot problems in people with rheumatoid arthritis&lt;/title&gt;&lt;secondary-title&gt;Journal of foot and ankle research&lt;/secondary-title&gt;&lt;/titles&gt;&lt;periodical&gt;&lt;full-title&gt;Journal of foot and ankle research&lt;/full-title&gt;&lt;/periodical&gt;&lt;pages&gt;1-13&lt;/pages&gt;&lt;volume&gt;11&lt;/volume&gt;&lt;number&gt;1&lt;/number&gt;&lt;dates&gt;&lt;year&gt;2018&lt;/year&gt;&lt;/dates&gt;&lt;urls&gt;&lt;/urls&gt;&lt;/record&gt;&lt;/Cite&gt;&lt;/EndNote&gt;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[46]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738EF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TLAR</w:t>
            </w:r>
          </w:p>
          <w:p w14:paraId="1641537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&lt;EndNote&gt;&lt;Cite&gt;&lt;Author&gt;Ataman&lt;/Author&gt;&lt;Year&gt;2018&lt;/Year&gt;&lt;RecNum&gt;10&lt;/RecNum&gt;&lt;DisplayText&gt;[8]&lt;/DisplayText&gt;&lt;record&gt;&lt;rec-number&gt;10&lt;/rec-number&gt;&lt;foreign-keys&gt;&lt;key app="EN" db-id="zf9rd0ada95vwuezxwn5ppd4sptwaaars9at" timestamp="1655341483"&gt;10&lt;/key&gt;&lt;/foreign-keys&gt;&lt;ref-type name="Journal Article"&gt;17&lt;/ref-type&gt;&lt;contributors&gt;&lt;authors&gt;&lt;author&gt;Ataman, Ş., Sunar, I., Yilmaz, G., Bodur, H., Nas, K., Ayhan, F. F., ... &amp;amp; Yurdakul, F. G. &lt;/author&gt;&lt;/authors&gt;&lt;/contributors&gt;&lt;titles&gt;&lt;title&gt;Turkish league against rheumatism (TLAR) recommendations for the pharmacological management of rheumatoid arthritis: 2018 update under guidance of current&amp;#xD;recommendations. &lt;/title&gt;&lt;secondary-title&gt;Archives of rheumatology&lt;/secondary-title&gt;&lt;/titles&gt;&lt;periodical&gt;&lt;full-title&gt;Archives of rheumatology&lt;/full-title&gt;&lt;/periodical&gt;&lt;volume&gt;33&lt;/volume&gt;&lt;number&gt;3&lt;/number&gt;&lt;dates&gt;&lt;year&gt;2018&lt;/year&gt;&lt;/dates&gt;&lt;urls&gt;&lt;/urls&gt;&lt;/record&gt;&lt;/Cite&gt;&lt;/EndNote&gt;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[8]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</w:tr>
      <w:tr w:rsidR="00897E75" w:rsidRPr="005E53EE" w14:paraId="1C41C9FF" w14:textId="77777777" w:rsidTr="00DF33A4">
        <w:trPr>
          <w:trHeight w:val="47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58C05D0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Non-Pharmacological interventions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7C7AB52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2042975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4B7179C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F11BF06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6DA239E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09954775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3EE30BED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274D5452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5CA8A3BB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C9E23E2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9D384F8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72A0FF33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6B30F4" w14:textId="77777777" w:rsidR="00897E75" w:rsidRPr="005E53E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97E75" w:rsidRPr="005E53EE" w14:paraId="2F968272" w14:textId="77777777" w:rsidTr="00DF33A4">
        <w:trPr>
          <w:trHeight w:val="393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EF0ECF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Patient education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7E68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2AB6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3A614F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E0D7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72C4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6CCA736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2DBA784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65A4523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92D050"/>
          </w:tcPr>
          <w:p w14:paraId="6BF30AC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65F2603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1E62270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367FF37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ACC1D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75E68EF1" w14:textId="77777777" w:rsidTr="00DF33A4">
        <w:trPr>
          <w:trHeight w:val="418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17219C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Patient centered care/ Shared decision making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E71417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9E9BD1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706DD3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0542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38839B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69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1B4FD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D2B89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44FFFEE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E398E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556E72D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39A66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03B0E17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C70A6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</w:tr>
      <w:tr w:rsidR="00897E75" w:rsidRPr="005E53EE" w14:paraId="0F4621EC" w14:textId="77777777" w:rsidTr="00DF33A4">
        <w:trPr>
          <w:trHeight w:val="553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06B3FB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Exercise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3648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529D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24AC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AE84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DCE5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1A8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B334E6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75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A52FF5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11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D1B4CA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76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B579F0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572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424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(General)</w:t>
            </w:r>
          </w:p>
          <w:p w14:paraId="622522C3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(Foot &amp; Ankle)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B36C1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13007F76" w14:textId="77777777" w:rsidTr="00DF33A4">
        <w:trPr>
          <w:trHeight w:val="843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90085E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Diet and complementary therapies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C96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34FC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5942D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60F7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6C2EA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C87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14A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9804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Mediterranean diet</w:t>
            </w:r>
          </w:p>
          <w:p w14:paraId="7D1EB362" w14:textId="77777777" w:rsidR="00897E75" w:rsidRPr="005E53EE" w:rsidRDefault="00897E75" w:rsidP="00DF33A4">
            <w:pPr>
              <w:shd w:val="clear" w:color="auto" w:fill="FF0000"/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O Replace evidence-based therapies</w:t>
            </w:r>
          </w:p>
          <w:p w14:paraId="1DD4A007" w14:textId="77777777" w:rsidR="00897E75" w:rsidRPr="005E53EE" w:rsidRDefault="00897E75" w:rsidP="00DF33A4">
            <w:pPr>
              <w:shd w:val="clear" w:color="auto" w:fill="FF000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5E53EE">
              <w:rPr>
                <w:sz w:val="20"/>
                <w:szCs w:val="20"/>
                <w:shd w:val="clear" w:color="auto" w:fill="FF0000"/>
              </w:rPr>
              <w:t>O Impact clinicians’ attitudes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F5E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4BB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E9D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0A5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75A9D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7D31FD61" w14:textId="77777777" w:rsidTr="00DF33A4">
        <w:trPr>
          <w:trHeight w:val="627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267EC1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Other non-pharmacological management strategies (e.g. manual therapy, psychological and social interventions)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95E0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8D09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047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3969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443E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BD6E6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141207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872DC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EF4F0A2" w14:textId="77777777" w:rsidR="00897E75" w:rsidRPr="005E53EE" w:rsidRDefault="00897E75" w:rsidP="00DF33A4">
            <w:pPr>
              <w:shd w:val="clear" w:color="auto" w:fill="FF0000"/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O</w:t>
            </w:r>
          </w:p>
          <w:p w14:paraId="25C0448E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Short term mobilisation</w:t>
            </w:r>
          </w:p>
          <w:p w14:paraId="5C12BCEC" w14:textId="77777777" w:rsidR="00897E75" w:rsidRPr="005E53EE" w:rsidRDefault="00897E75" w:rsidP="00DF33A4">
            <w:pPr>
              <w:shd w:val="clear" w:color="auto" w:fill="FF000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5E53EE">
              <w:rPr>
                <w:sz w:val="20"/>
                <w:szCs w:val="20"/>
                <w:shd w:val="clear" w:color="auto" w:fill="FF0000"/>
              </w:rPr>
              <w:t>O Cervical problems</w:t>
            </w:r>
          </w:p>
          <w:p w14:paraId="55E6928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92D050"/>
          </w:tcPr>
          <w:p w14:paraId="0991563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7A51C6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404E0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FE208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5EB4F693" w14:textId="77777777" w:rsidTr="00DF33A4">
        <w:trPr>
          <w:trHeight w:val="393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D2707F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Over-the counter shoes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6E2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8F35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B1B6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7E35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A771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57243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11525D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358F34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7AE78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10168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3E257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3313FCC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Sufficient room toe box and stiff sole</w:t>
            </w:r>
          </w:p>
          <w:p w14:paraId="3369339A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Additional features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ED612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438A7EA3" w14:textId="77777777" w:rsidTr="00DF33A4">
        <w:trPr>
          <w:trHeight w:val="471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644456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Ready-made therapeutic shoes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E766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11B1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A359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7176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E9CF1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7FB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B80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A409EC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7DD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D3F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4DF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E624F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25E33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322560DD" w14:textId="77777777" w:rsidTr="00DF33A4">
        <w:trPr>
          <w:trHeight w:val="393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28FBE5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Custom-made therapeutic shoes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4616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869E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3AE7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7F1A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D796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26CB5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52C20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CEAA46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6BD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288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25B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2F9F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Worn all day </w:t>
            </w:r>
            <w:r w:rsidRPr="005E53EE">
              <w:rPr>
                <w:sz w:val="20"/>
                <w:szCs w:val="20"/>
                <w:shd w:val="clear" w:color="auto" w:fill="00B050"/>
              </w:rPr>
              <w:t>after a habituation period</w:t>
            </w:r>
          </w:p>
          <w:p w14:paraId="5EB6E0AB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Shoes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D5EE5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5F963F6A" w14:textId="77777777" w:rsidTr="00897E75">
        <w:trPr>
          <w:trHeight w:val="393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01CF48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Foot orthoses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9E48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20EE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427C4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75B4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5B3A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912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131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4DCC48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5BF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26D1D05" w14:textId="77777777" w:rsidR="00897E75" w:rsidRPr="005E53EE" w:rsidRDefault="00897E75" w:rsidP="00DF33A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  <w:p w14:paraId="7EFF14F1" w14:textId="77777777" w:rsidR="00897E75" w:rsidRPr="005E53EE" w:rsidRDefault="00897E75" w:rsidP="00DF33A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1AD3505F" w14:textId="77777777" w:rsidR="00897E75" w:rsidRPr="005E53EE" w:rsidRDefault="00897E75" w:rsidP="00DF33A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7BF18DD" w14:textId="77777777" w:rsidR="00897E75" w:rsidRPr="005E53EE" w:rsidRDefault="00897E75" w:rsidP="00DF33A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929B3A6" w14:textId="77777777" w:rsidR="00897E75" w:rsidRPr="005E53EE" w:rsidRDefault="00897E75" w:rsidP="00DF33A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0FDDA739" w14:textId="77777777" w:rsidR="00897E75" w:rsidRPr="005E53EE" w:rsidRDefault="00897E75" w:rsidP="00DF33A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4564E6DC" w14:textId="77777777" w:rsidR="00897E75" w:rsidRPr="005E53EE" w:rsidRDefault="00897E75" w:rsidP="00DF33A4">
            <w:pPr>
              <w:jc w:val="center"/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4AF965C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832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6D1CB3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6E82A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68097338" w14:textId="77777777" w:rsidTr="00897E75">
        <w:trPr>
          <w:trHeight w:val="393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0BB90D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lastRenderedPageBreak/>
              <w:t>Rigid foot orthoses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6DEA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83F4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F55E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0EC4E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A57B4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73E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DFA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F47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207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102FA8B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D65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3F2A6B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F354C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5B2CF002" w14:textId="77777777" w:rsidTr="00DF33A4">
        <w:trPr>
          <w:trHeight w:val="471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962C5F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Total contact foot orthoses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310A1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DA69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CE79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C710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9F59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4A9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620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274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816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50"/>
          </w:tcPr>
          <w:p w14:paraId="58EB9E1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D50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0C7779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4452E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5FE8C16D" w14:textId="77777777" w:rsidTr="00DF33A4">
        <w:trPr>
          <w:trHeight w:val="418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006E3E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Silicone toe orthosis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2217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B472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6348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92AA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72BA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D3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79F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35B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17C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56F2D1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D37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16F73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16A5F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6A899928" w14:textId="77777777" w:rsidTr="00DF33A4">
        <w:trPr>
          <w:trHeight w:val="418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51593F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Toenail brace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9C03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0FC3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C7AC6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DEBF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363C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D8012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B19EB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22D95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F929B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C2FB8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F31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92D050"/>
          </w:tcPr>
          <w:p w14:paraId="77D1986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D0C7B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65C3A43E" w14:textId="77777777" w:rsidTr="00DF33A4">
        <w:trPr>
          <w:trHeight w:val="365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C574CA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Multi-disciplinary team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E3A6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282A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E4A9A8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171BC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1D9B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35D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B72569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75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C70932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372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9B1BF6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F17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9253A2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00B05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34B9A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</w:tr>
      <w:tr w:rsidR="00897E75" w:rsidRPr="005E53EE" w14:paraId="1DF62D11" w14:textId="77777777" w:rsidTr="00DF33A4">
        <w:trPr>
          <w:trHeight w:val="313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80D789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Nursing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D963A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1096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62D1D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916F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4121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29C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1FDD76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23DDDB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980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7F7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0451999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97D6FB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33E57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28774BC4" w14:textId="77777777" w:rsidTr="00DF33A4">
        <w:trPr>
          <w:trHeight w:val="365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2BB953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Physiotherapy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157F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80B5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7474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A5ECE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7EDED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36E3E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D1BE9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23890D4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5BD0457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07030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80B56D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0E69C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FC55E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7B610C3A" w14:textId="77777777" w:rsidTr="00DF33A4">
        <w:trPr>
          <w:trHeight w:val="260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A26C6F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Occupational therapy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683B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7CF7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E9C6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C2567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CA8B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596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F3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087E0F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A8C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42A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980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19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CE320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20B6F9E3" w14:textId="77777777" w:rsidTr="00DF33A4">
        <w:trPr>
          <w:trHeight w:val="260"/>
        </w:trPr>
        <w:tc>
          <w:tcPr>
            <w:tcW w:w="19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1F124B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Podiatry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D9F9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01D4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EFF5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64CF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3D84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3D043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D8A04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378AABC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EBAF4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5B112E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2F4AB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253032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AE09B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54056B79" w14:textId="77777777" w:rsidTr="00DF33A4">
        <w:trPr>
          <w:trHeight w:val="260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9D357C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Psychological 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99C7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4EAA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A1B8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DBE6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DC15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6F1D9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CF14C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455CF7D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9D2CB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1AC8CC4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68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52C12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C8AF7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0027D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63D2CCB4" w14:textId="77777777" w:rsidTr="00DF33A4">
        <w:trPr>
          <w:trHeight w:val="260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F8F146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Rheumatologist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CEEF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90A6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2F909E2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  <w:p w14:paraId="5A1039B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35C3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975033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69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90A3EE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791B4A6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7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270142C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111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66AC5F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38BAF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697ED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00B050"/>
          </w:tcPr>
          <w:p w14:paraId="3A346B6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00B05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09321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</w:tr>
      <w:tr w:rsidR="00897E75" w:rsidRPr="00FB3996" w14:paraId="42FD666E" w14:textId="77777777" w:rsidTr="00DF33A4">
        <w:trPr>
          <w:trHeight w:val="260"/>
        </w:trPr>
        <w:tc>
          <w:tcPr>
            <w:tcW w:w="19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04125F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Supervised program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19F7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8EEFE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6EED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5EAE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255B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2A405D7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024DCF5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7E17BF7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70189B3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7B08325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92D050"/>
          </w:tcPr>
          <w:p w14:paraId="047F78CA" w14:textId="77777777" w:rsidR="00897E75" w:rsidRPr="00D01BF5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183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</w:tcPr>
          <w:p w14:paraId="2949A0BF" w14:textId="77777777" w:rsidR="00897E75" w:rsidRPr="00D01BF5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A87E2E" w14:textId="77777777" w:rsidR="00897E75" w:rsidRPr="00D01BF5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E4F5AE3" w14:textId="77777777" w:rsidR="00897E75" w:rsidRDefault="00897E75" w:rsidP="00897E75">
      <w:pPr>
        <w:rPr>
          <w:rFonts w:ascii="Segoe UI Symbol" w:hAnsi="Segoe UI Symbol" w:cs="Segoe UI Symbol"/>
          <w:sz w:val="20"/>
          <w:szCs w:val="20"/>
        </w:rPr>
      </w:pPr>
    </w:p>
    <w:p w14:paraId="155E708A" w14:textId="77777777" w:rsidR="00897E75" w:rsidRDefault="00897E75" w:rsidP="00897E75">
      <w:pPr>
        <w:rPr>
          <w:sz w:val="20"/>
          <w:szCs w:val="20"/>
        </w:rPr>
      </w:pPr>
      <w:r w:rsidRPr="00817949">
        <w:rPr>
          <w:rFonts w:ascii="Segoe UI Symbol" w:hAnsi="Segoe UI Symbol" w:cs="Segoe UI Symbol"/>
          <w:sz w:val="20"/>
          <w:szCs w:val="20"/>
        </w:rPr>
        <w:t>✓✓</w:t>
      </w:r>
      <w:r w:rsidRPr="00817949">
        <w:rPr>
          <w:sz w:val="20"/>
          <w:szCs w:val="20"/>
        </w:rPr>
        <w:t xml:space="preserve">Should do; </w:t>
      </w:r>
      <w:r w:rsidRPr="00817949">
        <w:rPr>
          <w:rFonts w:ascii="Segoe UI Symbol" w:hAnsi="Segoe UI Symbol" w:cs="Segoe UI Symbol"/>
          <w:sz w:val="20"/>
          <w:szCs w:val="20"/>
        </w:rPr>
        <w:t>✓</w:t>
      </w:r>
      <w:r w:rsidRPr="00817949">
        <w:rPr>
          <w:sz w:val="20"/>
          <w:szCs w:val="20"/>
        </w:rPr>
        <w:t xml:space="preserve"> Could do; O Do not do</w:t>
      </w:r>
      <w:r>
        <w:rPr>
          <w:sz w:val="20"/>
          <w:szCs w:val="20"/>
        </w:rPr>
        <w:t>.</w:t>
      </w:r>
    </w:p>
    <w:p w14:paraId="631008D7" w14:textId="77777777" w:rsidR="00897E75" w:rsidRPr="00A77A1D" w:rsidRDefault="00897E75" w:rsidP="00897E75">
      <w:pPr>
        <w:rPr>
          <w:sz w:val="21"/>
          <w:szCs w:val="21"/>
        </w:rPr>
      </w:pPr>
      <w:r w:rsidRPr="001145A3">
        <w:rPr>
          <w:sz w:val="21"/>
          <w:szCs w:val="21"/>
        </w:rPr>
        <w:t xml:space="preserve">ACR – American College of Rheumatology; APLAR – Asia Pacific League of Associations for Rheumatology; BSR – Brazilian Society of Rheumatology; </w:t>
      </w:r>
      <w:r>
        <w:rPr>
          <w:sz w:val="21"/>
          <w:szCs w:val="21"/>
        </w:rPr>
        <w:t xml:space="preserve">CRA – Canadian Rheumatology Association; </w:t>
      </w:r>
      <w:r w:rsidRPr="001145A3">
        <w:rPr>
          <w:sz w:val="21"/>
          <w:szCs w:val="21"/>
        </w:rPr>
        <w:t xml:space="preserve">EULAR – The European League Against Rheumatism; Example; ISR – Italian Society of Rheumatology; MaHTAS – </w:t>
      </w:r>
      <w:r w:rsidRPr="001145A3">
        <w:rPr>
          <w:sz w:val="21"/>
          <w:szCs w:val="21"/>
          <w:lang w:val="en-GB"/>
        </w:rPr>
        <w:t>Malaysia Health Technology Assessment Section;</w:t>
      </w:r>
      <w:r w:rsidRPr="001145A3">
        <w:rPr>
          <w:sz w:val="21"/>
          <w:szCs w:val="21"/>
        </w:rPr>
        <w:t xml:space="preserve"> NICE – National Institute for Health and Care Excellence; SER – Spanish Rheumatology Society; TLAR – Turkish League Against Rheumatism.</w:t>
      </w:r>
    </w:p>
    <w:p w14:paraId="79300E79" w14:textId="77777777" w:rsidR="00897E75" w:rsidRDefault="00897E75" w:rsidP="00897E75">
      <w:pPr>
        <w:rPr>
          <w:b/>
          <w:bCs/>
        </w:rPr>
      </w:pPr>
    </w:p>
    <w:p w14:paraId="43A82727" w14:textId="77777777" w:rsidR="00897E75" w:rsidRDefault="00897E75" w:rsidP="00897E75">
      <w:pPr>
        <w:rPr>
          <w:b/>
          <w:bCs/>
        </w:rPr>
      </w:pPr>
    </w:p>
    <w:p w14:paraId="24F2CBED" w14:textId="77777777" w:rsidR="00897E75" w:rsidRDefault="00897E75" w:rsidP="00897E75">
      <w:pPr>
        <w:rPr>
          <w:b/>
          <w:bCs/>
        </w:rPr>
      </w:pPr>
    </w:p>
    <w:p w14:paraId="118604E3" w14:textId="77777777" w:rsidR="00897E75" w:rsidRDefault="00897E75" w:rsidP="00897E75">
      <w:pPr>
        <w:rPr>
          <w:b/>
          <w:bCs/>
        </w:rPr>
      </w:pPr>
    </w:p>
    <w:p w14:paraId="5D763E5F" w14:textId="77777777" w:rsidR="00897E75" w:rsidRDefault="00897E75" w:rsidP="00897E75">
      <w:pPr>
        <w:rPr>
          <w:b/>
          <w:bCs/>
        </w:rPr>
      </w:pPr>
    </w:p>
    <w:p w14:paraId="1C43AE69" w14:textId="77777777" w:rsidR="00897E75" w:rsidRDefault="00897E75" w:rsidP="00897E75">
      <w:pPr>
        <w:rPr>
          <w:b/>
          <w:bCs/>
        </w:rPr>
      </w:pPr>
      <w:r w:rsidRPr="00453734">
        <w:rPr>
          <w:b/>
          <w:bCs/>
        </w:rPr>
        <w:lastRenderedPageBreak/>
        <w:t xml:space="preserve">Table </w:t>
      </w:r>
      <w:r>
        <w:rPr>
          <w:b/>
          <w:bCs/>
        </w:rPr>
        <w:t xml:space="preserve">2. Pharmacological recommendations interventions </w:t>
      </w:r>
    </w:p>
    <w:p w14:paraId="6B86BB33" w14:textId="77777777" w:rsidR="00897E75" w:rsidRDefault="00897E75" w:rsidP="00897E75">
      <w:pPr>
        <w:rPr>
          <w:b/>
          <w:bCs/>
        </w:rPr>
      </w:pPr>
    </w:p>
    <w:tbl>
      <w:tblPr>
        <w:tblW w:w="2102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2127"/>
        <w:gridCol w:w="1417"/>
        <w:gridCol w:w="1134"/>
        <w:gridCol w:w="1134"/>
        <w:gridCol w:w="1559"/>
        <w:gridCol w:w="709"/>
        <w:gridCol w:w="1418"/>
        <w:gridCol w:w="567"/>
        <w:gridCol w:w="708"/>
        <w:gridCol w:w="993"/>
        <w:gridCol w:w="567"/>
        <w:gridCol w:w="1134"/>
        <w:gridCol w:w="4721"/>
      </w:tblGrid>
      <w:tr w:rsidR="00897E75" w:rsidRPr="005E53EE" w14:paraId="4D810BDF" w14:textId="77777777" w:rsidTr="00DF33A4">
        <w:trPr>
          <w:gridAfter w:val="1"/>
          <w:wAfter w:w="4721" w:type="dxa"/>
          <w:trHeight w:val="11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AC87130" w14:textId="77777777" w:rsidR="00897E75" w:rsidRDefault="00897E75" w:rsidP="00DF33A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6AB1A5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ACR (2021) [1]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D1FA9D8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APLAR [2]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2C39C8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BSR [3]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559F2AA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CRA [4]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6BF3FFE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EULAR (2023) [5]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206E41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ISR [6]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D6A1B8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MaHTAS [7]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AADFE1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NICE [8]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FF92A6C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Peter et al. [9]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4DD2CF3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Santos et al. [10]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14125D9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SER [11]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1F9C3DB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Tenten-Diepenmaat et al. [12]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7F99975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TLAR [13]</w:t>
            </w:r>
          </w:p>
        </w:tc>
      </w:tr>
      <w:tr w:rsidR="00897E75" w:rsidRPr="005E53EE" w14:paraId="3B755259" w14:textId="77777777" w:rsidTr="00DF33A4">
        <w:trPr>
          <w:gridAfter w:val="1"/>
          <w:wAfter w:w="4721" w:type="dxa"/>
          <w:trHeight w:val="5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AB15934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Pharmacological interventions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80F03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4A7E1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928A6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92DD7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05A29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FB48F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E8760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C34E8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6899D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65A240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3F747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2527B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323E7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</w:tr>
      <w:tr w:rsidR="00897E75" w:rsidRPr="005E53EE" w14:paraId="5C5EB14D" w14:textId="77777777" w:rsidTr="00DF33A4">
        <w:trPr>
          <w:gridAfter w:val="1"/>
          <w:wAfter w:w="4721" w:type="dxa"/>
          <w:trHeight w:val="559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hideMark/>
          </w:tcPr>
          <w:p w14:paraId="1EE4FCB9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Early initiation of DMARDs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BFF742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7D85B4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7F255B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C8DB2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hideMark/>
          </w:tcPr>
          <w:p w14:paraId="728CC28E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10BBCC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013E7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C69F19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D22E38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43CD4C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27A3DD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7C64B86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hideMark/>
          </w:tcPr>
          <w:p w14:paraId="2D4C1F6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</w:p>
        </w:tc>
      </w:tr>
      <w:tr w:rsidR="00897E75" w:rsidRPr="005E53EE" w14:paraId="10CE2115" w14:textId="77777777" w:rsidTr="00DF33A4">
        <w:trPr>
          <w:gridAfter w:val="1"/>
          <w:wAfter w:w="4721" w:type="dxa"/>
          <w:trHeight w:val="319"/>
        </w:trPr>
        <w:tc>
          <w:tcPr>
            <w:tcW w:w="16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7C4B7DB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Initial treatment with conventional synthetic disease modifying antirheumatic drugs (csDMARDs)</w:t>
            </w:r>
          </w:p>
        </w:tc>
      </w:tr>
      <w:tr w:rsidR="00897E75" w:rsidRPr="005E53EE" w14:paraId="7D2C6AF8" w14:textId="77777777" w:rsidTr="00DF33A4">
        <w:trPr>
          <w:gridAfter w:val="1"/>
          <w:wAfter w:w="4721" w:type="dxa"/>
          <w:trHeight w:val="118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4ED7D1E8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csDMARDS (first-line)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CA2B9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Initiation of a csDMARD without short-term GCs(&lt;3 months) OR</w:t>
            </w:r>
          </w:p>
          <w:p w14:paraId="3C1B6D32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t xml:space="preserve"> without longer-term (≥3 months) GCs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338F6C7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Monotherapy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3B5FDB1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Monotherapy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45D3E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1059EF3D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Monotherapy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653BB73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3EF0EB2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Monotherapy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3B7A5B7C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Monotherapy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48AD9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F88C4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47CE8A30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one or several (with GCs)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83C1C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4046F4DC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Mono-therapy</w:t>
            </w:r>
          </w:p>
        </w:tc>
      </w:tr>
      <w:tr w:rsidR="00897E75" w:rsidRPr="005E53EE" w14:paraId="148F69E0" w14:textId="77777777" w:rsidTr="00DF33A4">
        <w:trPr>
          <w:gridAfter w:val="1"/>
          <w:wAfter w:w="4721" w:type="dxa"/>
          <w:trHeight w:val="319"/>
        </w:trPr>
        <w:tc>
          <w:tcPr>
            <w:tcW w:w="16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14:paraId="2C109E23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Selection of csDMARDs</w:t>
            </w:r>
          </w:p>
        </w:tc>
      </w:tr>
      <w:tr w:rsidR="00897E75" w:rsidRPr="005E53EE" w14:paraId="76FB8B70" w14:textId="77777777" w:rsidTr="00DF33A4">
        <w:trPr>
          <w:gridAfter w:val="1"/>
          <w:wAfter w:w="4721" w:type="dxa"/>
          <w:trHeight w:val="98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CDD82F3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Methotrexate (MTX)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8F5968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and </w:t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MTX vs other pharmacological options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MTX oral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Switching to subcutaneous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MTX 15 mg </w:t>
            </w:r>
            <w:r w:rsidRPr="005E53EE">
              <w:rPr>
                <w:color w:val="000000"/>
                <w:sz w:val="20"/>
                <w:szCs w:val="20"/>
              </w:rPr>
              <w:lastRenderedPageBreak/>
              <w:t>per week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A split dose of oral methotrexate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409D2C6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lastRenderedPageBreak/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First line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68BD90C8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First line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8444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A10997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First line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69DCF247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First line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5C476B87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First line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3AF4FCCD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First line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30762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F1C50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F3DD72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First line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3751F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260CF40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First line</w:t>
            </w:r>
          </w:p>
        </w:tc>
      </w:tr>
      <w:tr w:rsidR="00897E75" w:rsidRPr="005E53EE" w14:paraId="7893967E" w14:textId="77777777" w:rsidTr="00DF33A4">
        <w:trPr>
          <w:gridAfter w:val="1"/>
          <w:wAfter w:w="4721" w:type="dxa"/>
          <w:trHeight w:val="210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B213995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Leflunomide (LEF), sulfasalazine (SSZ) and hydroxychloroquine (HCQ)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4AAC03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HCQ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SSZ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159C51C7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LEF, SSZ or HCQ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8F9EC5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MTX with LEF or HCQ and SSZ</w:t>
            </w:r>
            <w:r w:rsidRPr="005E53EE">
              <w:rPr>
                <w:color w:val="000000"/>
                <w:sz w:val="20"/>
                <w:szCs w:val="20"/>
              </w:rPr>
              <w:br/>
              <w:t>OR switching MTX for another csDMARD (LLF or SSZ) alone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C0C5D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8A307F3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LEF and SSZ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174F003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LEF and SSZ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86AF3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BA72D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LEF and SSZ</w:t>
            </w:r>
          </w:p>
          <w:p w14:paraId="616913FB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HCQ alternative if mild or palindromic disease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06B96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C2672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C7BABC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LEF + Biologic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A766B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81DC177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LEF SSZ</w:t>
            </w:r>
          </w:p>
        </w:tc>
      </w:tr>
      <w:tr w:rsidR="00897E75" w:rsidRPr="005E53EE" w14:paraId="1A834EC3" w14:textId="77777777" w:rsidTr="00DF33A4">
        <w:trPr>
          <w:gridAfter w:val="1"/>
          <w:wAfter w:w="4721" w:type="dxa"/>
          <w:trHeight w:val="22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1015CAE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csDMARDs (second-line)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D5142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D3326D7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Combination therapy MTX and other csDMARD or bDMARDs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Triple therapy with cDMARDs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2E660C7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Combination therapy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88BD8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9199EC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Combination therapy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56EE2DA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other csDMARDs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A8AA8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4E8615D7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Combination therapy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0A589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B36BB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FAC75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Combination csDMARDs or bDMARD</w:t>
            </w:r>
          </w:p>
          <w:p w14:paraId="1617B62F" w14:textId="77777777" w:rsidR="00897E75" w:rsidRPr="005E53EE" w:rsidRDefault="00897E75" w:rsidP="00DF33A4">
            <w:pPr>
              <w:shd w:val="clear" w:color="auto" w:fill="FF000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O Triple therapy initially</w:t>
            </w:r>
          </w:p>
          <w:p w14:paraId="26B4ECF6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Triple therapy if GCs are contraindicated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36293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651966A2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Combination therapy</w:t>
            </w:r>
          </w:p>
        </w:tc>
      </w:tr>
      <w:tr w:rsidR="00897E75" w:rsidRPr="005E53EE" w14:paraId="2914EC0D" w14:textId="77777777" w:rsidTr="00DF33A4">
        <w:trPr>
          <w:gridAfter w:val="1"/>
          <w:wAfter w:w="4721" w:type="dxa"/>
          <w:trHeight w:val="319"/>
        </w:trPr>
        <w:tc>
          <w:tcPr>
            <w:tcW w:w="16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9999"/>
            <w:noWrap/>
            <w:hideMark/>
          </w:tcPr>
          <w:p w14:paraId="3A71569F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Treatment if csDMARD fails</w:t>
            </w:r>
          </w:p>
        </w:tc>
      </w:tr>
      <w:tr w:rsidR="00897E75" w:rsidRPr="005E53EE" w14:paraId="3C55E5C5" w14:textId="77777777" w:rsidTr="00DF33A4">
        <w:trPr>
          <w:gridAfter w:val="1"/>
          <w:wAfter w:w="4721" w:type="dxa"/>
          <w:trHeight w:val="38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22B083D8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lastRenderedPageBreak/>
              <w:t>Biologic disease-modifying anti-rheumatic drug (bDMARD)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sz w:val="20"/>
                <w:szCs w:val="20"/>
              </w:rPr>
              <w:br/>
              <w:t>Targeted synthetic disease-modifying antirheumatic drug (tsDMARD)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68BEB62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Switch to bDMARD or tsDMARD different class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addition of these over triple therapy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E06D2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bDMARD (inadequate response or intolerance csDMARD)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Early consideration for active disease with poor prognostic factors</w:t>
            </w:r>
          </w:p>
          <w:p w14:paraId="6D38A9A3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bDMARDs + MTX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switch bDMARD at 6 months if failed to achieve treatment target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0BC17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bDMARD or tsDMARD + csDMARD (preferably bDMARD +MTX)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Failure of an initial treatment scheme with bDMARD, swap to another bDMARD</w:t>
            </w:r>
          </w:p>
          <w:p w14:paraId="2FCC8B29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t xml:space="preserve"> consider safety and cost of each bDMARD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35E56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D46FD27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 or tsDMARD + csDMARD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 or tsDMARD failure, swap to another bDMARD or tsDMARD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76AC14C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 or tsDMARD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 or tsDMARD failure, swap to another bDMARD or tsDMARD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64B76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 and tsDMARD</w:t>
            </w:r>
          </w:p>
          <w:p w14:paraId="4C09D950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bDMARD effective alternative to csDMARD</w:t>
            </w:r>
          </w:p>
          <w:p w14:paraId="30E2BE0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12F4C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029C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FE02F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82E96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 or tsDMARD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 + LEF</w:t>
            </w:r>
          </w:p>
          <w:p w14:paraId="041FFD3A" w14:textId="77777777" w:rsidR="00897E75" w:rsidRPr="005E53EE" w:rsidRDefault="00897E75" w:rsidP="00DF33A4">
            <w:pPr>
              <w:shd w:val="clear" w:color="auto" w:fill="FFFF00"/>
              <w:jc w:val="center"/>
              <w:rPr>
                <w:color w:val="000000"/>
                <w:sz w:val="20"/>
                <w:szCs w:val="20"/>
                <w:shd w:val="clear" w:color="auto" w:fill="FFFF00"/>
              </w:rPr>
            </w:pPr>
            <w:r w:rsidRPr="005E53EE">
              <w:rPr>
                <w:color w:val="000000"/>
                <w:sz w:val="20"/>
                <w:szCs w:val="20"/>
                <w:shd w:val="clear" w:color="auto" w:fill="FFFF00"/>
              </w:rPr>
              <w:t>? Specific biological agent</w:t>
            </w:r>
          </w:p>
          <w:p w14:paraId="5A423E2F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biologic has failed bDMARD or tsDMARD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8800B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0350035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 or tsDMARD + csDMARD 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bDMARD first line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if failure, swap to another bDMARD or tsDMARD</w:t>
            </w:r>
          </w:p>
        </w:tc>
      </w:tr>
      <w:tr w:rsidR="00897E75" w:rsidRPr="005E53EE" w14:paraId="7B2BC4F2" w14:textId="77777777" w:rsidTr="00DF33A4">
        <w:trPr>
          <w:gridAfter w:val="1"/>
          <w:wAfter w:w="4721" w:type="dxa"/>
          <w:trHeight w:val="5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465C7B6D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Janus kinase inhibitor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7DBA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13B2E526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Tofacitinib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510D94D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Tofacitinib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47C4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59F0D77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07877728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2FB77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A5FE70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EF26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6C3B8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74CF436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8E2C3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03CDD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</w:tr>
      <w:tr w:rsidR="00897E75" w:rsidRPr="005E53EE" w14:paraId="2A049CD3" w14:textId="77777777" w:rsidTr="00DF33A4">
        <w:trPr>
          <w:gridAfter w:val="1"/>
          <w:wAfter w:w="4721" w:type="dxa"/>
          <w:trHeight w:val="31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592F6FE0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TNF-inhibitor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3B6E0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EB6254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1627F7C6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936CE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7798486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281FD518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EBC7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18E74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2D4D5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B96F2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A71CB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C5536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2E2DB1A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</w:tr>
      <w:tr w:rsidR="00897E75" w:rsidRPr="005E53EE" w14:paraId="3B609DA7" w14:textId="77777777" w:rsidTr="00DF33A4">
        <w:trPr>
          <w:gridAfter w:val="1"/>
          <w:wAfter w:w="4721" w:type="dxa"/>
          <w:trHeight w:val="5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0E0116A2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non-TNF biologic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DFF5F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AB408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96C8D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6284D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4EBF7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630D1BF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716F9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8F712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B3240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38A62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00908FD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C0F51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45DD6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</w:tr>
      <w:tr w:rsidR="00897E75" w:rsidRPr="005E53EE" w14:paraId="20EE2D8A" w14:textId="77777777" w:rsidTr="00DF33A4">
        <w:trPr>
          <w:gridAfter w:val="1"/>
          <w:wAfter w:w="4721" w:type="dxa"/>
          <w:trHeight w:val="139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048CF161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Interleukin (IL)-6 inhibitors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4C452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C4C76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E406D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A95A6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799BEB7A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IL-6 inhibitors or tsDMARDs over other bDMARDs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58FEB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F1A18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8B79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86138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665C1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574A70B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3AB0C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1C55C188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IL-6 inhibitors or tsDMARDs over other bDMARDs</w:t>
            </w:r>
          </w:p>
        </w:tc>
      </w:tr>
      <w:tr w:rsidR="00897E75" w:rsidRPr="005E53EE" w14:paraId="2EE2DB9B" w14:textId="77777777" w:rsidTr="00DF33A4">
        <w:trPr>
          <w:gridAfter w:val="1"/>
          <w:wAfter w:w="4721" w:type="dxa"/>
          <w:trHeight w:val="41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6C55C446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Anakinra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5793A9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89955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F0AAD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95C8D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04E90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2ACC6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B0631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94C9B" w14:textId="77777777" w:rsidR="00897E75" w:rsidRPr="005E53EE" w:rsidRDefault="00897E75" w:rsidP="00DF33A4">
            <w:pPr>
              <w:shd w:val="clear" w:color="auto" w:fill="FF0000"/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O</w:t>
            </w:r>
          </w:p>
          <w:p w14:paraId="0D4CC91A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Controlled long term clinical study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BA869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8A64E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0AFDD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78D9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0037F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</w:tr>
      <w:tr w:rsidR="00897E75" w:rsidRPr="005E53EE" w14:paraId="008E7607" w14:textId="77777777" w:rsidTr="00DF33A4">
        <w:trPr>
          <w:gridAfter w:val="1"/>
          <w:wAfter w:w="4721" w:type="dxa"/>
          <w:trHeight w:val="319"/>
        </w:trPr>
        <w:tc>
          <w:tcPr>
            <w:tcW w:w="16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noWrap/>
            <w:vAlign w:val="center"/>
            <w:hideMark/>
          </w:tcPr>
          <w:p w14:paraId="500F9330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lastRenderedPageBreak/>
              <w:t>Treatment Targets</w:t>
            </w:r>
          </w:p>
        </w:tc>
      </w:tr>
      <w:tr w:rsidR="00897E75" w:rsidRPr="005E53EE" w14:paraId="64C75CD5" w14:textId="77777777" w:rsidTr="00DF33A4">
        <w:trPr>
          <w:gridAfter w:val="1"/>
          <w:wAfter w:w="4721" w:type="dxa"/>
          <w:trHeight w:val="419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745298FF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Treatment goal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C46028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Treat-to-target approach who have not been previously treated with bDMARDs or tsDMARDs</w:t>
            </w:r>
          </w:p>
          <w:p w14:paraId="4BA9A4BD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Treat-to-target approach who have had an inadequate response to bDMARDs or tsDMARDs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Low disease activity goal</w:t>
            </w:r>
          </w:p>
          <w:p w14:paraId="4621C81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1905131D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Remission or low disease activity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Quality of life and maintaining physical functioning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2BAF85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Remission or low disease activity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5A295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63CAEF8A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Remission or low disease activity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470EC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17D0E3C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Treat-to-target strategy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Remission or low disease activity within 6 months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8016A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Treat-to-target strategy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Remission or low disease activity</w:t>
            </w:r>
          </w:p>
          <w:p w14:paraId="137B35D3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Target remission for people with presence of anti-CCP antibodies or erosions on X-ray at baseline assessment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C8BDB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5A1E573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Maximising their overall quality and enjoyment of life, through optimized control of the impact of disease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44F77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95F73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067F82BE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Remission or low disease activity</w:t>
            </w:r>
          </w:p>
        </w:tc>
      </w:tr>
      <w:tr w:rsidR="00897E75" w:rsidRPr="005E53EE" w14:paraId="15152B7B" w14:textId="77777777" w:rsidTr="00DF33A4">
        <w:trPr>
          <w:gridAfter w:val="1"/>
          <w:wAfter w:w="4721" w:type="dxa"/>
          <w:trHeight w:val="319"/>
        </w:trPr>
        <w:tc>
          <w:tcPr>
            <w:tcW w:w="16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9999"/>
            <w:hideMark/>
          </w:tcPr>
          <w:p w14:paraId="4F413EDB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Monitoring</w:t>
            </w:r>
          </w:p>
        </w:tc>
      </w:tr>
      <w:tr w:rsidR="00897E75" w:rsidRPr="005E53EE" w14:paraId="151869C7" w14:textId="77777777" w:rsidTr="00DF33A4">
        <w:trPr>
          <w:gridAfter w:val="1"/>
          <w:wAfter w:w="4721" w:type="dxa"/>
          <w:trHeight w:val="55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6831D1F1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Monitoring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5A4FF69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Re-evaluate treatment decisions within 3 months based on efficacy and tolerability of the </w:t>
            </w:r>
            <w:r w:rsidRPr="005E53EE">
              <w:rPr>
                <w:color w:val="000000"/>
                <w:sz w:val="20"/>
                <w:szCs w:val="20"/>
              </w:rPr>
              <w:lastRenderedPageBreak/>
              <w:t>DMARD(s) chosen.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42293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lastRenderedPageBreak/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1-3 months (recently diagnosis or active disease)</w:t>
            </w:r>
          </w:p>
          <w:p w14:paraId="419F36D2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3-6 months (remission or low disease activity)</w:t>
            </w:r>
          </w:p>
          <w:p w14:paraId="1406F2D4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t xml:space="preserve"> A suitable and practical standardized measure of disease activity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00B050"/>
              </w:rPr>
              <w:lastRenderedPageBreak/>
              <w:t>✓✓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t xml:space="preserve"> Safety monitoring on bDMARD therapy</w:t>
            </w:r>
          </w:p>
          <w:p w14:paraId="699E6F0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  <w:shd w:val="clear" w:color="auto" w:fill="00B05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557D8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7FB8C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5FD9E9EC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1-3 months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FE830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B5108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06059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t xml:space="preserve"> Ongoing medication monitoring</w:t>
            </w:r>
          </w:p>
          <w:p w14:paraId="488CF1E6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Review appointment at 6 months after achieving treatment target</w:t>
            </w:r>
          </w:p>
          <w:p w14:paraId="6228EDE7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t xml:space="preserve"> Annual review</w:t>
            </w:r>
          </w:p>
          <w:p w14:paraId="573B9F97" w14:textId="77777777" w:rsidR="00897E75" w:rsidRPr="005E53EE" w:rsidRDefault="00897E75" w:rsidP="00DF33A4">
            <w:pPr>
              <w:shd w:val="clear" w:color="auto" w:fill="FF000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lastRenderedPageBreak/>
              <w:t>O Ultrasound routinely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65A8B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lastRenderedPageBreak/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62AC558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Validated instrument for monitoring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AA78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A1E25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33016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</w:tr>
      <w:tr w:rsidR="00897E75" w:rsidRPr="005E53EE" w14:paraId="35F05168" w14:textId="77777777" w:rsidTr="00DF33A4">
        <w:trPr>
          <w:gridAfter w:val="1"/>
          <w:wAfter w:w="4721" w:type="dxa"/>
          <w:trHeight w:val="319"/>
        </w:trPr>
        <w:tc>
          <w:tcPr>
            <w:tcW w:w="16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9999"/>
            <w:hideMark/>
          </w:tcPr>
          <w:p w14:paraId="649EAA18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Tapering</w:t>
            </w:r>
          </w:p>
        </w:tc>
      </w:tr>
      <w:tr w:rsidR="00897E75" w:rsidRPr="005E53EE" w14:paraId="11D72B12" w14:textId="77777777" w:rsidTr="00DF33A4">
        <w:trPr>
          <w:gridAfter w:val="1"/>
          <w:wAfter w:w="4721" w:type="dxa"/>
          <w:trHeight w:val="593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5F6FD1D4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Tapering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5FD1A40E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Continuing DMARDs at current dose rather than tapering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Dose reduction&gt;gradual discontinuation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Gradual discontinuation&gt; abrupt discontinuation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Gradual discontinuation of SSZ &gt;HCQ (if triple therapy)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Gradual discontinuation of MTX &gt; bDMARD or tsDMARD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F9876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In patients who have achieved remission, a reduction in treatment should be considered</w:t>
            </w:r>
          </w:p>
          <w:p w14:paraId="07D8A583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6 months remission - corticosteroids and NSAIDs tapered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color w:val="000000"/>
                <w:sz w:val="20"/>
                <w:szCs w:val="20"/>
                <w:shd w:val="clear" w:color="auto" w:fill="92D050"/>
              </w:rPr>
              <w:t xml:space="preserve"> 6 to 12 months after discontinuation of NSAIDs, corticosteroids and bDMARDs, gradual reduction in cDMARDs</w:t>
            </w:r>
          </w:p>
          <w:p w14:paraId="1D524060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777C55AC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Taper bDMARD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FAD87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In patients who have sustained low disease activity or remission for 6 months Tapering bsDMARDs and tsDMARDs</w:t>
            </w:r>
          </w:p>
          <w:p w14:paraId="40E11299" w14:textId="77777777" w:rsidR="00897E75" w:rsidRPr="005E53EE" w:rsidRDefault="00897E75" w:rsidP="00DF33A4">
            <w:pPr>
              <w:shd w:val="clear" w:color="auto" w:fill="FF0000"/>
              <w:jc w:val="center"/>
              <w:rPr>
                <w:color w:val="000000"/>
                <w:sz w:val="20"/>
                <w:szCs w:val="20"/>
                <w:shd w:val="clear" w:color="auto" w:fill="FF0000"/>
              </w:rPr>
            </w:pPr>
            <w:r w:rsidRPr="005E53EE">
              <w:rPr>
                <w:color w:val="000000"/>
                <w:sz w:val="20"/>
                <w:szCs w:val="20"/>
                <w:shd w:val="clear" w:color="auto" w:fill="FF0000"/>
              </w:rPr>
              <w:t>O If rapid access to care or re-establishing access to medications is challenging</w:t>
            </w:r>
          </w:p>
          <w:p w14:paraId="1593497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4E76BB9D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Taper GCs Then dose reduction of DMARDs (bDMARDs/tsDMARDs* and/or csDMARDs)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85E43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t xml:space="preserve"> Sustained remission reduce treatment</w:t>
            </w:r>
          </w:p>
          <w:p w14:paraId="2814FD38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bDMARDs or tsDMARDs tapering then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cDMARD tapering</w:t>
            </w:r>
          </w:p>
          <w:p w14:paraId="48430EC2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9F1E8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5FE22B6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Reducing drug doses or stopping drugs in a step-down strategy at 12 months w/o glucocorticoids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8956C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78F2C7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73068C04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6 months remission progressively taper biologic dose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6707C" w14:textId="77777777" w:rsidR="00897E75" w:rsidRPr="005E53EE" w:rsidRDefault="00897E75" w:rsidP="00DF33A4">
            <w:pPr>
              <w:jc w:val="center"/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0C8628C8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Tapering GC’s (if using csDMARDs)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Tapering bDMARDs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Tapering cDMARDs if persistent remission</w:t>
            </w:r>
          </w:p>
        </w:tc>
      </w:tr>
      <w:tr w:rsidR="00897E75" w:rsidRPr="005E53EE" w14:paraId="295F88CD" w14:textId="77777777" w:rsidTr="00DF33A4">
        <w:trPr>
          <w:gridAfter w:val="1"/>
          <w:wAfter w:w="4721" w:type="dxa"/>
          <w:trHeight w:val="339"/>
        </w:trPr>
        <w:tc>
          <w:tcPr>
            <w:tcW w:w="16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99999"/>
            <w:hideMark/>
          </w:tcPr>
          <w:p w14:paraId="069BFDAD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Adjunctive therapy</w:t>
            </w:r>
          </w:p>
        </w:tc>
      </w:tr>
      <w:tr w:rsidR="00897E75" w:rsidRPr="005E53EE" w14:paraId="4A185694" w14:textId="77777777" w:rsidTr="00DF33A4">
        <w:trPr>
          <w:gridAfter w:val="1"/>
          <w:wAfter w:w="4721" w:type="dxa"/>
          <w:trHeight w:val="379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510FE7BB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Non-steroidal anti-inflammatories (NSAIDs)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9C0CE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44A690CD" w14:textId="77777777" w:rsidR="00897E75" w:rsidRPr="005E53EE" w:rsidRDefault="00897E75" w:rsidP="00DF33A4">
            <w:pPr>
              <w:jc w:val="center"/>
              <w:rPr>
                <w:rFonts w:ascii="Segoe UI Symbol" w:hAnsi="Segoe UI Symbol" w:cs="Calibri"/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Calibri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Lowest dose, short-term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DECE0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53680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8A044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3953C1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2F4EE11D" w14:textId="77777777" w:rsidR="00897E75" w:rsidRPr="005E53EE" w:rsidRDefault="00897E75" w:rsidP="00DF33A4">
            <w:pPr>
              <w:jc w:val="center"/>
              <w:rPr>
                <w:rFonts w:ascii="Segoe UI Symbol" w:hAnsi="Segoe UI Symbol" w:cs="Calibri"/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Calibri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001EF2C0" w14:textId="77777777" w:rsidR="00897E75" w:rsidRPr="005E53EE" w:rsidRDefault="00897E75" w:rsidP="00DF33A4">
            <w:pPr>
              <w:jc w:val="center"/>
              <w:rPr>
                <w:rFonts w:ascii="Segoe UI Symbol" w:hAnsi="Segoe UI Symbol" w:cs="Calibri"/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Calibri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361BA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8FC55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550FFC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31ED8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33EAE" w14:textId="77777777" w:rsidR="00897E75" w:rsidRPr="005E53EE" w:rsidRDefault="00897E75" w:rsidP="00DF33A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897E75" w:rsidRPr="005E53EE" w14:paraId="4E139117" w14:textId="77777777" w:rsidTr="00DF33A4">
        <w:trPr>
          <w:trHeight w:val="31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3C8A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4CA0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95CD" w14:textId="77777777" w:rsidR="00897E75" w:rsidRPr="005E53EE" w:rsidRDefault="00897E75" w:rsidP="00DF33A4">
            <w:pPr>
              <w:rPr>
                <w:rFonts w:ascii="Segoe UI Symbol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C718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B3AA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79B1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5BBC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0C5F" w14:textId="77777777" w:rsidR="00897E75" w:rsidRPr="005E53EE" w:rsidRDefault="00897E75" w:rsidP="00DF33A4">
            <w:pPr>
              <w:rPr>
                <w:rFonts w:ascii="Segoe UI Symbol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6085" w14:textId="77777777" w:rsidR="00897E75" w:rsidRPr="005E53EE" w:rsidRDefault="00897E75" w:rsidP="00DF33A4">
            <w:pPr>
              <w:rPr>
                <w:rFonts w:ascii="Segoe UI Symbol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9726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9558F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3719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2A65B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B697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AE45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897E75" w:rsidRPr="005E53EE" w14:paraId="343F7C6D" w14:textId="77777777" w:rsidTr="00DF33A4">
        <w:trPr>
          <w:trHeight w:val="319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FB4A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24137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CB412" w14:textId="77777777" w:rsidR="00897E75" w:rsidRPr="005E53EE" w:rsidRDefault="00897E75" w:rsidP="00DF33A4">
            <w:pPr>
              <w:rPr>
                <w:rFonts w:ascii="Segoe UI Symbol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EF41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6CDB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B1AD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0274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F65A" w14:textId="77777777" w:rsidR="00897E75" w:rsidRPr="005E53EE" w:rsidRDefault="00897E75" w:rsidP="00DF33A4">
            <w:pPr>
              <w:rPr>
                <w:rFonts w:ascii="Segoe UI Symbol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CF36" w14:textId="77777777" w:rsidR="00897E75" w:rsidRPr="005E53EE" w:rsidRDefault="00897E75" w:rsidP="00DF33A4">
            <w:pPr>
              <w:rPr>
                <w:rFonts w:ascii="Segoe UI Symbol" w:hAnsi="Segoe UI Symbol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0F7A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D9264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BC5A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A11D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95E7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738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789AD8DC" w14:textId="77777777" w:rsidTr="00DF33A4">
        <w:trPr>
          <w:trHeight w:val="24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0295238A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lastRenderedPageBreak/>
              <w:t>Glucocorticoids (GCs)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2E81299E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Addition of or switching to DMARD &gt; continuation of GCs or over the use of intraarticular GCs alone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66CFE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Prednisolone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Lowest possible dose and tapered as rapidly as clinically feasible</w:t>
            </w:r>
          </w:p>
          <w:p w14:paraId="5930078A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Oral corticosteroids Active RA in combination with cDMARDs</w:t>
            </w:r>
          </w:p>
          <w:p w14:paraId="229E2CF9" w14:textId="77777777" w:rsidR="00897E75" w:rsidRPr="005E53EE" w:rsidRDefault="00897E75" w:rsidP="00DF33A4">
            <w:pPr>
              <w:shd w:val="clear" w:color="auto" w:fill="FF0000"/>
              <w:jc w:val="center"/>
              <w:rPr>
                <w:color w:val="000000"/>
                <w:sz w:val="20"/>
                <w:szCs w:val="20"/>
                <w:shd w:val="clear" w:color="auto" w:fill="FF0000"/>
              </w:rPr>
            </w:pPr>
            <w:r w:rsidRPr="005E53EE">
              <w:rPr>
                <w:color w:val="000000"/>
                <w:sz w:val="20"/>
                <w:szCs w:val="20"/>
                <w:shd w:val="clear" w:color="auto" w:fill="FF0000"/>
              </w:rPr>
              <w:t>O Oral corticosteroid monotherapy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9301F4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Short-term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Consider risk-benefit ratio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BCF70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49C1D8D3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Short-term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7E807" w14:textId="77777777" w:rsidR="00897E75" w:rsidRPr="005E53EE" w:rsidRDefault="00897E75" w:rsidP="00DF33A4">
            <w:pPr>
              <w:shd w:val="clear" w:color="auto" w:fill="92D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Short-term</w:t>
            </w:r>
          </w:p>
          <w:p w14:paraId="407D120F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t xml:space="preserve"> Intra-articular glucocorticoid injections</w:t>
            </w:r>
          </w:p>
          <w:p w14:paraId="192AA82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1481F727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Short-term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58F346DE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Short-term</w:t>
            </w:r>
            <w:r w:rsidRPr="005E53EE">
              <w:rPr>
                <w:color w:val="000000"/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  <w:r w:rsidRPr="005E53EE">
              <w:rPr>
                <w:color w:val="000000"/>
                <w:sz w:val="20"/>
                <w:szCs w:val="20"/>
              </w:rPr>
              <w:t xml:space="preserve"> Long-term if complications have been discussed and other treatment options have been offered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2993B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D131A" w14:textId="77777777" w:rsidR="00897E75" w:rsidRPr="005E53EE" w:rsidRDefault="00897E75" w:rsidP="00DF33A4">
            <w:pPr>
              <w:rPr>
                <w:color w:val="000000"/>
              </w:rPr>
            </w:pPr>
            <w:r w:rsidRPr="005E53EE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202756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Prednisolone (+ one or several csDMARDs)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535FE483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0CE5BF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Short-term use if csDMARD initiation or change</w:t>
            </w:r>
          </w:p>
        </w:tc>
        <w:tc>
          <w:tcPr>
            <w:tcW w:w="4721" w:type="dxa"/>
            <w:tcBorders>
              <w:left w:val="single" w:sz="4" w:space="0" w:color="auto"/>
            </w:tcBorders>
            <w:vAlign w:val="center"/>
            <w:hideMark/>
          </w:tcPr>
          <w:p w14:paraId="27AB7B0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0BB33819" w14:textId="77777777" w:rsidTr="00DF33A4">
        <w:trPr>
          <w:trHeight w:val="153"/>
        </w:trPr>
        <w:tc>
          <w:tcPr>
            <w:tcW w:w="1630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677E67A8" w14:textId="77777777" w:rsidR="00897E75" w:rsidRPr="005E53EE" w:rsidRDefault="00897E75" w:rsidP="00DF33A4">
            <w:pPr>
              <w:rPr>
                <w:rFonts w:ascii="Calibri" w:hAnsi="Calibri" w:cs="Calibri"/>
                <w:color w:val="000000"/>
              </w:rPr>
            </w:pPr>
            <w:r w:rsidRPr="005E53EE">
              <w:rPr>
                <w:sz w:val="20"/>
                <w:szCs w:val="20"/>
              </w:rPr>
              <w:t>Pre-treatment investigations</w:t>
            </w:r>
          </w:p>
        </w:tc>
        <w:tc>
          <w:tcPr>
            <w:tcW w:w="4721" w:type="dxa"/>
            <w:vAlign w:val="center"/>
            <w:hideMark/>
          </w:tcPr>
          <w:p w14:paraId="775B7C0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2AE73B44" w14:textId="77777777" w:rsidTr="00DF33A4">
        <w:trPr>
          <w:trHeight w:val="5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757BD93E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Pre-treatment investigations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4A0846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522C3CDF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80FE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5EE8C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D5975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DCD3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67E6D6F3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120EA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8756A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D5D7E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87986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ADFD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A5D53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1" w:type="dxa"/>
            <w:vAlign w:val="center"/>
            <w:hideMark/>
          </w:tcPr>
          <w:p w14:paraId="02DB1CA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14:paraId="009D46BF" w14:textId="77777777" w:rsidTr="00DF33A4">
        <w:trPr>
          <w:trHeight w:val="523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99"/>
            <w:hideMark/>
          </w:tcPr>
          <w:p w14:paraId="03D95835" w14:textId="77777777" w:rsidR="00897E75" w:rsidRPr="005E53EE" w:rsidRDefault="00897E75" w:rsidP="00DF33A4">
            <w:pPr>
              <w:rPr>
                <w:color w:val="000000"/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Vaccinations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98BB9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200F7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All vaccines ideally, especially live vaccines 4 weeks prior to bDMARD</w:t>
            </w:r>
          </w:p>
          <w:p w14:paraId="04BBC585" w14:textId="77777777" w:rsidR="00897E75" w:rsidRPr="005E53EE" w:rsidRDefault="00897E75" w:rsidP="00DF33A4">
            <w:pPr>
              <w:shd w:val="clear" w:color="auto" w:fill="FF0000"/>
              <w:jc w:val="center"/>
              <w:rPr>
                <w:color w:val="000000"/>
                <w:sz w:val="20"/>
                <w:szCs w:val="20"/>
                <w:shd w:val="clear" w:color="auto" w:fill="FF0000"/>
              </w:rPr>
            </w:pPr>
            <w:r w:rsidRPr="005E53EE">
              <w:rPr>
                <w:color w:val="000000"/>
                <w:sz w:val="20"/>
                <w:szCs w:val="20"/>
                <w:shd w:val="clear" w:color="auto" w:fill="FF0000"/>
              </w:rPr>
              <w:t>O Live vaccines whilst being treated with bDMARD</w:t>
            </w:r>
          </w:p>
          <w:p w14:paraId="3295453A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hideMark/>
          </w:tcPr>
          <w:p w14:paraId="238D879B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Update of record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80E5E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BE371" w14:textId="77777777" w:rsidR="00897E75" w:rsidRPr="005E53EE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16834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color w:val="000000"/>
                <w:sz w:val="20"/>
                <w:szCs w:val="20"/>
                <w:shd w:val="clear" w:color="auto" w:fill="00B050"/>
              </w:rPr>
              <w:t xml:space="preserve"> All vaccines ideally 4 weeks prior to starting tsDMARD or bDMARD therapy</w:t>
            </w:r>
            <w:r w:rsidRPr="005E53EE">
              <w:rPr>
                <w:color w:val="000000"/>
                <w:sz w:val="20"/>
                <w:szCs w:val="20"/>
              </w:rPr>
              <w:t xml:space="preserve"> </w:t>
            </w:r>
          </w:p>
          <w:p w14:paraId="660759FF" w14:textId="77777777" w:rsidR="00897E75" w:rsidRPr="005E53EE" w:rsidRDefault="00897E75" w:rsidP="00DF33A4">
            <w:pPr>
              <w:shd w:val="clear" w:color="auto" w:fill="00B050"/>
              <w:jc w:val="center"/>
              <w:rPr>
                <w:color w:val="000000"/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✓✓</w:t>
            </w:r>
            <w:r w:rsidRPr="005E53EE">
              <w:rPr>
                <w:color w:val="000000"/>
                <w:sz w:val="20"/>
                <w:szCs w:val="20"/>
              </w:rPr>
              <w:t xml:space="preserve"> Killed and recombinant vaccines before initating or during therapy with csDMARDs, tsDMARDs, bDMARDs</w:t>
            </w:r>
          </w:p>
          <w:p w14:paraId="431473F0" w14:textId="77777777" w:rsidR="00897E75" w:rsidRPr="00EA58ED" w:rsidRDefault="00897E75" w:rsidP="00DF33A4">
            <w:pPr>
              <w:shd w:val="clear" w:color="auto" w:fill="FF0000"/>
              <w:jc w:val="center"/>
              <w:rPr>
                <w:color w:val="000000"/>
                <w:sz w:val="20"/>
                <w:szCs w:val="20"/>
                <w:shd w:val="clear" w:color="auto" w:fill="FF0000"/>
              </w:rPr>
            </w:pPr>
            <w:r w:rsidRPr="005E53EE">
              <w:rPr>
                <w:color w:val="000000"/>
                <w:sz w:val="20"/>
                <w:szCs w:val="20"/>
                <w:shd w:val="clear" w:color="auto" w:fill="FF0000"/>
              </w:rPr>
              <w:t>O Live vaccines whilst being treated with bDMARD or tsDMARD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09209" w14:textId="77777777" w:rsidR="00897E75" w:rsidRPr="00EA58ED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EA58E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DF208F" w14:textId="77777777" w:rsidR="00897E75" w:rsidRPr="00EA58ED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EA58E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0FE1E" w14:textId="77777777" w:rsidR="00897E75" w:rsidRPr="00EA58ED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EA58E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51B284" w14:textId="77777777" w:rsidR="00897E75" w:rsidRPr="00EA58ED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 w:rsidRPr="00EA58E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A6843" w14:textId="77777777" w:rsidR="00897E75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ECB59" w14:textId="77777777" w:rsidR="00897E75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BFCA8" w14:textId="77777777" w:rsidR="00897E75" w:rsidRDefault="00897E75" w:rsidP="00DF33A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21" w:type="dxa"/>
            <w:tcBorders>
              <w:left w:val="single" w:sz="4" w:space="0" w:color="auto"/>
            </w:tcBorders>
            <w:vAlign w:val="center"/>
            <w:hideMark/>
          </w:tcPr>
          <w:p w14:paraId="2368A561" w14:textId="77777777" w:rsidR="00897E75" w:rsidRDefault="00897E75" w:rsidP="00DF33A4">
            <w:pPr>
              <w:rPr>
                <w:sz w:val="20"/>
                <w:szCs w:val="20"/>
              </w:rPr>
            </w:pPr>
          </w:p>
        </w:tc>
      </w:tr>
    </w:tbl>
    <w:p w14:paraId="2CAFABF5" w14:textId="77777777" w:rsidR="00897E75" w:rsidRDefault="00897E75" w:rsidP="00897E75">
      <w:pPr>
        <w:rPr>
          <w:b/>
          <w:bCs/>
        </w:rPr>
      </w:pPr>
    </w:p>
    <w:p w14:paraId="6A64B40A" w14:textId="77777777" w:rsidR="00897E75" w:rsidRPr="003A65F0" w:rsidRDefault="00897E75" w:rsidP="00897E75">
      <w:pPr>
        <w:rPr>
          <w:sz w:val="20"/>
          <w:szCs w:val="20"/>
        </w:rPr>
      </w:pPr>
      <w:r w:rsidRPr="00817949">
        <w:rPr>
          <w:rFonts w:ascii="Segoe UI Symbol" w:hAnsi="Segoe UI Symbol" w:cs="Segoe UI Symbol"/>
          <w:sz w:val="20"/>
          <w:szCs w:val="20"/>
        </w:rPr>
        <w:lastRenderedPageBreak/>
        <w:t>✓✓</w:t>
      </w:r>
      <w:r w:rsidRPr="00817949">
        <w:rPr>
          <w:sz w:val="20"/>
          <w:szCs w:val="20"/>
        </w:rPr>
        <w:t xml:space="preserve">Should do; </w:t>
      </w:r>
      <w:r w:rsidRPr="00817949">
        <w:rPr>
          <w:rFonts w:ascii="Segoe UI Symbol" w:hAnsi="Segoe UI Symbol" w:cs="Segoe UI Symbol"/>
          <w:sz w:val="20"/>
          <w:szCs w:val="20"/>
        </w:rPr>
        <w:t>✓</w:t>
      </w:r>
      <w:r w:rsidRPr="00817949">
        <w:rPr>
          <w:sz w:val="20"/>
          <w:szCs w:val="20"/>
        </w:rPr>
        <w:t xml:space="preserve"> Could do</w:t>
      </w:r>
      <w:r>
        <w:rPr>
          <w:sz w:val="20"/>
          <w:szCs w:val="20"/>
        </w:rPr>
        <w:t xml:space="preserve">; ? Uncertain; </w:t>
      </w:r>
      <w:r w:rsidRPr="0060678E">
        <w:rPr>
          <w:sz w:val="20"/>
          <w:szCs w:val="20"/>
        </w:rPr>
        <w:t>O</w:t>
      </w:r>
      <w:r>
        <w:rPr>
          <w:sz w:val="20"/>
          <w:szCs w:val="20"/>
        </w:rPr>
        <w:t xml:space="preserve"> Do not do; &gt; rather than. </w:t>
      </w:r>
    </w:p>
    <w:p w14:paraId="345BC767" w14:textId="77777777" w:rsidR="00897E75" w:rsidRPr="00642E96" w:rsidRDefault="00897E75" w:rsidP="00897E75">
      <w:pPr>
        <w:rPr>
          <w:sz w:val="20"/>
          <w:szCs w:val="20"/>
        </w:rPr>
      </w:pPr>
      <w:r w:rsidRPr="003A65F0">
        <w:rPr>
          <w:sz w:val="20"/>
          <w:szCs w:val="20"/>
        </w:rPr>
        <w:t xml:space="preserve">ACR – American College of Rheumatology; Anti-CCP – Anti-cyclic citrinullated peptide; APLAR – Asia Pacific League of Associations for Rheumatology; BDMARDs – biologic disease-modifying anti-rheumatic drug; BSR – Brazilian Society of Rheumatology; csDMARDs – conventional synthetic disease-modifying anti-rheumatic drug; DMARD – disease-modifying anti-rheumatic drug; EULAR – The European League Against Rheumatism; GCs – glucocorticoids; HCQ – hydroxychloroquine; IL – Interleukin (IL); ISR – Italian Society of Rheumatology; LEF – leflunomide;MaHTAS – </w:t>
      </w:r>
      <w:r w:rsidRPr="003A65F0">
        <w:rPr>
          <w:sz w:val="20"/>
          <w:szCs w:val="20"/>
          <w:lang w:val="en-GB"/>
        </w:rPr>
        <w:t>Malaysia Health Technology Assessment Section;</w:t>
      </w:r>
      <w:r w:rsidRPr="003A65F0">
        <w:rPr>
          <w:sz w:val="20"/>
          <w:szCs w:val="20"/>
        </w:rPr>
        <w:t xml:space="preserve"> MTX – m</w:t>
      </w:r>
      <w:r w:rsidRPr="003A65F0">
        <w:rPr>
          <w:color w:val="000000" w:themeColor="text1"/>
          <w:sz w:val="20"/>
          <w:szCs w:val="20"/>
        </w:rPr>
        <w:t>ethotrexate;</w:t>
      </w:r>
      <w:r w:rsidRPr="003A65F0">
        <w:rPr>
          <w:sz w:val="20"/>
          <w:szCs w:val="20"/>
        </w:rPr>
        <w:t xml:space="preserve"> NICE – National Institute for Health and Care Excellence; </w:t>
      </w:r>
      <w:r w:rsidRPr="003A65F0">
        <w:rPr>
          <w:color w:val="000000" w:themeColor="text1"/>
          <w:sz w:val="20"/>
          <w:szCs w:val="20"/>
        </w:rPr>
        <w:t xml:space="preserve">NSAIDs – </w:t>
      </w:r>
      <w:r w:rsidRPr="003A65F0">
        <w:rPr>
          <w:sz w:val="20"/>
          <w:szCs w:val="20"/>
        </w:rPr>
        <w:t>non-steroidal anti-inflammatories; SER – Spanish Rheumatology Society; SSZ – sulfasalazine; TLAR – Turkish League Against Rheumatism; tsDMARDs – targeted synthetic disease-modifying antirheumatic drugs.</w:t>
      </w:r>
    </w:p>
    <w:p w14:paraId="3FFD7B75" w14:textId="77777777" w:rsidR="00897E75" w:rsidRDefault="00897E75" w:rsidP="00897E75">
      <w:pPr>
        <w:rPr>
          <w:sz w:val="20"/>
          <w:szCs w:val="20"/>
        </w:rPr>
      </w:pPr>
    </w:p>
    <w:p w14:paraId="7A760474" w14:textId="77777777" w:rsidR="00897E75" w:rsidRDefault="00897E75" w:rsidP="00897E75">
      <w:pPr>
        <w:rPr>
          <w:sz w:val="20"/>
          <w:szCs w:val="20"/>
        </w:rPr>
      </w:pPr>
    </w:p>
    <w:p w14:paraId="1C95C4E3" w14:textId="77777777" w:rsidR="00897E75" w:rsidRDefault="00897E75" w:rsidP="00897E75">
      <w:pPr>
        <w:rPr>
          <w:sz w:val="20"/>
          <w:szCs w:val="20"/>
        </w:rPr>
      </w:pPr>
    </w:p>
    <w:p w14:paraId="38AEFDED" w14:textId="77777777" w:rsidR="00897E75" w:rsidRDefault="00897E75" w:rsidP="00897E75">
      <w:pPr>
        <w:rPr>
          <w:sz w:val="20"/>
          <w:szCs w:val="20"/>
        </w:rPr>
      </w:pPr>
    </w:p>
    <w:p w14:paraId="2C502F30" w14:textId="77777777" w:rsidR="00897E75" w:rsidRDefault="00897E75" w:rsidP="00897E75">
      <w:pPr>
        <w:rPr>
          <w:sz w:val="20"/>
          <w:szCs w:val="20"/>
        </w:rPr>
      </w:pPr>
    </w:p>
    <w:p w14:paraId="1B2EFFDC" w14:textId="77777777" w:rsidR="00897E75" w:rsidRDefault="00897E75" w:rsidP="00897E75">
      <w:pPr>
        <w:rPr>
          <w:sz w:val="20"/>
          <w:szCs w:val="20"/>
        </w:rPr>
      </w:pPr>
    </w:p>
    <w:p w14:paraId="751A4FF8" w14:textId="77777777" w:rsidR="00897E75" w:rsidRDefault="00897E75" w:rsidP="00897E75">
      <w:pPr>
        <w:rPr>
          <w:sz w:val="20"/>
          <w:szCs w:val="20"/>
        </w:rPr>
      </w:pPr>
    </w:p>
    <w:p w14:paraId="0D7ACE04" w14:textId="77777777" w:rsidR="00897E75" w:rsidRDefault="00897E75" w:rsidP="00897E75">
      <w:pPr>
        <w:rPr>
          <w:sz w:val="20"/>
          <w:szCs w:val="20"/>
        </w:rPr>
      </w:pPr>
    </w:p>
    <w:p w14:paraId="3B3E18BD" w14:textId="77777777" w:rsidR="00897E75" w:rsidRDefault="00897E75" w:rsidP="00897E75">
      <w:pPr>
        <w:rPr>
          <w:sz w:val="20"/>
          <w:szCs w:val="20"/>
        </w:rPr>
      </w:pPr>
    </w:p>
    <w:p w14:paraId="5847E7B8" w14:textId="77777777" w:rsidR="00897E75" w:rsidRDefault="00897E75" w:rsidP="00897E75">
      <w:pPr>
        <w:rPr>
          <w:sz w:val="20"/>
          <w:szCs w:val="20"/>
        </w:rPr>
      </w:pPr>
    </w:p>
    <w:p w14:paraId="59916E9C" w14:textId="77777777" w:rsidR="00897E75" w:rsidRDefault="00897E75" w:rsidP="00897E75">
      <w:pPr>
        <w:rPr>
          <w:sz w:val="20"/>
          <w:szCs w:val="20"/>
        </w:rPr>
      </w:pPr>
    </w:p>
    <w:p w14:paraId="3B4D3EAC" w14:textId="77777777" w:rsidR="00897E75" w:rsidRDefault="00897E75" w:rsidP="00897E75">
      <w:pPr>
        <w:rPr>
          <w:sz w:val="20"/>
          <w:szCs w:val="20"/>
        </w:rPr>
      </w:pPr>
    </w:p>
    <w:p w14:paraId="1D6A2AD2" w14:textId="77777777" w:rsidR="00897E75" w:rsidRDefault="00897E75" w:rsidP="00897E75">
      <w:pPr>
        <w:rPr>
          <w:sz w:val="20"/>
          <w:szCs w:val="20"/>
        </w:rPr>
      </w:pPr>
    </w:p>
    <w:p w14:paraId="0CF98811" w14:textId="77777777" w:rsidR="00897E75" w:rsidRDefault="00897E75" w:rsidP="00897E75">
      <w:pPr>
        <w:rPr>
          <w:sz w:val="20"/>
          <w:szCs w:val="20"/>
        </w:rPr>
      </w:pPr>
    </w:p>
    <w:p w14:paraId="5BE5BC7B" w14:textId="77777777" w:rsidR="00897E75" w:rsidRDefault="00897E75" w:rsidP="00897E75">
      <w:pPr>
        <w:rPr>
          <w:sz w:val="20"/>
          <w:szCs w:val="20"/>
        </w:rPr>
      </w:pPr>
    </w:p>
    <w:p w14:paraId="177C9F64" w14:textId="77777777" w:rsidR="00897E75" w:rsidRDefault="00897E75" w:rsidP="00897E75">
      <w:pPr>
        <w:rPr>
          <w:sz w:val="20"/>
          <w:szCs w:val="20"/>
        </w:rPr>
      </w:pPr>
    </w:p>
    <w:p w14:paraId="22FB779A" w14:textId="77777777" w:rsidR="00897E75" w:rsidRDefault="00897E75" w:rsidP="00897E75">
      <w:pPr>
        <w:rPr>
          <w:sz w:val="20"/>
          <w:szCs w:val="20"/>
        </w:rPr>
      </w:pPr>
    </w:p>
    <w:p w14:paraId="2428123C" w14:textId="77777777" w:rsidR="00897E75" w:rsidRDefault="00897E75" w:rsidP="00897E75">
      <w:pPr>
        <w:rPr>
          <w:sz w:val="20"/>
          <w:szCs w:val="20"/>
        </w:rPr>
      </w:pPr>
    </w:p>
    <w:p w14:paraId="30503F9F" w14:textId="77777777" w:rsidR="00897E75" w:rsidRDefault="00897E75" w:rsidP="00897E75">
      <w:pPr>
        <w:rPr>
          <w:sz w:val="20"/>
          <w:szCs w:val="20"/>
        </w:rPr>
      </w:pPr>
    </w:p>
    <w:p w14:paraId="11A5769B" w14:textId="77777777" w:rsidR="00897E75" w:rsidRDefault="00897E75" w:rsidP="00897E75">
      <w:pPr>
        <w:rPr>
          <w:sz w:val="20"/>
          <w:szCs w:val="20"/>
        </w:rPr>
      </w:pPr>
    </w:p>
    <w:p w14:paraId="13C3C27F" w14:textId="77777777" w:rsidR="00897E75" w:rsidRDefault="00897E75" w:rsidP="00897E75">
      <w:pPr>
        <w:rPr>
          <w:sz w:val="20"/>
          <w:szCs w:val="20"/>
        </w:rPr>
      </w:pPr>
    </w:p>
    <w:p w14:paraId="58093FBA" w14:textId="77777777" w:rsidR="00897E75" w:rsidRDefault="00897E75" w:rsidP="00897E75">
      <w:pPr>
        <w:rPr>
          <w:sz w:val="20"/>
          <w:szCs w:val="20"/>
        </w:rPr>
      </w:pPr>
    </w:p>
    <w:p w14:paraId="75DEA83F" w14:textId="77777777" w:rsidR="00897E75" w:rsidRDefault="00897E75" w:rsidP="00897E75">
      <w:pPr>
        <w:rPr>
          <w:sz w:val="20"/>
          <w:szCs w:val="20"/>
        </w:rPr>
      </w:pPr>
    </w:p>
    <w:p w14:paraId="79E96561" w14:textId="77777777" w:rsidR="00897E75" w:rsidRDefault="00897E75" w:rsidP="00897E75">
      <w:pPr>
        <w:rPr>
          <w:sz w:val="20"/>
          <w:szCs w:val="20"/>
        </w:rPr>
      </w:pPr>
    </w:p>
    <w:p w14:paraId="09E33B0B" w14:textId="77777777" w:rsidR="00897E75" w:rsidRDefault="00897E75" w:rsidP="00897E75">
      <w:pPr>
        <w:rPr>
          <w:sz w:val="20"/>
          <w:szCs w:val="20"/>
        </w:rPr>
      </w:pPr>
    </w:p>
    <w:p w14:paraId="6D5CD1C3" w14:textId="77777777" w:rsidR="00897E75" w:rsidRDefault="00897E75" w:rsidP="00897E75">
      <w:pPr>
        <w:rPr>
          <w:sz w:val="20"/>
          <w:szCs w:val="20"/>
        </w:rPr>
      </w:pPr>
    </w:p>
    <w:p w14:paraId="1CE80B98" w14:textId="77777777" w:rsidR="00897E75" w:rsidRDefault="00897E75" w:rsidP="00897E75">
      <w:pPr>
        <w:rPr>
          <w:sz w:val="20"/>
          <w:szCs w:val="20"/>
        </w:rPr>
      </w:pPr>
    </w:p>
    <w:p w14:paraId="0D119379" w14:textId="77777777" w:rsidR="00897E75" w:rsidRDefault="00897E75" w:rsidP="00897E75">
      <w:pPr>
        <w:rPr>
          <w:sz w:val="20"/>
          <w:szCs w:val="20"/>
        </w:rPr>
      </w:pPr>
    </w:p>
    <w:p w14:paraId="765346D8" w14:textId="77777777" w:rsidR="00897E75" w:rsidRDefault="00897E75" w:rsidP="00897E75">
      <w:pPr>
        <w:rPr>
          <w:sz w:val="20"/>
          <w:szCs w:val="20"/>
        </w:rPr>
      </w:pPr>
    </w:p>
    <w:p w14:paraId="73D1CE04" w14:textId="77777777" w:rsidR="00897E75" w:rsidRDefault="00897E75" w:rsidP="00897E75">
      <w:pPr>
        <w:rPr>
          <w:sz w:val="20"/>
          <w:szCs w:val="20"/>
        </w:rPr>
      </w:pPr>
    </w:p>
    <w:p w14:paraId="52D971E7" w14:textId="77777777" w:rsidR="00897E75" w:rsidRDefault="00897E75" w:rsidP="00897E75">
      <w:pPr>
        <w:rPr>
          <w:sz w:val="20"/>
          <w:szCs w:val="20"/>
        </w:rPr>
      </w:pPr>
    </w:p>
    <w:p w14:paraId="7AF38DE5" w14:textId="77777777" w:rsidR="00897E75" w:rsidRDefault="00897E75" w:rsidP="00897E75">
      <w:pPr>
        <w:rPr>
          <w:sz w:val="20"/>
          <w:szCs w:val="20"/>
        </w:rPr>
      </w:pPr>
    </w:p>
    <w:p w14:paraId="6C97885E" w14:textId="77777777" w:rsidR="00897E75" w:rsidRDefault="00897E75" w:rsidP="00897E75">
      <w:pPr>
        <w:rPr>
          <w:b/>
          <w:bCs/>
        </w:rPr>
      </w:pPr>
      <w:r>
        <w:rPr>
          <w:b/>
          <w:bCs/>
        </w:rPr>
        <w:lastRenderedPageBreak/>
        <w:t xml:space="preserve">Table 3. Special populations recommendations </w:t>
      </w:r>
    </w:p>
    <w:tbl>
      <w:tblPr>
        <w:tblW w:w="15593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993"/>
        <w:gridCol w:w="425"/>
        <w:gridCol w:w="425"/>
        <w:gridCol w:w="709"/>
        <w:gridCol w:w="2551"/>
        <w:gridCol w:w="851"/>
        <w:gridCol w:w="992"/>
        <w:gridCol w:w="567"/>
        <w:gridCol w:w="709"/>
        <w:gridCol w:w="1417"/>
        <w:gridCol w:w="1843"/>
        <w:gridCol w:w="992"/>
      </w:tblGrid>
      <w:tr w:rsidR="00897E75" w:rsidRPr="005E53EE" w14:paraId="165F283A" w14:textId="77777777" w:rsidTr="00DF33A4">
        <w:trPr>
          <w:trHeight w:val="390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0C5779DC" w14:textId="77777777" w:rsidR="00897E75" w:rsidRPr="0060678E" w:rsidRDefault="00897E75" w:rsidP="00DF33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12EA9C3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ACR (2021)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&lt;EndNote&gt;&lt;Cite&gt;&lt;Author&gt;Fraenkel&lt;/Author&gt;&lt;Year&gt;2021&lt;/Year&gt;&lt;RecNum&gt;13&lt;/RecNum&gt;&lt;DisplayText&gt;[48]&lt;/DisplayText&gt;&lt;record&gt;&lt;rec-number&gt;13&lt;/rec-number&gt;&lt;foreign-keys&gt;&lt;key app="EN" db-id="zf9rd0ada95vwuezxwn5ppd4sptwaaars9at" timestamp="1655341627"&gt;13&lt;/key&gt;&lt;/foreign-keys&gt;&lt;ref-type name="Journal Article"&gt;17&lt;/ref-type&gt;&lt;contributors&gt;&lt;authors&gt;&lt;author&gt;Fraenkel, L., Bathon, J. M., England, B. R., St. Clair, E. W., Arayssi, T., Carandang, K., ... &amp;amp; Akl, E. A. &lt;/author&gt;&lt;/authors&gt;&lt;/contributors&gt;&lt;titles&gt;&lt;title&gt;2021 American College of Rheumatology guideline for the treatment of rheumatoid arthritis.&lt;/title&gt;&lt;secondary-title&gt;Arthritis &amp;amp; Rheumatology&lt;/secondary-title&gt;&lt;/titles&gt;&lt;periodical&gt;&lt;full-title&gt;Arthritis &amp;amp; rheumatology&lt;/full-title&gt;&lt;/periodical&gt;&lt;pages&gt;1108-1123&lt;/pages&gt;&lt;volume&gt;73&lt;/volume&gt;&lt;number&gt;7&lt;/number&gt;&lt;dates&gt;&lt;year&gt;2021&lt;/year&gt;&lt;/dates&gt;&lt;urls&gt;&lt;/urls&gt;&lt;/record&gt;&lt;/Cite&gt;&lt;/EndNote&gt;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[48]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4D7741F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APLAR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&lt;EndNote&gt;&lt;Cite&gt;&lt;Author&gt;Lau&lt;/Author&gt;&lt;Year&gt;2015&lt;/Year&gt;&lt;RecNum&gt;3&lt;/RecNum&gt;&lt;DisplayText&gt;[45]&lt;/DisplayText&gt;&lt;record&gt;&lt;rec-number&gt;3&lt;/rec-number&gt;&lt;foreign-keys&gt;&lt;key app="EN" db-id="zf9rd0ada95vwuezxwn5ppd4sptwaaars9at" timestamp="1655340768"&gt;3&lt;/key&gt;&lt;/foreign-keys&gt;&lt;ref-type name="Journal Article"&gt;17&lt;/ref-type&gt;&lt;contributors&gt;&lt;authors&gt;&lt;author&gt;Lau, C. S., Chia, F., Harrison, A., Hsieh, T. Y., Jain, R., Jung, S. M., ... &amp;amp; Yeap, S. S. &lt;/author&gt;&lt;/authors&gt;&lt;/contributors&gt;&lt;titles&gt;&lt;title&gt;APLAR rheumatoid arthritis treatment recommendations.&lt;/title&gt;&lt;secondary-title&gt;International journal of rheumatic diseases&lt;/secondary-title&gt;&lt;/titles&gt;&lt;periodical&gt;&lt;full-title&gt;International journal of rheumatic diseases&lt;/full-title&gt;&lt;/periodical&gt;&lt;pages&gt;685-713&lt;/pages&gt;&lt;volume&gt;18&lt;/volume&gt;&lt;number&gt;7&lt;/number&gt;&lt;dates&gt;&lt;year&gt;2015&lt;/year&gt;&lt;/dates&gt;&lt;urls&gt;&lt;/urls&gt;&lt;/record&gt;&lt;/Cite&gt;&lt;/EndNote&gt;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[45]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732AA11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BSR</w:t>
            </w:r>
          </w:p>
          <w:p w14:paraId="4572823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&lt;EndNote&gt;&lt;Cite&gt;&lt;Author&gt;da Mota&lt;/Author&gt;&lt;Year&gt;2018&lt;/Year&gt;&lt;RecNum&gt;9&lt;/RecNum&gt;&lt;DisplayText&gt;[42]&lt;/DisplayText&gt;&lt;record&gt;&lt;rec-number&gt;9&lt;/rec-number&gt;&lt;foreign-keys&gt;&lt;key app="EN" db-id="zf9rd0ada95vwuezxwn5ppd4sptwaaars9at" timestamp="1655341430"&gt;9&lt;/key&gt;&lt;/foreign-keys&gt;&lt;ref-type name="Journal Article"&gt;17&lt;/ref-type&gt;&lt;contributors&gt;&lt;authors&gt;&lt;author&gt;da Mota, L. M. H., Kakehasi, A. M., Gomides, A. P. M., Duarte, A. L. B. P., Cruz, B. A., Brenol, C. V., ... &amp;amp; Giorgi, R. D. N. &lt;/author&gt;&lt;/authors&gt;&lt;/contributors&gt;&lt;titles&gt;&lt;title&gt;2017 recommendations of the Brazilian Society of Rheumatology for the pharmacological treatment of rheumatoid arthritis.&lt;/title&gt;&lt;secondary-title&gt;Advances in Rheumatology&lt;/secondary-title&gt;&lt;/titles&gt;&lt;periodical&gt;&lt;full-title&gt;Advances in Rheumatology&lt;/full-title&gt;&lt;/periodical&gt;&lt;pages&gt;1-17&lt;/pages&gt;&lt;volume&gt;58&lt;/volume&gt;&lt;number&gt;1&lt;/number&gt;&lt;dates&gt;&lt;year&gt;2018&lt;/year&gt;&lt;/dates&gt;&lt;urls&gt;&lt;/urls&gt;&lt;/record&gt;&lt;/Cite&gt;&lt;/EndNote&gt;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[42]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54FB2F4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CRA</w:t>
            </w:r>
          </w:p>
          <w:p w14:paraId="4352B8A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&lt;EndNote&gt;&lt;Cite&gt;&lt;Author&gt;Hazlewood&lt;/Author&gt;&lt;Year&gt;2022&lt;/Year&gt;&lt;RecNum&gt;61&lt;/RecNum&gt;&lt;DisplayText&gt;[51]&lt;/DisplayText&gt;&lt;record&gt;&lt;rec-number&gt;61&lt;/rec-number&gt;&lt;foreign-keys&gt;&lt;key app="EN" db-id="zf9rd0ada95vwuezxwn5ppd4sptwaaars9at" timestamp="1681176928"&gt;61&lt;/key&gt;&lt;/foreign-keys&gt;&lt;ref-type name="Journal Article"&gt;17&lt;/ref-type&gt;&lt;contributors&gt;&lt;authors&gt;&lt;author&gt;Hazlewood, G. S., Pardo, J. P., Barnabe, C., Schieir, O., Barber, C. E., Proulx, L., ... &amp;amp; Pope, J. E. &lt;/author&gt;&lt;/authors&gt;&lt;/contributors&gt;&lt;titles&gt;&lt;title&gt;Canadian Rheumatology Association living guidelines for the pharmacological management of rheumatoid arthritis with disease-modifying antirheumatic drugs. &lt;/title&gt;&lt;secondary-title&gt;The Journal of Rheumatology&lt;/secondary-title&gt;&lt;/titles&gt;&lt;periodical&gt;&lt;full-title&gt;The Journal of Rheumatology&lt;/full-title&gt;&lt;/periodical&gt;&lt;dates&gt;&lt;year&gt;2022&lt;/year&gt;&lt;/dates&gt;&lt;urls&gt;&lt;/urls&gt;&lt;/record&gt;&lt;/Cite&gt;&lt;/EndNote&gt;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[51]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5783898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EULAR </w:t>
            </w:r>
          </w:p>
          <w:p w14:paraId="6C40FC1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(2023)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&lt;EndNote&gt;&lt;Cite&gt;&lt;Author&gt;Smolen JS&lt;/Author&gt;&lt;Year&gt;2023&lt;/Year&gt;&lt;RecNum&gt;54&lt;/RecNum&gt;&lt;DisplayText&gt;[50]&lt;/DisplayText&gt;&lt;record&gt;&lt;rec-number&gt;54&lt;/rec-number&gt;&lt;foreign-keys&gt;&lt;key app="EN" db-id="zf9rd0ada95vwuezxwn5ppd4sptwaaars9at" timestamp="1676192970"&gt;54&lt;/key&gt;&lt;/foreign-keys&gt;&lt;ref-type name="Journal Article"&gt;17&lt;/ref-type&gt;&lt;contributors&gt;&lt;authors&gt;&lt;author&gt;Smolen JS, Landewé RBM, Bergstra SA, et al&lt;/author&gt;&lt;/authors&gt;&lt;/contributors&gt;&lt;titles&gt;&lt;title&gt;EULAR recommendations for the management of rheumatoid arthritis with synthetic and biological disease-modifying antirheumatic drugs: 2022 update&lt;/title&gt;&lt;/titles&gt;&lt;dates&gt;&lt;year&gt;2023&lt;/year&gt;&lt;/dates&gt;&lt;urls&gt;&lt;/urls&gt;&lt;/record&gt;&lt;/Cite&gt;&lt;/EndNote&gt;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[50]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14136FE6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ISR</w:t>
            </w:r>
          </w:p>
          <w:p w14:paraId="48B87BE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&lt;EndNote&gt;&lt;Cite&gt;&lt;Author&gt;Parisi&lt;/Author&gt;&lt;Year&gt;2019&lt;/Year&gt;&lt;RecNum&gt;1&lt;/RecNum&gt;&lt;DisplayText&gt;[4]&lt;/DisplayText&gt;&lt;record&gt;&lt;rec-number&gt;1&lt;/rec-number&gt;&lt;foreign-keys&gt;&lt;key app="EN" db-id="zf9rd0ada95vwuezxwn5ppd4sptwaaars9at" timestamp="1655258041"&gt;1&lt;/key&gt;&lt;/foreign-keys&gt;&lt;ref-type name="Journal Article"&gt;17&lt;/ref-type&gt;&lt;contributors&gt;&lt;authors&gt;&lt;author&gt;Parisi, S., Bortoluzzi, A., Sebastiani, G. D., Conti, F., Caporali, R., Ughi, N., ... &amp;amp; Scirè, C. A.&lt;/author&gt;&lt;/authors&gt;&lt;/contributors&gt;&lt;titles&gt;&lt;title&gt;The Italian Society for Rheumatology clinical practice guidelines for rheumatoid arthritis. &lt;/title&gt;&lt;secondary-title&gt;Reumatismo&lt;/secondary-title&gt;&lt;/titles&gt;&lt;periodical&gt;&lt;full-title&gt;Reumatismo&lt;/full-title&gt;&lt;/periodical&gt;&lt;pages&gt;22-49&lt;/pages&gt;&lt;volume&gt;71&lt;/volume&gt;&lt;num-vols&gt;S1&lt;/num-vols&gt;&lt;dates&gt;&lt;year&gt;2019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68774E3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MaHTAS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&lt;EndNote&gt;&lt;Cite&gt;&lt;Author&gt;(MaHTAS)&lt;/Author&gt;&lt;Year&gt;2019&lt;/Year&gt;&lt;RecNum&gt;5&lt;/RecNum&gt;&lt;DisplayText&gt;[43]&lt;/DisplayText&gt;&lt;record&gt;&lt;rec-number&gt;5&lt;/rec-number&gt;&lt;foreign-keys&gt;&lt;key app="EN" db-id="zf9rd0ada95vwuezxwn5ppd4sptwaaars9at" timestamp="1655341141"&gt;5&lt;/key&gt;&lt;/foreign-keys&gt;&lt;ref-type name="Journal Article"&gt;17&lt;/ref-type&gt;&lt;contributors&gt;&lt;authors&gt;&lt;author&gt;Malaysia Health Technology Assessment Section (MaHTAS)&lt;/author&gt;&lt;/authors&gt;&lt;/contributors&gt;&lt;auth-address&gt;Malaysia Health Technology Assessment Section (MaHTAS)&amp;#xD;Medical Development Division, Ministry of Health Malaysia&amp;#xD;Level 4, Block E1, Precinct 1&amp;#xD;Federal Government Administrative Centre&amp;#xD;62590 Putrajaya, Malaysia&lt;/auth-address&gt;&lt;titles&gt;&lt;title&gt;Clinical Practice Guidelines - Management of Rheumatoid Arthritis &lt;/title&gt;&lt;/titles&gt;&lt;dates&gt;&lt;year&gt;2019&lt;/year&gt;&lt;/dates&gt;&lt;urls&gt;&lt;related-urls&gt;&lt;url&gt;Available on the following websites:&lt;/url&gt;&lt;url&gt;http://www.moh.gov.my&lt;/url&gt;&lt;url&gt;http://www.acadmed.org.my&lt;/url&gt;&lt;url&gt;http://www.msr.my/&lt;/url&gt;&lt;/related-urls&gt;&lt;/urls&gt;&lt;/record&gt;&lt;/Cite&gt;&lt;/EndNote&gt;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[43]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43FFD43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NICE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&lt;EndNote&gt;&lt;Cite&gt;&lt;Author&gt;NICE&lt;/Author&gt;&lt;Year&gt;2018 &lt;/Year&gt;&lt;RecNum&gt;6&lt;/RecNum&gt;&lt;DisplayText&gt;[44]&lt;/DisplayText&gt;&lt;record&gt;&lt;rec-number&gt;6&lt;/rec-number&gt;&lt;foreign-keys&gt;&lt;key app="EN" db-id="zf9rd0ada95vwuezxwn5ppd4sptwaaars9at" timestamp="1655341224"&gt;6&lt;/key&gt;&lt;/foreign-keys&gt;&lt;ref-type name="Journal Article"&gt;17&lt;/ref-type&gt;&lt;contributors&gt;&lt;authors&gt;&lt;author&gt;National Insititute for Health and Care Excellence NICE &lt;/author&gt;&lt;/authors&gt;&lt;/contributors&gt;&lt;titles&gt;&lt;title&gt;Rheumatoid arthritis in adults: management &lt;/title&gt;&lt;/titles&gt;&lt;dates&gt;&lt;year&gt;2018 &lt;/year&gt;&lt;/dates&gt;&lt;urls&gt;&lt;related-urls&gt;&lt;url&gt;https://www.nice.org.uk/guidance/ng100&lt;/url&gt;&lt;/related-urls&gt;&lt;/urls&gt;&lt;/record&gt;&lt;/Cite&gt;&lt;/EndNote&gt;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[44]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487D2C1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Peter et al.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&lt;EndNote&gt;&lt;Cite&gt;&lt;Author&gt;Peter&lt;/Author&gt;&lt;Year&gt;2021&lt;/Year&gt;&lt;RecNum&gt;14&lt;/RecNum&gt;&lt;DisplayText&gt;[49]&lt;/DisplayText&gt;&lt;record&gt;&lt;rec-number&gt;14&lt;/rec-number&gt;&lt;foreign-keys&gt;&lt;key app="EN" db-id="zf9rd0ada95vwuezxwn5ppd4sptwaaars9at" timestamp="1655341673"&gt;14&lt;/key&gt;&lt;/foreign-keys&gt;&lt;ref-type name="Journal Article"&gt;17&lt;/ref-type&gt;&lt;contributors&gt;&lt;authors&gt;&lt;author&gt;Peter, W. F., Swart, N. M., Meerhoff, G. A., &amp;amp; Vliet Vlieland, T. P. &lt;/author&gt;&lt;/authors&gt;&lt;/contributors&gt;&lt;titles&gt;&lt;title&gt;Clinical practice guideline for physical therapist management of people with rheumatoid arthritis.&lt;/title&gt;&lt;secondary-title&gt;Physical therapy&lt;/secondary-title&gt;&lt;/titles&gt;&lt;periodical&gt;&lt;full-title&gt;Physical therapy&lt;/full-title&gt;&lt;/periodical&gt;&lt;volume&gt;101&lt;/volume&gt;&lt;number&gt;8&lt;/number&gt;&lt;dates&gt;&lt;year&gt;2021&lt;/year&gt;&lt;/dates&gt;&lt;urls&gt;&lt;/urls&gt;&lt;/record&gt;&lt;/Cite&gt;&lt;/EndNote&gt;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[49]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0510DCE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Santos et al.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&lt;EndNote&gt;&lt;Cite&gt;&lt;Author&gt;Santos&lt;/Author&gt;&lt;Year&gt;2021&lt;/Year&gt;&lt;RecNum&gt;12&lt;/RecNum&gt;&lt;DisplayText&gt;[47]&lt;/DisplayText&gt;&lt;record&gt;&lt;rec-number&gt;12&lt;/rec-number&gt;&lt;foreign-keys&gt;&lt;key app="EN" db-id="zf9rd0ada95vwuezxwn5ppd4sptwaaars9at" timestamp="1655341588"&gt;12&lt;/key&gt;&lt;/foreign-keys&gt;&lt;ref-type name="Journal Article"&gt;17&lt;/ref-type&gt;&lt;contributors&gt;&lt;authors&gt;&lt;author&gt;Santos, E. J., Duarte, C., Ferreira, R. J., Pinto, A. M., Moreira, A., Vaz, C., ... &amp;amp; da Silva, J. A&lt;/author&gt;&lt;/authors&gt;&lt;/contributors&gt;&lt;titles&gt;&lt;title&gt;Portuguese multidisciplinary recommendations for non-pharmacological and non-surgical interventions in patients with rheumatoid arthritis&lt;/title&gt;&lt;secondary-title&gt;Acta reumatologica portuguesa&lt;/secondary-title&gt;&lt;/titles&gt;&lt;periodical&gt;&lt;full-title&gt;Acta reumatologica portuguesa&lt;/full-title&gt;&lt;/periodical&gt;&lt;pages&gt;40-54&lt;/pages&gt;&lt;volume&gt;46&lt;/volume&gt;&lt;number&gt;1&lt;/number&gt;&lt;dates&gt;&lt;year&gt;2021&lt;/year&gt;&lt;/dates&gt;&lt;urls&gt;&lt;/urls&gt;&lt;/record&gt;&lt;/Cite&gt;&lt;/EndNote&gt;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[47]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72F7310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SER</w:t>
            </w:r>
          </w:p>
          <w:p w14:paraId="1020D2B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&lt;EndNote&gt;&lt;Cite&gt;&lt;Author&gt;(SER)&lt;/Author&gt;&lt;Year&gt;2019&lt;/Year&gt;&lt;RecNum&gt;11&lt;/RecNum&gt;&lt;DisplayText&gt;[41]&lt;/DisplayText&gt;&lt;record&gt;&lt;rec-number&gt;11&lt;/rec-number&gt;&lt;foreign-keys&gt;&lt;key app="EN" db-id="zf9rd0ada95vwuezxwn5ppd4sptwaaars9at" timestamp="1655341548"&gt;11&lt;/key&gt;&lt;/foreign-keys&gt;&lt;ref-type name="Journal Article"&gt;17&lt;/ref-type&gt;&lt;contributors&gt;&lt;authors&gt;&lt;author&gt;GUIPCAR working group Spanish Society of Rheumatology (SER)&lt;/author&gt;&lt;/authors&gt;&lt;/contributors&gt;&lt;titles&gt;&lt;title&gt;Clinical Practice Guidelines for the Management of Pa- tients with Rheumatoid Arthritis&lt;/title&gt;&lt;/titles&gt;&lt;dates&gt;&lt;year&gt;2019&lt;/year&gt;&lt;/dates&gt;&lt;urls&gt;&lt;/urls&gt;&lt;/record&gt;&lt;/Cite&gt;&lt;/EndNote&gt;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5640124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Tenten-Diepenmaat et al.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&lt;EndNote&gt;&lt;Cite&gt;&lt;Author&gt;Tenten-Diepenmaat&lt;/Author&gt;&lt;Year&gt;2018&lt;/Year&gt;&lt;RecNum&gt;4&lt;/RecNum&gt;&lt;DisplayText&gt;[46]&lt;/DisplayText&gt;&lt;record&gt;&lt;rec-number&gt;4&lt;/rec-number&gt;&lt;foreign-keys&gt;&lt;key app="EN" db-id="zf9rd0ada95vwuezxwn5ppd4sptwaaars9at" timestamp="1655340924"&gt;4&lt;/key&gt;&lt;/foreign-keys&gt;&lt;ref-type name="Journal Article"&gt;17&lt;/ref-type&gt;&lt;contributors&gt;&lt;authors&gt;&lt;author&gt;Tenten-Diepenmaat, M., van der Leeden, M., Vlieland, T. P. V., &amp;amp; Dekker, J. &lt;/author&gt;&lt;/authors&gt;&lt;/contributors&gt;&lt;titles&gt;&lt;title&gt;Multidisciplinary recommendations for diagnosis and treatment of foot problems in people with rheumatoid arthritis&lt;/title&gt;&lt;secondary-title&gt;Journal of foot and ankle research&lt;/secondary-title&gt;&lt;/titles&gt;&lt;periodical&gt;&lt;full-title&gt;Journal of foot and ankle research&lt;/full-title&gt;&lt;/periodical&gt;&lt;pages&gt;1-13&lt;/pages&gt;&lt;volume&gt;11&lt;/volume&gt;&lt;number&gt;1&lt;/number&gt;&lt;dates&gt;&lt;year&gt;2018&lt;/year&gt;&lt;/dates&gt;&lt;urls&gt;&lt;/urls&gt;&lt;/record&gt;&lt;/Cite&gt;&lt;/EndNote&gt;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[46]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730A84F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TLAR</w:t>
            </w:r>
          </w:p>
          <w:p w14:paraId="759CAB2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&lt;EndNote&gt;&lt;Cite&gt;&lt;Author&gt;Ataman&lt;/Author&gt;&lt;Year&gt;2018&lt;/Year&gt;&lt;RecNum&gt;10&lt;/RecNum&gt;&lt;DisplayText&gt;[8]&lt;/DisplayText&gt;&lt;record&gt;&lt;rec-number&gt;10&lt;/rec-number&gt;&lt;foreign-keys&gt;&lt;key app="EN" db-id="zf9rd0ada95vwuezxwn5ppd4sptwaaars9at" timestamp="1655341483"&gt;10&lt;/key&gt;&lt;/foreign-keys&gt;&lt;ref-type name="Journal Article"&gt;17&lt;/ref-type&gt;&lt;contributors&gt;&lt;authors&gt;&lt;author&gt;Ataman, Ş., Sunar, I., Yilmaz, G., Bodur, H., Nas, K., Ayhan, F. F., ... &amp;amp; Yurdakul, F. G. &lt;/author&gt;&lt;/authors&gt;&lt;/contributors&gt;&lt;titles&gt;&lt;title&gt;Turkish league against rheumatism (TLAR) recommendations for the pharmacological management of rheumatoid arthritis: 2018 update under guidance of current&amp;#xD;recommendations. &lt;/title&gt;&lt;secondary-title&gt;Archives of rheumatology&lt;/secondary-title&gt;&lt;/titles&gt;&lt;periodical&gt;&lt;full-title&gt;Archives of rheumatology&lt;/full-title&gt;&lt;/periodical&gt;&lt;volume&gt;33&lt;/volume&gt;&lt;number&gt;3&lt;/number&gt;&lt;dates&gt;&lt;year&gt;2018&lt;/year&gt;&lt;/dates&gt;&lt;urls&gt;&lt;/urls&gt;&lt;/record&gt;&lt;/Cite&gt;&lt;/EndNote&gt;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[8]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</w:tr>
      <w:tr w:rsidR="00897E75" w:rsidRPr="005E53EE" w14:paraId="14510E2C" w14:textId="77777777" w:rsidTr="00DF33A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96F4F0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Interstitial lung disease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7A0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F68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10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FA5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082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0A4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C88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7805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7529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2C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91AD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>Abatacept</w:t>
            </w:r>
          </w:p>
          <w:p w14:paraId="283E4D1A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Rituximab</w:t>
            </w:r>
          </w:p>
          <w:p w14:paraId="79209B36" w14:textId="77777777" w:rsidR="00897E75" w:rsidRPr="005E53EE" w:rsidRDefault="00897E75" w:rsidP="00DF33A4">
            <w:pPr>
              <w:shd w:val="clear" w:color="auto" w:fill="FFFF00"/>
              <w:jc w:val="center"/>
              <w:rPr>
                <w:sz w:val="20"/>
                <w:szCs w:val="20"/>
                <w:shd w:val="clear" w:color="auto" w:fill="FFFF00"/>
              </w:rPr>
            </w:pPr>
            <w:r w:rsidRPr="005E53EE">
              <w:rPr>
                <w:sz w:val="20"/>
                <w:szCs w:val="20"/>
                <w:shd w:val="clear" w:color="auto" w:fill="FFFF00"/>
              </w:rPr>
              <w:t>? Interstitial pneumonia medications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4C5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A5C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</w:p>
        </w:tc>
      </w:tr>
      <w:tr w:rsidR="00897E75" w:rsidRPr="005E53EE" w14:paraId="67602544" w14:textId="77777777" w:rsidTr="00DF33A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9969C8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Infections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7BCF3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Addition of csDMARDs </w:t>
            </w:r>
          </w:p>
          <w:p w14:paraId="04C81A6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Addition of/switching to DMARDs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0BA9196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O bDMARD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BBF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D9D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BDF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706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AD1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F44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3B54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908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30B712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Abatacept or Etanercept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6E9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726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72BA3C85" w14:textId="77777777" w:rsidTr="00DF33A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8291B8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Foot conditions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2EE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9BC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91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F12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656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E54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ABF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D32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600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ED8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A58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B13F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Fungal nail or mycosis - treatment prevent ulcers and secondary bacterial infections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Hyperkeratotic lesions - Normalisation of pressure and shearing forces</w:t>
            </w:r>
            <w:r w:rsidRPr="005E53EE">
              <w:rPr>
                <w:sz w:val="20"/>
                <w:szCs w:val="20"/>
                <w:shd w:val="clear" w:color="auto" w:fill="00B05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Excessive hyperkeratotic lesions treated</w:t>
            </w:r>
            <w:r w:rsidRPr="005E53EE">
              <w:rPr>
                <w:sz w:val="20"/>
                <w:szCs w:val="20"/>
                <w:shd w:val="clear" w:color="auto" w:fill="00B05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Pre-ulcer or infection is detected, consult the treating physician</w:t>
            </w:r>
          </w:p>
          <w:p w14:paraId="0A757929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Applying a provisional therapy (e.g., felt padding) in wound care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C10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729EE97A" w14:textId="77777777" w:rsidTr="00DF33A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B0AF80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Cancer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9C50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7627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89A4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2D6E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C331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0CFE6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csDMARDs rather than tsDMARDs or bDMARDs</w:t>
            </w:r>
          </w:p>
          <w:p w14:paraId="20E47C87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lastRenderedPageBreak/>
              <w:t>Previously treated Lymphoproliferative disorders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Rituximab</w:t>
            </w:r>
          </w:p>
          <w:p w14:paraId="788A15F0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Combination of csDMARDs or Abatacept or Tocilizumab</w:t>
            </w:r>
          </w:p>
          <w:p w14:paraId="6478A2A7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</w:p>
          <w:p w14:paraId="0304D449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Previously treated solid organ malignancy, same response as those without this condition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50B26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9415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AC4CE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EC01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EAFB9A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Biological therapy on a </w:t>
            </w:r>
            <w:r w:rsidRPr="005E53EE">
              <w:rPr>
                <w:sz w:val="20"/>
                <w:szCs w:val="20"/>
              </w:rPr>
              <w:lastRenderedPageBreak/>
              <w:t xml:space="preserve">case-by-case basis </w:t>
            </w:r>
          </w:p>
          <w:p w14:paraId="24C34253" w14:textId="77777777" w:rsidR="00897E75" w:rsidRPr="005E53EE" w:rsidRDefault="00897E75" w:rsidP="00DF33A4">
            <w:pPr>
              <w:shd w:val="clear" w:color="auto" w:fill="FFFF00"/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  <w:shd w:val="clear" w:color="auto" w:fill="FFFF00"/>
              </w:rPr>
              <w:t>? No evidence for a specific biologic</w:t>
            </w:r>
            <w:r w:rsidRPr="005E53EE">
              <w:rPr>
                <w:sz w:val="20"/>
                <w:szCs w:val="20"/>
              </w:rPr>
              <w:t xml:space="preserve"> </w:t>
            </w:r>
          </w:p>
          <w:p w14:paraId="71D43BE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0AC6E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DC94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0A90D663" w14:textId="77777777" w:rsidTr="00DF33A4">
        <w:trPr>
          <w:trHeight w:val="416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6FDADD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Tuberculosis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C3FB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F94BA0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Screening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Latent TB - prophylactic anti-TB therapy 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Active TB - adequate treatment before bDMARD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2608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D48A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7DD1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9B9AF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Screening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If positive TST or IGRA - further investigations </w:t>
            </w:r>
          </w:p>
          <w:p w14:paraId="13555D52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If negative, no further workup</w:t>
            </w:r>
          </w:p>
          <w:p w14:paraId="4CE9D83F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Annual testing for at risk areas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Active or latent TB, appropriate anti-tubercular treatment</w:t>
            </w:r>
            <w:r w:rsidRPr="005E53EE">
              <w:rPr>
                <w:sz w:val="20"/>
                <w:szCs w:val="20"/>
              </w:rPr>
              <w:t xml:space="preserve"> </w:t>
            </w:r>
          </w:p>
          <w:p w14:paraId="4219D156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Referral to specialist</w:t>
            </w:r>
            <w:r w:rsidRPr="005E53EE">
              <w:rPr>
                <w:sz w:val="20"/>
                <w:szCs w:val="20"/>
                <w:shd w:val="clear" w:color="auto" w:fill="92D05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tsDMARDs or bDMARDs following treatment and 1 month of latent TB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0B20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A6B9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3E70C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92B8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6CA1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44A4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2187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7DB6B11F" w14:textId="77777777" w:rsidTr="00DF33A4">
        <w:trPr>
          <w:trHeight w:val="15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7D48F0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Hepatitis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40922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Prophylactic antiviral therapy vs frequent monitoring</w:t>
            </w:r>
          </w:p>
          <w:p w14:paraId="0EBF5790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Frequent monitoring alone of viral load and</w:t>
            </w:r>
            <w:r w:rsidRPr="005E53EE">
              <w:rPr>
                <w:sz w:val="20"/>
                <w:szCs w:val="20"/>
                <w:shd w:val="clear" w:color="auto" w:fill="92D050"/>
              </w:rPr>
              <w:br/>
              <w:t>liver enzymes</w:t>
            </w:r>
          </w:p>
          <w:p w14:paraId="5D8EECA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A9FFC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Screened for TB, and HBV and HCV infections before initiating bDMARD therapy</w:t>
            </w:r>
          </w:p>
          <w:p w14:paraId="4B78590B" w14:textId="77777777" w:rsidR="00897E75" w:rsidRPr="005E53EE" w:rsidRDefault="00897E75" w:rsidP="00DF33A4">
            <w:pPr>
              <w:shd w:val="clear" w:color="auto" w:fill="FF0000"/>
              <w:jc w:val="center"/>
              <w:rPr>
                <w:sz w:val="20"/>
                <w:szCs w:val="20"/>
                <w:shd w:val="clear" w:color="auto" w:fill="FF0000"/>
              </w:rPr>
            </w:pPr>
            <w:r w:rsidRPr="005E53EE">
              <w:rPr>
                <w:sz w:val="20"/>
                <w:szCs w:val="20"/>
                <w:shd w:val="clear" w:color="auto" w:fill="FF0000"/>
              </w:rPr>
              <w:t xml:space="preserve">O Avoid bDMARDs if pt active </w:t>
            </w:r>
            <w:r w:rsidRPr="005E53EE">
              <w:rPr>
                <w:sz w:val="20"/>
                <w:szCs w:val="20"/>
                <w:shd w:val="clear" w:color="auto" w:fill="FF0000"/>
              </w:rPr>
              <w:lastRenderedPageBreak/>
              <w:t>or untreated chronic HBV infection and active HCV infection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CD44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9C85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6C1A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0625D" w14:textId="77777777" w:rsidR="00897E75" w:rsidRPr="005E53EE" w:rsidRDefault="00897E75" w:rsidP="00DF33A4">
            <w:pPr>
              <w:shd w:val="clear" w:color="auto" w:fill="00B050"/>
              <w:spacing w:after="24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Screened before bDMARD and tDMARD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AntiHBcAb positive or HBsAg negative should undergo further evaluations </w:t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HBsAg positive should undergo further evaluations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Active HBV treated entecavir or tenofovir 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Acute HB receive antiviral 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Inactive HBV carriers </w:t>
            </w:r>
            <w:r w:rsidRPr="005E53EE">
              <w:rPr>
                <w:sz w:val="20"/>
                <w:szCs w:val="20"/>
              </w:rPr>
              <w:lastRenderedPageBreak/>
              <w:t>prophylaxis 4 weeks before immunosuppressive</w:t>
            </w:r>
          </w:p>
          <w:p w14:paraId="11BA47D4" w14:textId="77777777" w:rsidR="00897E75" w:rsidRPr="005E53EE" w:rsidRDefault="00897E75" w:rsidP="00DF33A4">
            <w:pPr>
              <w:shd w:val="clear" w:color="auto" w:fill="00B050"/>
              <w:spacing w:after="24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</w:t>
            </w:r>
            <w:r w:rsidRPr="005E53EE">
              <w:rPr>
                <w:rFonts w:eastAsiaTheme="minorHAnsi"/>
                <w:sz w:val="20"/>
                <w:szCs w:val="20"/>
                <w:lang w:val="en-GB" w:eastAsia="en-US"/>
              </w:rPr>
              <w:t>Patients stopping prophylaxis should be closely monitored</w:t>
            </w:r>
            <w:r w:rsidRPr="005E53EE">
              <w:rPr>
                <w:rFonts w:eastAsiaTheme="minorHAnsi"/>
                <w:sz w:val="21"/>
                <w:szCs w:val="21"/>
                <w:lang w:val="en-GB"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6252C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E701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EDF28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CE66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0C55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F85C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B0D3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7EC698AE" w14:textId="77777777" w:rsidTr="00DF33A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B5F0AA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Pregnancy and lactation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E941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FE3B9C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only consider bDMARDs after assessing benefits/risks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BD4F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05423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962C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FA51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C545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B8AC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97EF1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C873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9B5F5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5155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31C10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165A3E62" w14:textId="77777777" w:rsidTr="00DF33A4">
        <w:trPr>
          <w:trHeight w:val="87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3DC506F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Nontuberculous mycobacterial lung</w:t>
            </w:r>
            <w:r w:rsidRPr="005E53EE">
              <w:rPr>
                <w:sz w:val="20"/>
                <w:szCs w:val="20"/>
              </w:rPr>
              <w:br/>
              <w:t>disease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068AA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Lowest possible dose of GCs (discontinuation if possible) 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Addition of csDMARDs 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Abatacept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27B8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9560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6845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0CF9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E955C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BD54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1206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C466E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BBBA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BB21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BF8D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5494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3AF2922C" w14:textId="77777777" w:rsidTr="00DF33A4">
        <w:trPr>
          <w:trHeight w:val="330"/>
        </w:trPr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17F18C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Pulmonary disease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49A475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MTX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F0F3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7D00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5747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1C8B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E7D1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07B1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F2EF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39C57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983A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C8F8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C3E6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222E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232D0087" w14:textId="77777777" w:rsidTr="00DF33A4">
        <w:trPr>
          <w:trHeight w:val="111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DE850B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Congestive heart failure (CHF)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1A2AF6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Non–TNF inhibitor bDMARD or tsDMARD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Switching to a non–TNF inhibitor bDMARD or tsDMARD vs TNF inhibitor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06D1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607A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0C56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D290B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064CBE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Use combinations of csDMARDs or non TNF biologic or tsDMARDs over TNFi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CHF worsening on current TNFi therapy: Use combination DMARDs on non-TNF or tsDMARDs over another TNFi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AD87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EECA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8941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5E14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50B0C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B3E9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C7DA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06094977" w14:textId="77777777" w:rsidTr="00DF33A4">
        <w:trPr>
          <w:trHeight w:val="699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7A0FDD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Cardiovascular disease (CVD)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F5C7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A15A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D366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DEB7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8FBF7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267F8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Risk assessment every 5 years</w:t>
            </w:r>
            <w:r w:rsidRPr="005E53EE">
              <w:rPr>
                <w:sz w:val="20"/>
                <w:szCs w:val="20"/>
                <w:shd w:val="clear" w:color="auto" w:fill="00B05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CVD risk prediction models should be adapted</w:t>
            </w:r>
          </w:p>
          <w:p w14:paraId="5E4B6018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lastRenderedPageBreak/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Screening for asymptomatic atherosclerotic plaques</w:t>
            </w:r>
            <w:r w:rsidRPr="005E53EE">
              <w:rPr>
                <w:sz w:val="20"/>
                <w:szCs w:val="20"/>
              </w:rPr>
              <w:t xml:space="preserve"> </w:t>
            </w:r>
          </w:p>
          <w:p w14:paraId="0CB2721B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Lifestyle recommendations </w:t>
            </w:r>
          </w:p>
          <w:p w14:paraId="34D0332D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Antihypertensives and statins</w:t>
            </w:r>
          </w:p>
          <w:p w14:paraId="3248161F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Use caution when prescribing NSAIDs</w:t>
            </w:r>
          </w:p>
          <w:p w14:paraId="128575C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36CC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16F0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BC493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274C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6413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11D0A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E442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0B040D23" w14:textId="77777777" w:rsidTr="00DF33A4">
        <w:trPr>
          <w:trHeight w:val="510"/>
        </w:trPr>
        <w:tc>
          <w:tcPr>
            <w:tcW w:w="1418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53FDAC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Non-alcoholic fatty liver disease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A37861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MTX vs alternative DMARDs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06C6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ADCB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3498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7A39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BCDD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59AB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D028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16905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B51C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C739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C3CD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D769D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3EF3DCB2" w14:textId="77777777" w:rsidTr="00DF33A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78BBC0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Persistent hypogammaglobulinemia without infection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C78BE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Rituximab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E8D2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B188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874F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D037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B129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F44E2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7AD5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7308F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C353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2430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1C79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2F59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6B7FFD1A" w14:textId="77777777" w:rsidTr="00DF33A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667FC4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Subcutaneous nodules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34059A4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MTX vs alternative DMARDS</w:t>
            </w:r>
            <w:r w:rsidRPr="005E53EE">
              <w:rPr>
                <w:sz w:val="20"/>
                <w:szCs w:val="2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Switching to a non-MTX DMARD over continuing MTX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BE7C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8B42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4591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39C8C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9425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D272E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EA7F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CF64D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5D1E7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7A80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70A9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DECB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60678E" w14:paraId="40E8477A" w14:textId="77777777" w:rsidTr="00DF33A4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1DC4C2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Lymphoproliferative disorder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121920" w14:textId="77777777" w:rsidR="00897E75" w:rsidRPr="0060678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  <w:r w:rsidRPr="005E53EE">
              <w:rPr>
                <w:sz w:val="20"/>
                <w:szCs w:val="20"/>
              </w:rPr>
              <w:t xml:space="preserve"> Rituximab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5AA183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F303F8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C11B8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08468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444FA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6F155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4FA6E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0842C6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686A9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8EE57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C5D7E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B751B" w14:textId="77777777" w:rsidR="00897E75" w:rsidRPr="0060678E" w:rsidRDefault="00897E75" w:rsidP="00DF33A4">
            <w:pPr>
              <w:rPr>
                <w:sz w:val="20"/>
                <w:szCs w:val="20"/>
              </w:rPr>
            </w:pPr>
          </w:p>
        </w:tc>
      </w:tr>
    </w:tbl>
    <w:p w14:paraId="2A0AF5C7" w14:textId="77777777" w:rsidR="00897E75" w:rsidRDefault="00897E75" w:rsidP="00897E75">
      <w:pPr>
        <w:rPr>
          <w:rFonts w:ascii="Segoe UI Symbol" w:hAnsi="Segoe UI Symbol" w:cs="Segoe UI Symbol"/>
          <w:sz w:val="20"/>
          <w:szCs w:val="20"/>
        </w:rPr>
      </w:pPr>
    </w:p>
    <w:p w14:paraId="0183A0B3" w14:textId="77777777" w:rsidR="00897E75" w:rsidRPr="002E11D9" w:rsidRDefault="00897E75" w:rsidP="00897E75">
      <w:pPr>
        <w:rPr>
          <w:sz w:val="20"/>
          <w:szCs w:val="20"/>
        </w:rPr>
      </w:pPr>
      <w:r w:rsidRPr="00817949">
        <w:rPr>
          <w:rFonts w:ascii="Segoe UI Symbol" w:hAnsi="Segoe UI Symbol" w:cs="Segoe UI Symbol"/>
          <w:sz w:val="20"/>
          <w:szCs w:val="20"/>
        </w:rPr>
        <w:t>✓✓</w:t>
      </w:r>
      <w:r w:rsidRPr="00817949">
        <w:rPr>
          <w:sz w:val="20"/>
          <w:szCs w:val="20"/>
        </w:rPr>
        <w:t xml:space="preserve">Should do; </w:t>
      </w:r>
      <w:r w:rsidRPr="00817949">
        <w:rPr>
          <w:rFonts w:ascii="Segoe UI Symbol" w:hAnsi="Segoe UI Symbol" w:cs="Segoe UI Symbol"/>
          <w:sz w:val="20"/>
          <w:szCs w:val="20"/>
        </w:rPr>
        <w:t>✓</w:t>
      </w:r>
      <w:r w:rsidRPr="00817949">
        <w:rPr>
          <w:sz w:val="20"/>
          <w:szCs w:val="20"/>
        </w:rPr>
        <w:t xml:space="preserve"> Could do</w:t>
      </w:r>
      <w:r>
        <w:rPr>
          <w:sz w:val="20"/>
          <w:szCs w:val="20"/>
        </w:rPr>
        <w:t xml:space="preserve">; ? Uncertain; </w:t>
      </w:r>
      <w:r w:rsidRPr="0060678E">
        <w:rPr>
          <w:sz w:val="20"/>
          <w:szCs w:val="20"/>
        </w:rPr>
        <w:t>O</w:t>
      </w:r>
      <w:r>
        <w:rPr>
          <w:sz w:val="20"/>
          <w:szCs w:val="20"/>
        </w:rPr>
        <w:t xml:space="preserve"> Do not do. </w:t>
      </w:r>
    </w:p>
    <w:p w14:paraId="31B8987E" w14:textId="77777777" w:rsidR="00897E75" w:rsidRDefault="00897E75" w:rsidP="00897E75">
      <w:pPr>
        <w:rPr>
          <w:sz w:val="20"/>
          <w:szCs w:val="20"/>
        </w:rPr>
      </w:pPr>
      <w:r w:rsidRPr="00C35181">
        <w:rPr>
          <w:sz w:val="20"/>
          <w:szCs w:val="20"/>
        </w:rPr>
        <w:t xml:space="preserve">ACR – American College of Rheumatology; APLAR – Asia Pacific League of Associations for Rheumatology; BDMARDs – biologic disease-modifying anti-rheumatic drug; BSR – Brazilian Society of Rheumatology; </w:t>
      </w:r>
      <w:r>
        <w:rPr>
          <w:sz w:val="21"/>
          <w:szCs w:val="21"/>
        </w:rPr>
        <w:t xml:space="preserve">CRA – Canadian Rheumatology Association; </w:t>
      </w:r>
      <w:r w:rsidRPr="00C35181">
        <w:rPr>
          <w:sz w:val="20"/>
          <w:szCs w:val="20"/>
        </w:rPr>
        <w:t xml:space="preserve">CVD – Cardiovascular disease; csDMARDs – conventional synthetic disease-modifying anti-rheumatic drug; DMARD – disease-modifying anti-rheumatic drug; EULAR – The European League Against Rheumatism; </w:t>
      </w:r>
      <w:r w:rsidRPr="00FA2136">
        <w:rPr>
          <w:sz w:val="20"/>
          <w:szCs w:val="20"/>
        </w:rPr>
        <w:t xml:space="preserve">HBV </w:t>
      </w:r>
      <w:r>
        <w:rPr>
          <w:sz w:val="20"/>
          <w:szCs w:val="20"/>
        </w:rPr>
        <w:t xml:space="preserve">– </w:t>
      </w:r>
      <w:r w:rsidRPr="00FA2136">
        <w:rPr>
          <w:sz w:val="20"/>
          <w:szCs w:val="20"/>
        </w:rPr>
        <w:t>Hepatitis B</w:t>
      </w:r>
      <w:r>
        <w:rPr>
          <w:sz w:val="20"/>
          <w:szCs w:val="20"/>
        </w:rPr>
        <w:t xml:space="preserve"> virus; </w:t>
      </w:r>
      <w:r w:rsidRPr="00FA2136">
        <w:rPr>
          <w:sz w:val="20"/>
          <w:szCs w:val="20"/>
        </w:rPr>
        <w:t>HCV</w:t>
      </w:r>
      <w:r>
        <w:rPr>
          <w:sz w:val="20"/>
          <w:szCs w:val="20"/>
        </w:rPr>
        <w:t xml:space="preserve"> – </w:t>
      </w:r>
      <w:r w:rsidRPr="00FA2136">
        <w:rPr>
          <w:sz w:val="20"/>
          <w:szCs w:val="20"/>
        </w:rPr>
        <w:t xml:space="preserve">Hepatitis </w:t>
      </w:r>
      <w:r w:rsidRPr="007F50EA">
        <w:rPr>
          <w:sz w:val="20"/>
          <w:szCs w:val="20"/>
        </w:rPr>
        <w:t>C virus</w:t>
      </w:r>
      <w:r>
        <w:rPr>
          <w:sz w:val="20"/>
          <w:szCs w:val="20"/>
        </w:rPr>
        <w:t xml:space="preserve">; </w:t>
      </w:r>
      <w:r w:rsidRPr="00FA2136">
        <w:rPr>
          <w:sz w:val="20"/>
          <w:szCs w:val="20"/>
        </w:rPr>
        <w:t>IGRA</w:t>
      </w:r>
      <w:r>
        <w:rPr>
          <w:sz w:val="20"/>
          <w:szCs w:val="20"/>
        </w:rPr>
        <w:t xml:space="preserve"> – </w:t>
      </w:r>
      <w:r w:rsidRPr="00FA2136">
        <w:rPr>
          <w:sz w:val="20"/>
          <w:szCs w:val="20"/>
        </w:rPr>
        <w:t>Interferon gamma release assay tes</w:t>
      </w:r>
      <w:r>
        <w:rPr>
          <w:sz w:val="20"/>
          <w:szCs w:val="20"/>
        </w:rPr>
        <w:t xml:space="preserve">t; </w:t>
      </w:r>
      <w:r w:rsidRPr="00C35181">
        <w:rPr>
          <w:sz w:val="20"/>
          <w:szCs w:val="20"/>
        </w:rPr>
        <w:t xml:space="preserve">ISR – Italian Society of Rheumatology; MaHTAS – </w:t>
      </w:r>
      <w:r w:rsidRPr="00C35181">
        <w:rPr>
          <w:sz w:val="20"/>
          <w:szCs w:val="20"/>
          <w:lang w:val="en-GB"/>
        </w:rPr>
        <w:t>Malaysia Health Technology Assessment Section;</w:t>
      </w:r>
      <w:r w:rsidRPr="00C35181">
        <w:rPr>
          <w:sz w:val="20"/>
          <w:szCs w:val="20"/>
        </w:rPr>
        <w:t xml:space="preserve"> NICE – National Institute for Health and Care Excellence; SER – Spanish Rheumatology Society; </w:t>
      </w:r>
      <w:r w:rsidRPr="00FA2136">
        <w:rPr>
          <w:sz w:val="20"/>
          <w:szCs w:val="20"/>
        </w:rPr>
        <w:t xml:space="preserve">TB </w:t>
      </w:r>
      <w:r>
        <w:rPr>
          <w:sz w:val="20"/>
          <w:szCs w:val="20"/>
        </w:rPr>
        <w:t>– T</w:t>
      </w:r>
      <w:r w:rsidRPr="00FA2136">
        <w:rPr>
          <w:sz w:val="20"/>
          <w:szCs w:val="20"/>
        </w:rPr>
        <w:t>uberculosis</w:t>
      </w:r>
      <w:r>
        <w:rPr>
          <w:sz w:val="20"/>
          <w:szCs w:val="20"/>
        </w:rPr>
        <w:t xml:space="preserve">; </w:t>
      </w:r>
      <w:r w:rsidRPr="00C35181">
        <w:rPr>
          <w:sz w:val="20"/>
          <w:szCs w:val="20"/>
        </w:rPr>
        <w:t xml:space="preserve">TLAR – Turkish League Against Rheumatism; </w:t>
      </w:r>
      <w:r w:rsidRPr="007F50EA">
        <w:rPr>
          <w:sz w:val="20"/>
          <w:szCs w:val="20"/>
        </w:rPr>
        <w:t>TNF – Tumor necrosis factor; TNF-i – Tumor necrosis factor inhibitor</w:t>
      </w:r>
      <w:r>
        <w:rPr>
          <w:sz w:val="20"/>
          <w:szCs w:val="20"/>
        </w:rPr>
        <w:t xml:space="preserve">; </w:t>
      </w:r>
      <w:r w:rsidRPr="00C35181">
        <w:rPr>
          <w:sz w:val="20"/>
          <w:szCs w:val="20"/>
        </w:rPr>
        <w:t>tsDMARDs – targeted synthetic disease-modifying antirheumatic drugs</w:t>
      </w:r>
      <w:r>
        <w:rPr>
          <w:sz w:val="20"/>
          <w:szCs w:val="20"/>
        </w:rPr>
        <w:t xml:space="preserve">; </w:t>
      </w:r>
      <w:r w:rsidRPr="00FA2136">
        <w:rPr>
          <w:sz w:val="20"/>
          <w:szCs w:val="20"/>
        </w:rPr>
        <w:t xml:space="preserve">TST </w:t>
      </w:r>
      <w:r>
        <w:rPr>
          <w:sz w:val="20"/>
          <w:szCs w:val="20"/>
        </w:rPr>
        <w:t xml:space="preserve">– </w:t>
      </w:r>
      <w:r w:rsidRPr="00FA2136">
        <w:rPr>
          <w:sz w:val="20"/>
          <w:szCs w:val="20"/>
        </w:rPr>
        <w:t>Tuberculin Skin Test</w:t>
      </w:r>
      <w:r>
        <w:rPr>
          <w:sz w:val="20"/>
          <w:szCs w:val="20"/>
        </w:rPr>
        <w:t xml:space="preserve">. </w:t>
      </w:r>
    </w:p>
    <w:p w14:paraId="11BEECB9" w14:textId="77777777" w:rsidR="00897E75" w:rsidRDefault="00897E75" w:rsidP="00897E75">
      <w:pPr>
        <w:rPr>
          <w:sz w:val="20"/>
          <w:szCs w:val="20"/>
        </w:rPr>
      </w:pPr>
    </w:p>
    <w:p w14:paraId="648C371B" w14:textId="77777777" w:rsidR="00897E75" w:rsidRDefault="00897E75" w:rsidP="00897E75">
      <w:pPr>
        <w:rPr>
          <w:sz w:val="20"/>
          <w:szCs w:val="20"/>
        </w:rPr>
      </w:pPr>
    </w:p>
    <w:p w14:paraId="722AEA59" w14:textId="77777777" w:rsidR="00897E75" w:rsidRDefault="00897E75" w:rsidP="00897E75">
      <w:pPr>
        <w:rPr>
          <w:b/>
          <w:bCs/>
        </w:rPr>
      </w:pPr>
    </w:p>
    <w:p w14:paraId="736D5143" w14:textId="77777777" w:rsidR="00897E75" w:rsidRDefault="00897E75" w:rsidP="00897E75">
      <w:pPr>
        <w:rPr>
          <w:b/>
          <w:bCs/>
        </w:rPr>
      </w:pPr>
      <w:r w:rsidRPr="00453734">
        <w:rPr>
          <w:b/>
          <w:bCs/>
        </w:rPr>
        <w:lastRenderedPageBreak/>
        <w:t xml:space="preserve">Table </w:t>
      </w:r>
      <w:r>
        <w:rPr>
          <w:b/>
          <w:bCs/>
        </w:rPr>
        <w:t>4</w:t>
      </w:r>
      <w:r w:rsidRPr="00453734">
        <w:rPr>
          <w:b/>
          <w:bCs/>
        </w:rPr>
        <w:t xml:space="preserve">. Surgical recommendations </w:t>
      </w:r>
    </w:p>
    <w:tbl>
      <w:tblPr>
        <w:tblW w:w="15735" w:type="dxa"/>
        <w:tblInd w:w="-7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709"/>
        <w:gridCol w:w="708"/>
        <w:gridCol w:w="567"/>
        <w:gridCol w:w="567"/>
        <w:gridCol w:w="709"/>
        <w:gridCol w:w="425"/>
        <w:gridCol w:w="851"/>
        <w:gridCol w:w="3544"/>
        <w:gridCol w:w="708"/>
        <w:gridCol w:w="709"/>
        <w:gridCol w:w="567"/>
        <w:gridCol w:w="3544"/>
        <w:gridCol w:w="567"/>
      </w:tblGrid>
      <w:tr w:rsidR="00897E75" w:rsidRPr="005E53EE" w14:paraId="70244098" w14:textId="77777777" w:rsidTr="00DF33A4">
        <w:trPr>
          <w:trHeight w:val="261"/>
        </w:trPr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3D37E23" w14:textId="77777777" w:rsidR="00897E75" w:rsidRPr="004B3BF5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39AD5D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ACR (2021)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&lt;EndNote&gt;&lt;Cite&gt;&lt;Author&gt;Fraenkel&lt;/Author&gt;&lt;Year&gt;2021&lt;/Year&gt;&lt;RecNum&gt;13&lt;/RecNum&gt;&lt;DisplayText&gt;[48]&lt;/DisplayText&gt;&lt;record&gt;&lt;rec-number&gt;13&lt;/rec-number&gt;&lt;foreign-keys&gt;&lt;key app="EN" db-id="zf9rd0ada95vwuezxwn5ppd4sptwaaars9at" timestamp="1655341627"&gt;13&lt;/key&gt;&lt;/foreign-keys&gt;&lt;ref-type name="Journal Article"&gt;17&lt;/ref-type&gt;&lt;contributors&gt;&lt;authors&gt;&lt;author&gt;Fraenkel, L., Bathon, J. M., England, B. R., St. Clair, E. W., Arayssi, T., Carandang, K., ... &amp;amp; Akl, E. A. &lt;/author&gt;&lt;/authors&gt;&lt;/contributors&gt;&lt;titles&gt;&lt;title&gt;2021 American College of Rheumatology guideline for the treatment of rheumatoid arthritis.&lt;/title&gt;&lt;secondary-title&gt;Arthritis &amp;amp; Rheumatology&lt;/secondary-title&gt;&lt;/titles&gt;&lt;periodical&gt;&lt;full-title&gt;Arthritis &amp;amp; rheumatology&lt;/full-title&gt;&lt;/periodical&gt;&lt;pages&gt;1108-1123&lt;/pages&gt;&lt;volume&gt;73&lt;/volume&gt;&lt;number&gt;7&lt;/number&gt;&lt;dates&gt;&lt;year&gt;2021&lt;/year&gt;&lt;/dates&gt;&lt;urls&gt;&lt;/urls&gt;&lt;/record&gt;&lt;/Cite&gt;&lt;/EndNote&gt;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[48]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60B4E43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APLAR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&lt;EndNote&gt;&lt;Cite&gt;&lt;Author&gt;Lau&lt;/Author&gt;&lt;Year&gt;2015&lt;/Year&gt;&lt;RecNum&gt;3&lt;/RecNum&gt;&lt;DisplayText&gt;[45]&lt;/DisplayText&gt;&lt;record&gt;&lt;rec-number&gt;3&lt;/rec-number&gt;&lt;foreign-keys&gt;&lt;key app="EN" db-id="zf9rd0ada95vwuezxwn5ppd4sptwaaars9at" timestamp="1655340768"&gt;3&lt;/key&gt;&lt;/foreign-keys&gt;&lt;ref-type name="Journal Article"&gt;17&lt;/ref-type&gt;&lt;contributors&gt;&lt;authors&gt;&lt;author&gt;Lau, C. S., Chia, F., Harrison, A., Hsieh, T. Y., Jain, R., Jung, S. M., ... &amp;amp; Yeap, S. S. &lt;/author&gt;&lt;/authors&gt;&lt;/contributors&gt;&lt;titles&gt;&lt;title&gt;APLAR rheumatoid arthritis treatment recommendations.&lt;/title&gt;&lt;secondary-title&gt;International journal of rheumatic diseases&lt;/secondary-title&gt;&lt;/titles&gt;&lt;periodical&gt;&lt;full-title&gt;International journal of rheumatic diseases&lt;/full-title&gt;&lt;/periodical&gt;&lt;pages&gt;685-713&lt;/pages&gt;&lt;volume&gt;18&lt;/volume&gt;&lt;number&gt;7&lt;/number&gt;&lt;dates&gt;&lt;year&gt;2015&lt;/year&gt;&lt;/dates&gt;&lt;urls&gt;&lt;/urls&gt;&lt;/record&gt;&lt;/Cite&gt;&lt;/EndNote&gt;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[45]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AC6250C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BSR</w:t>
            </w:r>
          </w:p>
          <w:p w14:paraId="1E882CD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&lt;EndNote&gt;&lt;Cite&gt;&lt;Author&gt;da Mota&lt;/Author&gt;&lt;Year&gt;2018&lt;/Year&gt;&lt;RecNum&gt;9&lt;/RecNum&gt;&lt;DisplayText&gt;[42]&lt;/DisplayText&gt;&lt;record&gt;&lt;rec-number&gt;9&lt;/rec-number&gt;&lt;foreign-keys&gt;&lt;key app="EN" db-id="zf9rd0ada95vwuezxwn5ppd4sptwaaars9at" timestamp="1655341430"&gt;9&lt;/key&gt;&lt;/foreign-keys&gt;&lt;ref-type name="Journal Article"&gt;17&lt;/ref-type&gt;&lt;contributors&gt;&lt;authors&gt;&lt;author&gt;da Mota, L. M. H., Kakehasi, A. M., Gomides, A. P. M., Duarte, A. L. B. P., Cruz, B. A., Brenol, C. V., ... &amp;amp; Giorgi, R. D. N. &lt;/author&gt;&lt;/authors&gt;&lt;/contributors&gt;&lt;titles&gt;&lt;title&gt;2017 recommendations of the Brazilian Society of Rheumatology for the pharmacological treatment of rheumatoid arthritis.&lt;/title&gt;&lt;secondary-title&gt;Advances in Rheumatology&lt;/secondary-title&gt;&lt;/titles&gt;&lt;periodical&gt;&lt;full-title&gt;Advances in Rheumatology&lt;/full-title&gt;&lt;/periodical&gt;&lt;pages&gt;1-17&lt;/pages&gt;&lt;volume&gt;58&lt;/volume&gt;&lt;number&gt;1&lt;/number&gt;&lt;dates&gt;&lt;year&gt;2018&lt;/year&gt;&lt;/dates&gt;&lt;urls&gt;&lt;/urls&gt;&lt;/record&gt;&lt;/Cite&gt;&lt;/EndNote&gt;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[42]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92D8BD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CRA</w:t>
            </w:r>
          </w:p>
          <w:p w14:paraId="1359F55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&lt;EndNote&gt;&lt;Cite&gt;&lt;Author&gt;Hazlewood&lt;/Author&gt;&lt;Year&gt;2022&lt;/Year&gt;&lt;RecNum&gt;61&lt;/RecNum&gt;&lt;DisplayText&gt;[51]&lt;/DisplayText&gt;&lt;record&gt;&lt;rec-number&gt;61&lt;/rec-number&gt;&lt;foreign-keys&gt;&lt;key app="EN" db-id="zf9rd0ada95vwuezxwn5ppd4sptwaaars9at" timestamp="1681176928"&gt;61&lt;/key&gt;&lt;/foreign-keys&gt;&lt;ref-type name="Journal Article"&gt;17&lt;/ref-type&gt;&lt;contributors&gt;&lt;authors&gt;&lt;author&gt;Hazlewood, G. S., Pardo, J. P., Barnabe, C., Schieir, O., Barber, C. E., Proulx, L., ... &amp;amp; Pope, J. E. &lt;/author&gt;&lt;/authors&gt;&lt;/contributors&gt;&lt;titles&gt;&lt;title&gt;Canadian Rheumatology Association living guidelines for the pharmacological management of rheumatoid arthritis with disease-modifying antirheumatic drugs. &lt;/title&gt;&lt;secondary-title&gt;The Journal of Rheumatology&lt;/secondary-title&gt;&lt;/titles&gt;&lt;periodical&gt;&lt;full-title&gt;The Journal of Rheumatology&lt;/full-title&gt;&lt;/periodical&gt;&lt;dates&gt;&lt;year&gt;2022&lt;/year&gt;&lt;/dates&gt;&lt;urls&gt;&lt;/urls&gt;&lt;/record&gt;&lt;/Cite&gt;&lt;/EndNote&gt;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[51]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D251231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EULAR </w:t>
            </w:r>
          </w:p>
          <w:p w14:paraId="1237E5FA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(2023)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&lt;EndNote&gt;&lt;Cite&gt;&lt;Author&gt;Smolen JS&lt;/Author&gt;&lt;Year&gt;2023&lt;/Year&gt;&lt;RecNum&gt;54&lt;/RecNum&gt;&lt;DisplayText&gt;[50]&lt;/DisplayText&gt;&lt;record&gt;&lt;rec-number&gt;54&lt;/rec-number&gt;&lt;foreign-keys&gt;&lt;key app="EN" db-id="zf9rd0ada95vwuezxwn5ppd4sptwaaars9at" timestamp="1676192970"&gt;54&lt;/key&gt;&lt;/foreign-keys&gt;&lt;ref-type name="Journal Article"&gt;17&lt;/ref-type&gt;&lt;contributors&gt;&lt;authors&gt;&lt;author&gt;Smolen JS, Landewé RBM, Bergstra SA, et al&lt;/author&gt;&lt;/authors&gt;&lt;/contributors&gt;&lt;titles&gt;&lt;title&gt;EULAR recommendations for the management of rheumatoid arthritis with synthetic and biological disease-modifying antirheumatic drugs: 2022 update&lt;/title&gt;&lt;/titles&gt;&lt;dates&gt;&lt;year&gt;2023&lt;/year&gt;&lt;/dates&gt;&lt;urls&gt;&lt;/urls&gt;&lt;/record&gt;&lt;/Cite&gt;&lt;/EndNote&gt;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[50]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57E6B2F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ISR</w:t>
            </w:r>
          </w:p>
          <w:p w14:paraId="5DE2A8D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&lt;EndNote&gt;&lt;Cite&gt;&lt;Author&gt;Parisi&lt;/Author&gt;&lt;Year&gt;2019&lt;/Year&gt;&lt;RecNum&gt;1&lt;/RecNum&gt;&lt;DisplayText&gt;[4]&lt;/DisplayText&gt;&lt;record&gt;&lt;rec-number&gt;1&lt;/rec-number&gt;&lt;foreign-keys&gt;&lt;key app="EN" db-id="zf9rd0ada95vwuezxwn5ppd4sptwaaars9at" timestamp="1655258041"&gt;1&lt;/key&gt;&lt;/foreign-keys&gt;&lt;ref-type name="Journal Article"&gt;17&lt;/ref-type&gt;&lt;contributors&gt;&lt;authors&gt;&lt;author&gt;Parisi, S., Bortoluzzi, A., Sebastiani, G. D., Conti, F., Caporali, R., Ughi, N., ... &amp;amp; Scirè, C. A.&lt;/author&gt;&lt;/authors&gt;&lt;/contributors&gt;&lt;titles&gt;&lt;title&gt;The Italian Society for Rheumatology clinical practice guidelines for rheumatoid arthritis. &lt;/title&gt;&lt;secondary-title&gt;Reumatismo&lt;/secondary-title&gt;&lt;/titles&gt;&lt;periodical&gt;&lt;full-title&gt;Reumatismo&lt;/full-title&gt;&lt;/periodical&gt;&lt;pages&gt;22-49&lt;/pages&gt;&lt;volume&gt;71&lt;/volume&gt;&lt;num-vols&gt;S1&lt;/num-vols&gt;&lt;dates&gt;&lt;year&gt;2019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B75085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MaHTAS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&lt;EndNote&gt;&lt;Cite&gt;&lt;Author&gt;(MaHTAS)&lt;/Author&gt;&lt;Year&gt;2019&lt;/Year&gt;&lt;RecNum&gt;5&lt;/RecNum&gt;&lt;DisplayText&gt;[43]&lt;/DisplayText&gt;&lt;record&gt;&lt;rec-number&gt;5&lt;/rec-number&gt;&lt;foreign-keys&gt;&lt;key app="EN" db-id="zf9rd0ada95vwuezxwn5ppd4sptwaaars9at" timestamp="1655341141"&gt;5&lt;/key&gt;&lt;/foreign-keys&gt;&lt;ref-type name="Journal Article"&gt;17&lt;/ref-type&gt;&lt;contributors&gt;&lt;authors&gt;&lt;author&gt;Malaysia Health Technology Assessment Section (MaHTAS)&lt;/author&gt;&lt;/authors&gt;&lt;/contributors&gt;&lt;auth-address&gt;Malaysia Health Technology Assessment Section (MaHTAS)&amp;#xD;Medical Development Division, Ministry of Health Malaysia&amp;#xD;Level 4, Block E1, Precinct 1&amp;#xD;Federal Government Administrative Centre&amp;#xD;62590 Putrajaya, Malaysia&lt;/auth-address&gt;&lt;titles&gt;&lt;title&gt;Clinical Practice Guidelines - Management of Rheumatoid Arthritis &lt;/title&gt;&lt;/titles&gt;&lt;dates&gt;&lt;year&gt;2019&lt;/year&gt;&lt;/dates&gt;&lt;urls&gt;&lt;related-urls&gt;&lt;url&gt;Available on the following websites:&lt;/url&gt;&lt;url&gt;http://www.moh.gov.my&lt;/url&gt;&lt;url&gt;http://www.acadmed.org.my&lt;/url&gt;&lt;url&gt;http://www.msr.my/&lt;/url&gt;&lt;/related-urls&gt;&lt;/urls&gt;&lt;/record&gt;&lt;/Cite&gt;&lt;/EndNote&gt;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[43]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3CECF1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NICE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&lt;EndNote&gt;&lt;Cite&gt;&lt;Author&gt;NICE&lt;/Author&gt;&lt;Year&gt;2018 &lt;/Year&gt;&lt;RecNum&gt;6&lt;/RecNum&gt;&lt;DisplayText&gt;[44]&lt;/DisplayText&gt;&lt;record&gt;&lt;rec-number&gt;6&lt;/rec-number&gt;&lt;foreign-keys&gt;&lt;key app="EN" db-id="zf9rd0ada95vwuezxwn5ppd4sptwaaars9at" timestamp="1655341224"&gt;6&lt;/key&gt;&lt;/foreign-keys&gt;&lt;ref-type name="Journal Article"&gt;17&lt;/ref-type&gt;&lt;contributors&gt;&lt;authors&gt;&lt;author&gt;National Insititute for Health and Care Excellence NICE &lt;/author&gt;&lt;/authors&gt;&lt;/contributors&gt;&lt;titles&gt;&lt;title&gt;Rheumatoid arthritis in adults: management &lt;/title&gt;&lt;/titles&gt;&lt;dates&gt;&lt;year&gt;2018 &lt;/year&gt;&lt;/dates&gt;&lt;urls&gt;&lt;related-urls&gt;&lt;url&gt;https://www.nice.org.uk/guidance/ng100&lt;/url&gt;&lt;/related-urls&gt;&lt;/urls&gt;&lt;/record&gt;&lt;/Cite&gt;&lt;/EndNote&gt;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[44]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FEAC5F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Peter et al.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&lt;EndNote&gt;&lt;Cite&gt;&lt;Author&gt;Peter&lt;/Author&gt;&lt;Year&gt;2021&lt;/Year&gt;&lt;RecNum&gt;14&lt;/RecNum&gt;&lt;DisplayText&gt;[49]&lt;/DisplayText&gt;&lt;record&gt;&lt;rec-number&gt;14&lt;/rec-number&gt;&lt;foreign-keys&gt;&lt;key app="EN" db-id="zf9rd0ada95vwuezxwn5ppd4sptwaaars9at" timestamp="1655341673"&gt;14&lt;/key&gt;&lt;/foreign-keys&gt;&lt;ref-type name="Journal Article"&gt;17&lt;/ref-type&gt;&lt;contributors&gt;&lt;authors&gt;&lt;author&gt;Peter, W. F., Swart, N. M., Meerhoff, G. A., &amp;amp; Vliet Vlieland, T. P. &lt;/author&gt;&lt;/authors&gt;&lt;/contributors&gt;&lt;titles&gt;&lt;title&gt;Clinical practice guideline for physical therapist management of people with rheumatoid arthritis.&lt;/title&gt;&lt;secondary-title&gt;Physical therapy&lt;/secondary-title&gt;&lt;/titles&gt;&lt;periodical&gt;&lt;full-title&gt;Physical therapy&lt;/full-title&gt;&lt;/periodical&gt;&lt;volume&gt;101&lt;/volume&gt;&lt;number&gt;8&lt;/number&gt;&lt;dates&gt;&lt;year&gt;2021&lt;/year&gt;&lt;/dates&gt;&lt;urls&gt;&lt;/urls&gt;&lt;/record&gt;&lt;/Cite&gt;&lt;/EndNote&gt;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[49]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CB9B288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Santos et al.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&lt;EndNote&gt;&lt;Cite&gt;&lt;Author&gt;Santos&lt;/Author&gt;&lt;Year&gt;2021&lt;/Year&gt;&lt;RecNum&gt;12&lt;/RecNum&gt;&lt;DisplayText&gt;[47]&lt;/DisplayText&gt;&lt;record&gt;&lt;rec-number&gt;12&lt;/rec-number&gt;&lt;foreign-keys&gt;&lt;key app="EN" db-id="zf9rd0ada95vwuezxwn5ppd4sptwaaars9at" timestamp="1655341588"&gt;12&lt;/key&gt;&lt;/foreign-keys&gt;&lt;ref-type name="Journal Article"&gt;17&lt;/ref-type&gt;&lt;contributors&gt;&lt;authors&gt;&lt;author&gt;Santos, E. J., Duarte, C., Ferreira, R. J., Pinto, A. M., Moreira, A., Vaz, C., ... &amp;amp; da Silva, J. A&lt;/author&gt;&lt;/authors&gt;&lt;/contributors&gt;&lt;titles&gt;&lt;title&gt;Portuguese multidisciplinary recommendations for non-pharmacological and non-surgical interventions in patients with rheumatoid arthritis&lt;/title&gt;&lt;secondary-title&gt;Acta reumatologica portuguesa&lt;/secondary-title&gt;&lt;/titles&gt;&lt;periodical&gt;&lt;full-title&gt;Acta reumatologica portuguesa&lt;/full-title&gt;&lt;/periodical&gt;&lt;pages&gt;40-54&lt;/pages&gt;&lt;volume&gt;46&lt;/volume&gt;&lt;number&gt;1&lt;/number&gt;&lt;dates&gt;&lt;year&gt;2021&lt;/year&gt;&lt;/dates&gt;&lt;urls&gt;&lt;/urls&gt;&lt;/record&gt;&lt;/Cite&gt;&lt;/EndNote&gt;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[47]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B02D36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SER</w:t>
            </w:r>
          </w:p>
          <w:p w14:paraId="4675525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&lt;EndNote&gt;&lt;Cite&gt;&lt;Author&gt;(SER)&lt;/Author&gt;&lt;Year&gt;2019&lt;/Year&gt;&lt;RecNum&gt;11&lt;/RecNum&gt;&lt;DisplayText&gt;[41]&lt;/DisplayText&gt;&lt;record&gt;&lt;rec-number&gt;11&lt;/rec-number&gt;&lt;foreign-keys&gt;&lt;key app="EN" db-id="zf9rd0ada95vwuezxwn5ppd4sptwaaars9at" timestamp="1655341548"&gt;11&lt;/key&gt;&lt;/foreign-keys&gt;&lt;ref-type name="Journal Article"&gt;17&lt;/ref-type&gt;&lt;contributors&gt;&lt;authors&gt;&lt;author&gt;GUIPCAR working group Spanish Society of Rheumatology (SER)&lt;/author&gt;&lt;/authors&gt;&lt;/contributors&gt;&lt;titles&gt;&lt;title&gt;Clinical Practice Guidelines for the Management of Pa- tients with Rheumatoid Arthritis&lt;/title&gt;&lt;/titles&gt;&lt;dates&gt;&lt;year&gt;2019&lt;/year&gt;&lt;/dates&gt;&lt;urls&gt;&lt;/urls&gt;&lt;/record&gt;&lt;/Cite&gt;&lt;/EndNote&gt;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[41]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DE49C5D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Tenten-Diepenmaat et al. </w:t>
            </w: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&lt;EndNote&gt;&lt;Cite&gt;&lt;Author&gt;Tenten-Diepenmaat&lt;/Author&gt;&lt;Year&gt;2018&lt;/Year&gt;&lt;RecNum&gt;4&lt;/RecNum&gt;&lt;DisplayText&gt;[46]&lt;/DisplayText&gt;&lt;record&gt;&lt;rec-number&gt;4&lt;/rec-number&gt;&lt;foreign-keys&gt;&lt;key app="EN" db-id="zf9rd0ada95vwuezxwn5ppd4sptwaaars9at" timestamp="1655340924"&gt;4&lt;/key&gt;&lt;/foreign-keys&gt;&lt;ref-type name="Journal Article"&gt;17&lt;/ref-type&gt;&lt;contributors&gt;&lt;authors&gt;&lt;author&gt;Tenten-Diepenmaat, M., van der Leeden, M., Vlieland, T. P. V., &amp;amp; Dekker, J. &lt;/author&gt;&lt;/authors&gt;&lt;/contributors&gt;&lt;titles&gt;&lt;title&gt;Multidisciplinary recommendations for diagnosis and treatment of foot problems in people with rheumatoid arthritis&lt;/title&gt;&lt;secondary-title&gt;Journal of foot and ankle research&lt;/secondary-title&gt;&lt;/titles&gt;&lt;periodical&gt;&lt;full-title&gt;Journal of foot and ankle research&lt;/full-title&gt;&lt;/periodical&gt;&lt;pages&gt;1-13&lt;/pages&gt;&lt;volume&gt;11&lt;/volume&gt;&lt;number&gt;1&lt;/number&gt;&lt;dates&gt;&lt;year&gt;2018&lt;/year&gt;&lt;/dates&gt;&lt;urls&gt;&lt;/urls&gt;&lt;/record&gt;&lt;/Cite&gt;&lt;/EndNote&gt;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[46]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64F5D92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TLAR</w:t>
            </w:r>
          </w:p>
          <w:p w14:paraId="0DC5965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ADDIN EN.CITE &lt;EndNote&gt;&lt;Cite&gt;&lt;Author&gt;Ataman&lt;/Author&gt;&lt;Year&gt;2018&lt;/Year&gt;&lt;RecNum&gt;10&lt;/RecNum&gt;&lt;DisplayText&gt;[8]&lt;/DisplayText&gt;&lt;record&gt;&lt;rec-number&gt;10&lt;/rec-number&gt;&lt;foreign-keys&gt;&lt;key app="EN" db-id="zf9rd0ada95vwuezxwn5ppd4sptwaaars9at" timestamp="1655341483"&gt;10&lt;/key&gt;&lt;/foreign-keys&gt;&lt;ref-type name="Journal Article"&gt;17&lt;/ref-type&gt;&lt;contributors&gt;&lt;authors&gt;&lt;author&gt;Ataman, Ş., Sunar, I., Yilmaz, G., Bodur, H., Nas, K., Ayhan, F. F., ... &amp;amp; Yurdakul, F. G. &lt;/author&gt;&lt;/authors&gt;&lt;/contributors&gt;&lt;titles&gt;&lt;title&gt;Turkish league against rheumatism (TLAR) recommendations for the pharmacological management of rheumatoid arthritis: 2018 update under guidance of current&amp;#xD;recommendations. &lt;/title&gt;&lt;secondary-title&gt;Archives of rheumatology&lt;/secondary-title&gt;&lt;/titles&gt;&lt;periodical&gt;&lt;full-title&gt;Archives of rheumatology&lt;/full-title&gt;&lt;/periodical&gt;&lt;volume&gt;33&lt;/volume&gt;&lt;number&gt;3&lt;/number&gt;&lt;dates&gt;&lt;year&gt;2018&lt;/year&gt;&lt;/dates&gt;&lt;urls&gt;&lt;/urls&gt;&lt;/record&gt;&lt;/Cite&gt;&lt;/EndNote&gt;</w:instrText>
            </w:r>
            <w:r w:rsidRPr="005E53EE"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[8]</w:t>
            </w:r>
            <w:r w:rsidRPr="005E53EE">
              <w:rPr>
                <w:sz w:val="20"/>
                <w:szCs w:val="20"/>
              </w:rPr>
              <w:fldChar w:fldCharType="end"/>
            </w:r>
          </w:p>
        </w:tc>
      </w:tr>
      <w:tr w:rsidR="00897E75" w:rsidRPr="005E53EE" w14:paraId="094EFAC9" w14:textId="77777777" w:rsidTr="00DF33A4">
        <w:trPr>
          <w:trHeight w:val="1345"/>
        </w:trPr>
        <w:tc>
          <w:tcPr>
            <w:tcW w:w="1560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CEF6A3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Refer for surgical opinion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8A8F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D6550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88FD2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5AF6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7705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6CA21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938EA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4298F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Suspected persistent synovitis of undetermined cause, negative anti-cyclic citrullinated peptide antibodies or rheumatoid factor, the small joints of the hands or feet are affected, &gt; more than one joint is affected, there has been a delay of 3 months or longer between onset of symptoms and seeking medical advice</w:t>
            </w:r>
            <w:r w:rsidRPr="005E53EE">
              <w:rPr>
                <w:sz w:val="20"/>
                <w:szCs w:val="20"/>
                <w:shd w:val="clear" w:color="auto" w:fill="00B05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Do not respond to optimal non-surgical management: Persistent pain, worsening joint function, progressive deformity, persistent localised synovitis</w:t>
            </w:r>
          </w:p>
          <w:p w14:paraId="7B4B0FB6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(Imminent or actual tendon rupture, nerve compression, stress fracture)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6C53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95C0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7D1C9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46BF8E39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Do not response to conservative treatment</w:t>
            </w:r>
            <w:r w:rsidRPr="005E53EE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BFFCB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6D484525" w14:textId="77777777" w:rsidTr="00DF33A4">
        <w:trPr>
          <w:trHeight w:val="417"/>
        </w:trPr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F79FA0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Education on surgical benefits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B3963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9694B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34CE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A046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785A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5F7E9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88F4D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325077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9B23C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B8B68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3F311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4ADCE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086CF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0459CFB7" w14:textId="77777777" w:rsidTr="00DF33A4">
        <w:trPr>
          <w:trHeight w:val="33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91965A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Medical and surgical management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1C28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D17C7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A14BA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E139AF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EE8E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EAE42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3E8E8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2EE5790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(Suspected or proven septic arthritis)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A2189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95B83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C7DBC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7796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090D8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454BCDAB" w14:textId="77777777" w:rsidTr="00DF33A4">
        <w:trPr>
          <w:trHeight w:val="365"/>
        </w:trPr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824BC4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Magnetic resonance imaging and surgical referral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A15F1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C9DAB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D92EE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9D84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B96C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75235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D9BDE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9567BEB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✓✓</w:t>
            </w:r>
            <w:r w:rsidRPr="005E53EE">
              <w:rPr>
                <w:sz w:val="20"/>
                <w:szCs w:val="20"/>
              </w:rPr>
              <w:t xml:space="preserve"> (Cervical myelopathy)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DCA0A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0C96B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FFA99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1A43B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A4F4B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5E53EE" w14:paraId="33B8A132" w14:textId="77777777" w:rsidTr="00DF33A4">
        <w:trPr>
          <w:trHeight w:val="626"/>
        </w:trPr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1DE8C6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 xml:space="preserve">Joint replacement surgery for younger adults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77AAA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9ACE4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CA8EE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91939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9695C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3BDD7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ABFF9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6780F47" w14:textId="77777777" w:rsidR="00897E75" w:rsidRPr="005E53EE" w:rsidRDefault="00897E75" w:rsidP="00DF33A4">
            <w:pPr>
              <w:jc w:val="center"/>
              <w:rPr>
                <w:sz w:val="20"/>
                <w:szCs w:val="2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</w:rPr>
              <w:t>✓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EEFA13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FC783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9D344B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BF85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A1F17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</w:tr>
      <w:tr w:rsidR="00897E75" w:rsidRPr="004B3BF5" w14:paraId="64113EFD" w14:textId="77777777" w:rsidTr="00DF33A4">
        <w:trPr>
          <w:trHeight w:val="416"/>
        </w:trPr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6A6A6" w:themeFill="background1" w:themeFillShade="A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0CBB87" w14:textId="77777777" w:rsidR="00897E75" w:rsidRPr="005E53EE" w:rsidRDefault="00897E75" w:rsidP="00DF33A4">
            <w:pPr>
              <w:rPr>
                <w:sz w:val="20"/>
                <w:szCs w:val="20"/>
              </w:rPr>
            </w:pPr>
            <w:r w:rsidRPr="005E53EE">
              <w:rPr>
                <w:sz w:val="20"/>
                <w:szCs w:val="20"/>
              </w:rPr>
              <w:t>Lower limb surgical interventions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3050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63E4D5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4EA7C2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671EE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D70A1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66C108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082327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96170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5BF076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24B27D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E0342A" w14:textId="77777777" w:rsidR="00897E75" w:rsidRPr="005E53EE" w:rsidRDefault="00897E75" w:rsidP="00DF33A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3DDF0F" w14:textId="77777777" w:rsidR="00897E75" w:rsidRPr="005E53EE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Resection arthroplasty of the MTP joints </w:t>
            </w:r>
            <w:r w:rsidRPr="005E53EE">
              <w:rPr>
                <w:sz w:val="20"/>
                <w:szCs w:val="20"/>
                <w:shd w:val="clear" w:color="auto" w:fill="92D050"/>
              </w:rPr>
              <w:br/>
            </w: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Arthrodesis of the MTP1 joint</w:t>
            </w:r>
          </w:p>
          <w:p w14:paraId="1CA33E4F" w14:textId="77777777" w:rsidR="00897E75" w:rsidRPr="005E53EE" w:rsidRDefault="00897E75" w:rsidP="00DF33A4">
            <w:pPr>
              <w:shd w:val="clear" w:color="auto" w:fill="00B050"/>
              <w:jc w:val="center"/>
              <w:rPr>
                <w:sz w:val="20"/>
                <w:szCs w:val="20"/>
                <w:shd w:val="clear" w:color="auto" w:fill="00B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00B050"/>
              </w:rPr>
              <w:t>✓✓</w:t>
            </w:r>
            <w:r w:rsidRPr="005E53EE">
              <w:rPr>
                <w:sz w:val="20"/>
                <w:szCs w:val="20"/>
                <w:shd w:val="clear" w:color="auto" w:fill="00B050"/>
              </w:rPr>
              <w:t xml:space="preserve"> Arthrodesis of the subtalar joint and/or arthrodesis of the calcaneocuboid joint and talonavicular joint</w:t>
            </w:r>
          </w:p>
          <w:p w14:paraId="3D9A19EB" w14:textId="77777777" w:rsidR="00897E75" w:rsidRPr="00EA4121" w:rsidRDefault="00897E75" w:rsidP="00DF33A4">
            <w:pPr>
              <w:shd w:val="clear" w:color="auto" w:fill="92D050"/>
              <w:jc w:val="center"/>
              <w:rPr>
                <w:sz w:val="20"/>
                <w:szCs w:val="20"/>
                <w:shd w:val="clear" w:color="auto" w:fill="92D050"/>
              </w:rPr>
            </w:pPr>
            <w:r w:rsidRPr="005E53EE">
              <w:rPr>
                <w:rFonts w:ascii="Segoe UI Symbol" w:hAnsi="Segoe UI Symbol" w:cs="Segoe UI Symbol"/>
                <w:sz w:val="20"/>
                <w:szCs w:val="20"/>
                <w:shd w:val="clear" w:color="auto" w:fill="92D050"/>
              </w:rPr>
              <w:t>✓</w:t>
            </w:r>
            <w:r w:rsidRPr="005E53EE">
              <w:rPr>
                <w:sz w:val="20"/>
                <w:szCs w:val="20"/>
                <w:shd w:val="clear" w:color="auto" w:fill="92D050"/>
              </w:rPr>
              <w:t xml:space="preserve"> Arthrodesis of the tibiotalar joint or an ankle prosthesis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E10F35" w14:textId="77777777" w:rsidR="00897E75" w:rsidRPr="004B3BF5" w:rsidRDefault="00897E75" w:rsidP="00DF33A4">
            <w:pPr>
              <w:rPr>
                <w:sz w:val="20"/>
                <w:szCs w:val="20"/>
              </w:rPr>
            </w:pPr>
          </w:p>
        </w:tc>
      </w:tr>
    </w:tbl>
    <w:p w14:paraId="04AA6ED8" w14:textId="77777777" w:rsidR="00897E75" w:rsidRPr="004B3BF5" w:rsidRDefault="00897E75" w:rsidP="00897E75">
      <w:pPr>
        <w:rPr>
          <w:sz w:val="20"/>
          <w:szCs w:val="20"/>
        </w:rPr>
      </w:pPr>
      <w:r w:rsidRPr="004B3BF5">
        <w:rPr>
          <w:rFonts w:ascii="Segoe UI Symbol" w:hAnsi="Segoe UI Symbol" w:cs="Segoe UI Symbol"/>
          <w:sz w:val="20"/>
          <w:szCs w:val="20"/>
        </w:rPr>
        <w:lastRenderedPageBreak/>
        <w:t>✓✓</w:t>
      </w:r>
      <w:r w:rsidRPr="004B3BF5">
        <w:rPr>
          <w:sz w:val="20"/>
          <w:szCs w:val="20"/>
        </w:rPr>
        <w:t xml:space="preserve">Should do; </w:t>
      </w:r>
      <w:r w:rsidRPr="004B3BF5">
        <w:rPr>
          <w:rFonts w:ascii="Segoe UI Symbol" w:hAnsi="Segoe UI Symbol" w:cs="Segoe UI Symbol"/>
          <w:sz w:val="20"/>
          <w:szCs w:val="20"/>
        </w:rPr>
        <w:t>✓</w:t>
      </w:r>
      <w:r w:rsidRPr="004B3BF5">
        <w:rPr>
          <w:sz w:val="20"/>
          <w:szCs w:val="20"/>
        </w:rPr>
        <w:t xml:space="preserve"> Could do. </w:t>
      </w:r>
    </w:p>
    <w:p w14:paraId="196AFC69" w14:textId="77777777" w:rsidR="00897E75" w:rsidRPr="004B3BF5" w:rsidRDefault="00897E75" w:rsidP="00897E75">
      <w:pPr>
        <w:rPr>
          <w:sz w:val="20"/>
          <w:szCs w:val="20"/>
        </w:rPr>
      </w:pPr>
      <w:r w:rsidRPr="004B3BF5">
        <w:rPr>
          <w:sz w:val="20"/>
          <w:szCs w:val="20"/>
        </w:rPr>
        <w:t xml:space="preserve">ACR – American College of Rheumatology; APLAR – Asia Pacific League of Associations for Rheumatology; BSR – Brazilian Society of Rheumatology; </w:t>
      </w:r>
      <w:r>
        <w:rPr>
          <w:sz w:val="21"/>
          <w:szCs w:val="21"/>
        </w:rPr>
        <w:t xml:space="preserve">CRA – Canadian Rheumatology Association; </w:t>
      </w:r>
      <w:r w:rsidRPr="004B3BF5">
        <w:rPr>
          <w:sz w:val="20"/>
          <w:szCs w:val="20"/>
        </w:rPr>
        <w:t xml:space="preserve">EULAR – The European League Against Rheumatism; ISR – Italian Society of Rheumatology; MaHTAS – </w:t>
      </w:r>
      <w:r w:rsidRPr="004B3BF5">
        <w:rPr>
          <w:sz w:val="20"/>
          <w:szCs w:val="20"/>
          <w:lang w:val="en-GB"/>
        </w:rPr>
        <w:t>Malaysia Health Technology Assessment Section;</w:t>
      </w:r>
      <w:r w:rsidRPr="004B3BF5">
        <w:rPr>
          <w:sz w:val="20"/>
          <w:szCs w:val="20"/>
        </w:rPr>
        <w:t xml:space="preserve"> MTP – Metatarsophalangeal; NICE – National Institute for Health and Care Excellence; SER – Spanish Rheumatology Society; TLAR – Turkish League Against Rheumatism.</w:t>
      </w:r>
    </w:p>
    <w:p w14:paraId="4C6FC0DC" w14:textId="18E1C720" w:rsidR="0007660F" w:rsidRPr="00897E75" w:rsidRDefault="0007660F" w:rsidP="00897E75"/>
    <w:sectPr w:rsidR="0007660F" w:rsidRPr="00897E75" w:rsidSect="00426FB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2BE9"/>
    <w:multiLevelType w:val="hybridMultilevel"/>
    <w:tmpl w:val="79DC6354"/>
    <w:lvl w:ilvl="0" w:tplc="0B24DA5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42368"/>
    <w:multiLevelType w:val="hybridMultilevel"/>
    <w:tmpl w:val="C330B8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630F7"/>
    <w:multiLevelType w:val="hybridMultilevel"/>
    <w:tmpl w:val="578030A0"/>
    <w:lvl w:ilvl="0" w:tplc="A37A12D2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72C7D"/>
    <w:multiLevelType w:val="hybridMultilevel"/>
    <w:tmpl w:val="F69A3790"/>
    <w:lvl w:ilvl="0" w:tplc="D05630DA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b w:val="0"/>
        <w:color w:val="21212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27F0A"/>
    <w:multiLevelType w:val="hybridMultilevel"/>
    <w:tmpl w:val="FBFEFC10"/>
    <w:lvl w:ilvl="0" w:tplc="1298CE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073BE"/>
    <w:multiLevelType w:val="hybridMultilevel"/>
    <w:tmpl w:val="A73EA1D0"/>
    <w:lvl w:ilvl="0" w:tplc="D05630DA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b w:val="0"/>
        <w:color w:val="21212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889517">
    <w:abstractNumId w:val="0"/>
  </w:num>
  <w:num w:numId="2" w16cid:durableId="1543904102">
    <w:abstractNumId w:val="2"/>
  </w:num>
  <w:num w:numId="3" w16cid:durableId="1245645817">
    <w:abstractNumId w:val="4"/>
  </w:num>
  <w:num w:numId="4" w16cid:durableId="180167246">
    <w:abstractNumId w:val="5"/>
  </w:num>
  <w:num w:numId="5" w16cid:durableId="1086653152">
    <w:abstractNumId w:val="3"/>
  </w:num>
  <w:num w:numId="6" w16cid:durableId="33891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9rd0ada95vwuezxwn5ppd4sptwaaars9at&quot;&gt;RA_Refs&lt;record-ids&gt;&lt;item&gt;1&lt;/item&gt;&lt;item&gt;3&lt;/item&gt;&lt;item&gt;4&lt;/item&gt;&lt;item&gt;5&lt;/item&gt;&lt;item&gt;6&lt;/item&gt;&lt;item&gt;9&lt;/item&gt;&lt;item&gt;10&lt;/item&gt;&lt;item&gt;11&lt;/item&gt;&lt;item&gt;12&lt;/item&gt;&lt;item&gt;13&lt;/item&gt;&lt;item&gt;14&lt;/item&gt;&lt;item&gt;54&lt;/item&gt;&lt;item&gt;61&lt;/item&gt;&lt;/record-ids&gt;&lt;/item&gt;&lt;/Libraries&gt;"/>
  </w:docVars>
  <w:rsids>
    <w:rsidRoot w:val="00426FBF"/>
    <w:rsid w:val="000052CD"/>
    <w:rsid w:val="00016A7B"/>
    <w:rsid w:val="00016AC0"/>
    <w:rsid w:val="00025007"/>
    <w:rsid w:val="0003625F"/>
    <w:rsid w:val="0004191F"/>
    <w:rsid w:val="00041F4B"/>
    <w:rsid w:val="000423FA"/>
    <w:rsid w:val="000510F4"/>
    <w:rsid w:val="00051F28"/>
    <w:rsid w:val="0006456B"/>
    <w:rsid w:val="000665D6"/>
    <w:rsid w:val="00072A72"/>
    <w:rsid w:val="0007660F"/>
    <w:rsid w:val="000825B2"/>
    <w:rsid w:val="00082F57"/>
    <w:rsid w:val="000903E5"/>
    <w:rsid w:val="00094362"/>
    <w:rsid w:val="000A2D2D"/>
    <w:rsid w:val="000A3795"/>
    <w:rsid w:val="000A5463"/>
    <w:rsid w:val="000A6D0E"/>
    <w:rsid w:val="000B53CC"/>
    <w:rsid w:val="000C2786"/>
    <w:rsid w:val="000D2C8F"/>
    <w:rsid w:val="000E3CD5"/>
    <w:rsid w:val="001008A4"/>
    <w:rsid w:val="00103C16"/>
    <w:rsid w:val="001076BE"/>
    <w:rsid w:val="00124A98"/>
    <w:rsid w:val="001264CF"/>
    <w:rsid w:val="00134FDF"/>
    <w:rsid w:val="00135E7D"/>
    <w:rsid w:val="00145D86"/>
    <w:rsid w:val="001527EF"/>
    <w:rsid w:val="00152D8A"/>
    <w:rsid w:val="00162318"/>
    <w:rsid w:val="0017636E"/>
    <w:rsid w:val="00177055"/>
    <w:rsid w:val="00185C8A"/>
    <w:rsid w:val="001A1ABE"/>
    <w:rsid w:val="001B0644"/>
    <w:rsid w:val="001B0931"/>
    <w:rsid w:val="001B0DB7"/>
    <w:rsid w:val="001B2B14"/>
    <w:rsid w:val="001C07F9"/>
    <w:rsid w:val="001D3CB6"/>
    <w:rsid w:val="001E7999"/>
    <w:rsid w:val="001F6984"/>
    <w:rsid w:val="002009A6"/>
    <w:rsid w:val="00200C80"/>
    <w:rsid w:val="00200FC7"/>
    <w:rsid w:val="002037A0"/>
    <w:rsid w:val="00207669"/>
    <w:rsid w:val="00210662"/>
    <w:rsid w:val="002109A8"/>
    <w:rsid w:val="002133EB"/>
    <w:rsid w:val="002253F2"/>
    <w:rsid w:val="00233E09"/>
    <w:rsid w:val="002431A1"/>
    <w:rsid w:val="00243A88"/>
    <w:rsid w:val="00246F99"/>
    <w:rsid w:val="00256865"/>
    <w:rsid w:val="002635CD"/>
    <w:rsid w:val="00281C7E"/>
    <w:rsid w:val="002863D6"/>
    <w:rsid w:val="002947BD"/>
    <w:rsid w:val="002A3370"/>
    <w:rsid w:val="002A386A"/>
    <w:rsid w:val="002A439E"/>
    <w:rsid w:val="002C062B"/>
    <w:rsid w:val="002C5412"/>
    <w:rsid w:val="002E11D9"/>
    <w:rsid w:val="002E1CA3"/>
    <w:rsid w:val="002F6986"/>
    <w:rsid w:val="00300BDF"/>
    <w:rsid w:val="00304CE3"/>
    <w:rsid w:val="003054B0"/>
    <w:rsid w:val="00312857"/>
    <w:rsid w:val="00317E96"/>
    <w:rsid w:val="0032149E"/>
    <w:rsid w:val="00321F16"/>
    <w:rsid w:val="00323428"/>
    <w:rsid w:val="0033288B"/>
    <w:rsid w:val="003431A0"/>
    <w:rsid w:val="00350E95"/>
    <w:rsid w:val="00352039"/>
    <w:rsid w:val="00353D24"/>
    <w:rsid w:val="0037741C"/>
    <w:rsid w:val="00377824"/>
    <w:rsid w:val="00395EA9"/>
    <w:rsid w:val="003A1EFA"/>
    <w:rsid w:val="003A65F0"/>
    <w:rsid w:val="003B2915"/>
    <w:rsid w:val="003B47B6"/>
    <w:rsid w:val="003C48FD"/>
    <w:rsid w:val="003F3811"/>
    <w:rsid w:val="003F6E77"/>
    <w:rsid w:val="0040088F"/>
    <w:rsid w:val="0040230E"/>
    <w:rsid w:val="00403817"/>
    <w:rsid w:val="004061FA"/>
    <w:rsid w:val="00406EC0"/>
    <w:rsid w:val="00411D64"/>
    <w:rsid w:val="00412869"/>
    <w:rsid w:val="00413550"/>
    <w:rsid w:val="004161D1"/>
    <w:rsid w:val="004207B5"/>
    <w:rsid w:val="004258A6"/>
    <w:rsid w:val="00426FBF"/>
    <w:rsid w:val="004413A6"/>
    <w:rsid w:val="00446D33"/>
    <w:rsid w:val="0045013D"/>
    <w:rsid w:val="004504E8"/>
    <w:rsid w:val="00452FE8"/>
    <w:rsid w:val="0045365F"/>
    <w:rsid w:val="004551D9"/>
    <w:rsid w:val="00461996"/>
    <w:rsid w:val="00461DFD"/>
    <w:rsid w:val="0047163E"/>
    <w:rsid w:val="004751CE"/>
    <w:rsid w:val="004769A9"/>
    <w:rsid w:val="004A2256"/>
    <w:rsid w:val="004A4DEB"/>
    <w:rsid w:val="004B1B9C"/>
    <w:rsid w:val="004B3BF5"/>
    <w:rsid w:val="004B4ED9"/>
    <w:rsid w:val="004C1FAE"/>
    <w:rsid w:val="004C3FA0"/>
    <w:rsid w:val="00501A93"/>
    <w:rsid w:val="005079E2"/>
    <w:rsid w:val="00523D7A"/>
    <w:rsid w:val="005313FF"/>
    <w:rsid w:val="00531BB7"/>
    <w:rsid w:val="00532349"/>
    <w:rsid w:val="00533A65"/>
    <w:rsid w:val="005374FD"/>
    <w:rsid w:val="00554C4A"/>
    <w:rsid w:val="0055654E"/>
    <w:rsid w:val="0056392B"/>
    <w:rsid w:val="00565F46"/>
    <w:rsid w:val="005725CB"/>
    <w:rsid w:val="00583D9A"/>
    <w:rsid w:val="005854AB"/>
    <w:rsid w:val="00585B05"/>
    <w:rsid w:val="00585DD3"/>
    <w:rsid w:val="0058600B"/>
    <w:rsid w:val="00587718"/>
    <w:rsid w:val="00594E43"/>
    <w:rsid w:val="00596AB1"/>
    <w:rsid w:val="00597365"/>
    <w:rsid w:val="005A43BF"/>
    <w:rsid w:val="005B5364"/>
    <w:rsid w:val="005C59BD"/>
    <w:rsid w:val="005C68A2"/>
    <w:rsid w:val="005E46F7"/>
    <w:rsid w:val="005E53EE"/>
    <w:rsid w:val="00602603"/>
    <w:rsid w:val="00607FA2"/>
    <w:rsid w:val="0061024B"/>
    <w:rsid w:val="00610BDC"/>
    <w:rsid w:val="006131BE"/>
    <w:rsid w:val="006209C1"/>
    <w:rsid w:val="0062348D"/>
    <w:rsid w:val="00630ED3"/>
    <w:rsid w:val="00631947"/>
    <w:rsid w:val="00636F3C"/>
    <w:rsid w:val="00642E96"/>
    <w:rsid w:val="00644A21"/>
    <w:rsid w:val="00653986"/>
    <w:rsid w:val="00653DD0"/>
    <w:rsid w:val="006541FF"/>
    <w:rsid w:val="006675AF"/>
    <w:rsid w:val="00670BBB"/>
    <w:rsid w:val="0067146D"/>
    <w:rsid w:val="006761E6"/>
    <w:rsid w:val="0068022E"/>
    <w:rsid w:val="006840F3"/>
    <w:rsid w:val="00684466"/>
    <w:rsid w:val="0069177D"/>
    <w:rsid w:val="006D1D5D"/>
    <w:rsid w:val="006D7964"/>
    <w:rsid w:val="006E053C"/>
    <w:rsid w:val="006E29EB"/>
    <w:rsid w:val="006E7975"/>
    <w:rsid w:val="006F19E8"/>
    <w:rsid w:val="00707FF2"/>
    <w:rsid w:val="00720D0D"/>
    <w:rsid w:val="00720DF3"/>
    <w:rsid w:val="00732C0E"/>
    <w:rsid w:val="00740F7C"/>
    <w:rsid w:val="0074501E"/>
    <w:rsid w:val="00784FD7"/>
    <w:rsid w:val="00786BC5"/>
    <w:rsid w:val="00790338"/>
    <w:rsid w:val="0079346C"/>
    <w:rsid w:val="00795106"/>
    <w:rsid w:val="00795914"/>
    <w:rsid w:val="007A15BA"/>
    <w:rsid w:val="007A5910"/>
    <w:rsid w:val="007B3106"/>
    <w:rsid w:val="007B5E59"/>
    <w:rsid w:val="007D450B"/>
    <w:rsid w:val="007D4935"/>
    <w:rsid w:val="007D57D7"/>
    <w:rsid w:val="007D7B41"/>
    <w:rsid w:val="007E33F9"/>
    <w:rsid w:val="007E6A66"/>
    <w:rsid w:val="007F50EA"/>
    <w:rsid w:val="008027CC"/>
    <w:rsid w:val="008053FA"/>
    <w:rsid w:val="00810FB6"/>
    <w:rsid w:val="00816197"/>
    <w:rsid w:val="00825359"/>
    <w:rsid w:val="00825F57"/>
    <w:rsid w:val="008340FB"/>
    <w:rsid w:val="00835325"/>
    <w:rsid w:val="00835FBC"/>
    <w:rsid w:val="00843418"/>
    <w:rsid w:val="00845462"/>
    <w:rsid w:val="008511A7"/>
    <w:rsid w:val="008552AB"/>
    <w:rsid w:val="00875457"/>
    <w:rsid w:val="00885429"/>
    <w:rsid w:val="00894E4F"/>
    <w:rsid w:val="008968D3"/>
    <w:rsid w:val="00897E75"/>
    <w:rsid w:val="008A58AB"/>
    <w:rsid w:val="008B5260"/>
    <w:rsid w:val="008D1D6A"/>
    <w:rsid w:val="008D4EEA"/>
    <w:rsid w:val="008D7A7E"/>
    <w:rsid w:val="008E327F"/>
    <w:rsid w:val="008E4CDD"/>
    <w:rsid w:val="008F0213"/>
    <w:rsid w:val="008F7B80"/>
    <w:rsid w:val="00903409"/>
    <w:rsid w:val="00906D71"/>
    <w:rsid w:val="00914C22"/>
    <w:rsid w:val="00920CDD"/>
    <w:rsid w:val="00925918"/>
    <w:rsid w:val="00933D9D"/>
    <w:rsid w:val="0093578A"/>
    <w:rsid w:val="00953CBF"/>
    <w:rsid w:val="00955207"/>
    <w:rsid w:val="00967F2B"/>
    <w:rsid w:val="0097009D"/>
    <w:rsid w:val="009727C6"/>
    <w:rsid w:val="009739D3"/>
    <w:rsid w:val="00976D5C"/>
    <w:rsid w:val="009775BC"/>
    <w:rsid w:val="00983460"/>
    <w:rsid w:val="00991E6C"/>
    <w:rsid w:val="0099241E"/>
    <w:rsid w:val="0099795A"/>
    <w:rsid w:val="009A0DED"/>
    <w:rsid w:val="009A4960"/>
    <w:rsid w:val="009B32D9"/>
    <w:rsid w:val="009C19E2"/>
    <w:rsid w:val="009C7564"/>
    <w:rsid w:val="009D0530"/>
    <w:rsid w:val="009F5C4D"/>
    <w:rsid w:val="00A0212D"/>
    <w:rsid w:val="00A04B8C"/>
    <w:rsid w:val="00A105A8"/>
    <w:rsid w:val="00A22646"/>
    <w:rsid w:val="00A23124"/>
    <w:rsid w:val="00A32F85"/>
    <w:rsid w:val="00A37D67"/>
    <w:rsid w:val="00A425DD"/>
    <w:rsid w:val="00A43A9C"/>
    <w:rsid w:val="00A5061A"/>
    <w:rsid w:val="00A5643A"/>
    <w:rsid w:val="00A616F0"/>
    <w:rsid w:val="00A70F14"/>
    <w:rsid w:val="00A7126D"/>
    <w:rsid w:val="00A728C9"/>
    <w:rsid w:val="00A77492"/>
    <w:rsid w:val="00A77A1D"/>
    <w:rsid w:val="00A8676E"/>
    <w:rsid w:val="00AA7C95"/>
    <w:rsid w:val="00AB151B"/>
    <w:rsid w:val="00AB2BD6"/>
    <w:rsid w:val="00AB604F"/>
    <w:rsid w:val="00AC319B"/>
    <w:rsid w:val="00AC3F29"/>
    <w:rsid w:val="00AE1840"/>
    <w:rsid w:val="00AE61DD"/>
    <w:rsid w:val="00AF64B1"/>
    <w:rsid w:val="00B00701"/>
    <w:rsid w:val="00B01821"/>
    <w:rsid w:val="00B04FE9"/>
    <w:rsid w:val="00B05171"/>
    <w:rsid w:val="00B05EF6"/>
    <w:rsid w:val="00B12D6F"/>
    <w:rsid w:val="00B1623D"/>
    <w:rsid w:val="00B22383"/>
    <w:rsid w:val="00B25941"/>
    <w:rsid w:val="00B4181C"/>
    <w:rsid w:val="00B4326B"/>
    <w:rsid w:val="00B51910"/>
    <w:rsid w:val="00B52A4D"/>
    <w:rsid w:val="00B6259F"/>
    <w:rsid w:val="00B704A3"/>
    <w:rsid w:val="00B720D3"/>
    <w:rsid w:val="00B8008B"/>
    <w:rsid w:val="00B838C6"/>
    <w:rsid w:val="00B91E44"/>
    <w:rsid w:val="00BA058C"/>
    <w:rsid w:val="00BC4458"/>
    <w:rsid w:val="00BC5695"/>
    <w:rsid w:val="00BD2506"/>
    <w:rsid w:val="00BD411C"/>
    <w:rsid w:val="00BD52AB"/>
    <w:rsid w:val="00BF4309"/>
    <w:rsid w:val="00BF44E8"/>
    <w:rsid w:val="00C007E4"/>
    <w:rsid w:val="00C02CA4"/>
    <w:rsid w:val="00C040D1"/>
    <w:rsid w:val="00C07275"/>
    <w:rsid w:val="00C11BE9"/>
    <w:rsid w:val="00C1543E"/>
    <w:rsid w:val="00C20EE2"/>
    <w:rsid w:val="00C22E2E"/>
    <w:rsid w:val="00C26A1B"/>
    <w:rsid w:val="00C302AC"/>
    <w:rsid w:val="00C3084F"/>
    <w:rsid w:val="00C350EB"/>
    <w:rsid w:val="00C35181"/>
    <w:rsid w:val="00C4282E"/>
    <w:rsid w:val="00C47169"/>
    <w:rsid w:val="00C5009B"/>
    <w:rsid w:val="00C5434C"/>
    <w:rsid w:val="00C57BE4"/>
    <w:rsid w:val="00C60D8F"/>
    <w:rsid w:val="00C6547E"/>
    <w:rsid w:val="00C679A5"/>
    <w:rsid w:val="00C76C6A"/>
    <w:rsid w:val="00C82C56"/>
    <w:rsid w:val="00C84520"/>
    <w:rsid w:val="00C845FD"/>
    <w:rsid w:val="00C84C08"/>
    <w:rsid w:val="00C96D1D"/>
    <w:rsid w:val="00CA0952"/>
    <w:rsid w:val="00CA097C"/>
    <w:rsid w:val="00CA271D"/>
    <w:rsid w:val="00CB2459"/>
    <w:rsid w:val="00CB3A99"/>
    <w:rsid w:val="00CB3C1D"/>
    <w:rsid w:val="00CC6726"/>
    <w:rsid w:val="00CD0CAB"/>
    <w:rsid w:val="00CD2A45"/>
    <w:rsid w:val="00CD60A0"/>
    <w:rsid w:val="00CE111C"/>
    <w:rsid w:val="00CE3FC3"/>
    <w:rsid w:val="00CE6656"/>
    <w:rsid w:val="00CE7088"/>
    <w:rsid w:val="00D01BF5"/>
    <w:rsid w:val="00D02AD0"/>
    <w:rsid w:val="00D24FDC"/>
    <w:rsid w:val="00D34466"/>
    <w:rsid w:val="00D34830"/>
    <w:rsid w:val="00D362A2"/>
    <w:rsid w:val="00D409C7"/>
    <w:rsid w:val="00D52586"/>
    <w:rsid w:val="00D62572"/>
    <w:rsid w:val="00D65CFF"/>
    <w:rsid w:val="00D6605A"/>
    <w:rsid w:val="00D67496"/>
    <w:rsid w:val="00D74256"/>
    <w:rsid w:val="00D82841"/>
    <w:rsid w:val="00D84077"/>
    <w:rsid w:val="00D87F3C"/>
    <w:rsid w:val="00DA04C8"/>
    <w:rsid w:val="00DB323F"/>
    <w:rsid w:val="00DB4016"/>
    <w:rsid w:val="00DD0E1F"/>
    <w:rsid w:val="00DD3238"/>
    <w:rsid w:val="00DE0E4A"/>
    <w:rsid w:val="00DE1203"/>
    <w:rsid w:val="00DE1D6F"/>
    <w:rsid w:val="00DE2A3D"/>
    <w:rsid w:val="00DE3DC8"/>
    <w:rsid w:val="00DF39F5"/>
    <w:rsid w:val="00E05688"/>
    <w:rsid w:val="00E152C0"/>
    <w:rsid w:val="00E23F61"/>
    <w:rsid w:val="00E248FC"/>
    <w:rsid w:val="00E270F9"/>
    <w:rsid w:val="00E27EF1"/>
    <w:rsid w:val="00E358AE"/>
    <w:rsid w:val="00E40D96"/>
    <w:rsid w:val="00E451ED"/>
    <w:rsid w:val="00E53999"/>
    <w:rsid w:val="00E55EEC"/>
    <w:rsid w:val="00E577CE"/>
    <w:rsid w:val="00E60F1C"/>
    <w:rsid w:val="00E62A76"/>
    <w:rsid w:val="00E63F4C"/>
    <w:rsid w:val="00E6450D"/>
    <w:rsid w:val="00E7607A"/>
    <w:rsid w:val="00E80838"/>
    <w:rsid w:val="00E85A37"/>
    <w:rsid w:val="00E9406D"/>
    <w:rsid w:val="00E95FD8"/>
    <w:rsid w:val="00EA4121"/>
    <w:rsid w:val="00EA546E"/>
    <w:rsid w:val="00EA58ED"/>
    <w:rsid w:val="00EA5ECD"/>
    <w:rsid w:val="00EB08F4"/>
    <w:rsid w:val="00ED1E03"/>
    <w:rsid w:val="00EE246C"/>
    <w:rsid w:val="00EE6AEB"/>
    <w:rsid w:val="00EE7FDB"/>
    <w:rsid w:val="00F0457B"/>
    <w:rsid w:val="00F26567"/>
    <w:rsid w:val="00F315C9"/>
    <w:rsid w:val="00F33A87"/>
    <w:rsid w:val="00F431C7"/>
    <w:rsid w:val="00F447FD"/>
    <w:rsid w:val="00F45A40"/>
    <w:rsid w:val="00F5324D"/>
    <w:rsid w:val="00F54A08"/>
    <w:rsid w:val="00F56148"/>
    <w:rsid w:val="00F808C7"/>
    <w:rsid w:val="00F82ABB"/>
    <w:rsid w:val="00F958DC"/>
    <w:rsid w:val="00FA2136"/>
    <w:rsid w:val="00FA575C"/>
    <w:rsid w:val="00FA5D38"/>
    <w:rsid w:val="00FB05C6"/>
    <w:rsid w:val="00FB63AC"/>
    <w:rsid w:val="00FC4E5C"/>
    <w:rsid w:val="00FD3911"/>
    <w:rsid w:val="00FF0C39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23B23"/>
  <w15:docId w15:val="{0937D5E0-4112-374E-9B54-A11D0C53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D67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1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26FBF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26FBF"/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paragraph" w:styleId="Header">
    <w:name w:val="header"/>
    <w:basedOn w:val="Normal"/>
    <w:link w:val="HeaderChar"/>
    <w:uiPriority w:val="99"/>
    <w:rsid w:val="00426FBF"/>
    <w:pPr>
      <w:tabs>
        <w:tab w:val="center" w:pos="4320"/>
        <w:tab w:val="right" w:pos="8640"/>
      </w:tabs>
    </w:pPr>
    <w:rPr>
      <w:rFonts w:ascii="Garamond" w:hAnsi="Garamond"/>
      <w:color w:val="008000"/>
      <w:w w:val="120"/>
      <w:lang w:val="en-C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26FBF"/>
    <w:rPr>
      <w:rFonts w:ascii="Garamond" w:eastAsia="Times New Roman" w:hAnsi="Garamond" w:cs="Times New Roman"/>
      <w:color w:val="008000"/>
      <w:w w:val="120"/>
      <w:lang w:val="en-CA"/>
    </w:rPr>
  </w:style>
  <w:style w:type="paragraph" w:styleId="ListParagraph">
    <w:name w:val="List Paragraph"/>
    <w:basedOn w:val="Normal"/>
    <w:uiPriority w:val="34"/>
    <w:qFormat/>
    <w:rsid w:val="00426FB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2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FBF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FBF"/>
    <w:rPr>
      <w:sz w:val="20"/>
      <w:szCs w:val="20"/>
    </w:rPr>
  </w:style>
  <w:style w:type="table" w:styleId="TableGrid">
    <w:name w:val="Table Grid"/>
    <w:basedOn w:val="TableNormal"/>
    <w:uiPriority w:val="39"/>
    <w:rsid w:val="00426F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6FBF"/>
    <w:rPr>
      <w:color w:val="0563C1" w:themeColor="hyperlink"/>
      <w:u w:val="single"/>
    </w:rPr>
  </w:style>
  <w:style w:type="paragraph" w:styleId="NormalWeb">
    <w:name w:val="Normal (Web)"/>
    <w:basedOn w:val="Normal"/>
    <w:link w:val="NormalWebChar"/>
    <w:uiPriority w:val="99"/>
    <w:unhideWhenUsed/>
    <w:rsid w:val="00426FBF"/>
    <w:pPr>
      <w:spacing w:before="100" w:beforeAutospacing="1" w:after="100" w:afterAutospacing="1"/>
    </w:pPr>
  </w:style>
  <w:style w:type="paragraph" w:customStyle="1" w:styleId="EndNoteBibliographyTitle">
    <w:name w:val="EndNote Bibliography Title"/>
    <w:basedOn w:val="Normal"/>
    <w:link w:val="EndNoteBibliographyTitleChar"/>
    <w:rsid w:val="00426FBF"/>
    <w:pPr>
      <w:jc w:val="center"/>
    </w:pPr>
    <w:rPr>
      <w:lang w:val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426FBF"/>
    <w:rPr>
      <w:rFonts w:ascii="Times New Roman" w:eastAsia="Times New Roman" w:hAnsi="Times New Roman" w:cs="Times New Roman"/>
      <w:lang w:eastAsia="en-GB"/>
    </w:rPr>
  </w:style>
  <w:style w:type="character" w:customStyle="1" w:styleId="EndNoteBibliographyTitleChar">
    <w:name w:val="EndNote Bibliography Title Char"/>
    <w:basedOn w:val="NormalWebChar"/>
    <w:link w:val="EndNoteBibliographyTitle"/>
    <w:rsid w:val="00426FBF"/>
    <w:rPr>
      <w:rFonts w:ascii="Times New Roman" w:eastAsia="Times New Roman" w:hAnsi="Times New Roman" w:cs="Times New Roman"/>
      <w:lang w:val="en-US" w:eastAsia="en-GB"/>
    </w:rPr>
  </w:style>
  <w:style w:type="paragraph" w:customStyle="1" w:styleId="EndNoteBibliography">
    <w:name w:val="EndNote Bibliography"/>
    <w:basedOn w:val="Normal"/>
    <w:link w:val="EndNoteBibliographyChar"/>
    <w:rsid w:val="00426FBF"/>
    <w:rPr>
      <w:lang w:val="en-US"/>
    </w:rPr>
  </w:style>
  <w:style w:type="character" w:customStyle="1" w:styleId="EndNoteBibliographyChar">
    <w:name w:val="EndNote Bibliography Char"/>
    <w:basedOn w:val="NormalWebChar"/>
    <w:link w:val="EndNoteBibliography"/>
    <w:rsid w:val="00426FBF"/>
    <w:rPr>
      <w:rFonts w:ascii="Times New Roman" w:eastAsia="Times New Roman" w:hAnsi="Times New Roman" w:cs="Times New Roman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26FB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6FBF"/>
    <w:rPr>
      <w:b/>
      <w:bCs/>
      <w:sz w:val="20"/>
      <w:szCs w:val="20"/>
    </w:rPr>
  </w:style>
  <w:style w:type="paragraph" w:customStyle="1" w:styleId="Default">
    <w:name w:val="Default"/>
    <w:rsid w:val="00426FBF"/>
    <w:pPr>
      <w:autoSpaceDE w:val="0"/>
      <w:autoSpaceDN w:val="0"/>
      <w:adjustRightInd w:val="0"/>
    </w:pPr>
    <w:rPr>
      <w:rFonts w:ascii="Lato" w:hAnsi="Lato" w:cs="Lato"/>
      <w:color w:val="000000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426FBF"/>
  </w:style>
  <w:style w:type="paragraph" w:styleId="Revision">
    <w:name w:val="Revision"/>
    <w:hidden/>
    <w:uiPriority w:val="99"/>
    <w:semiHidden/>
    <w:rsid w:val="00426FBF"/>
    <w:rPr>
      <w:rFonts w:ascii="Times New Roman" w:eastAsia="Times New Roman" w:hAnsi="Times New Roman" w:cs="Times New Roman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A21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styleId="Emphasis">
    <w:name w:val="Emphasis"/>
    <w:basedOn w:val="DefaultParagraphFont"/>
    <w:uiPriority w:val="20"/>
    <w:qFormat/>
    <w:rsid w:val="005B5364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5B536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364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5B5364"/>
  </w:style>
  <w:style w:type="character" w:styleId="FollowedHyperlink">
    <w:name w:val="FollowedHyperlink"/>
    <w:basedOn w:val="DefaultParagraphFont"/>
    <w:uiPriority w:val="99"/>
    <w:semiHidden/>
    <w:unhideWhenUsed/>
    <w:rsid w:val="00B22383"/>
    <w:rPr>
      <w:color w:val="954F72"/>
      <w:u w:val="single"/>
    </w:rPr>
  </w:style>
  <w:style w:type="paragraph" w:customStyle="1" w:styleId="msonormal0">
    <w:name w:val="msonormal"/>
    <w:basedOn w:val="Normal"/>
    <w:rsid w:val="00B22383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B22383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"/>
    <w:rsid w:val="00B22383"/>
    <w:pPr>
      <w:spacing w:before="100" w:beforeAutospacing="1" w:after="100" w:afterAutospacing="1"/>
    </w:pPr>
    <w:rPr>
      <w:rFonts w:ascii="Segoe UI Symbol" w:hAnsi="Segoe UI Symbol"/>
      <w:color w:val="000000"/>
      <w:sz w:val="20"/>
      <w:szCs w:val="20"/>
    </w:rPr>
  </w:style>
  <w:style w:type="paragraph" w:customStyle="1" w:styleId="xl63">
    <w:name w:val="xl63"/>
    <w:basedOn w:val="Normal"/>
    <w:rsid w:val="00B22383"/>
    <w:pPr>
      <w:pBdr>
        <w:top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4">
    <w:name w:val="xl64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5">
    <w:name w:val="xl65"/>
    <w:basedOn w:val="Normal"/>
    <w:rsid w:val="00B2238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Normal"/>
    <w:rsid w:val="00B22383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67">
    <w:name w:val="xl67"/>
    <w:basedOn w:val="Normal"/>
    <w:rsid w:val="00B22383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68">
    <w:name w:val="xl68"/>
    <w:basedOn w:val="Normal"/>
    <w:rsid w:val="00B22383"/>
    <w:pPr>
      <w:pBdr>
        <w:bottom w:val="single" w:sz="8" w:space="0" w:color="000000"/>
        <w:right w:val="single" w:sz="8" w:space="0" w:color="000000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69">
    <w:name w:val="xl69"/>
    <w:basedOn w:val="Normal"/>
    <w:rsid w:val="00B22383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Normal"/>
    <w:rsid w:val="00B22383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sz w:val="20"/>
      <w:szCs w:val="20"/>
    </w:rPr>
  </w:style>
  <w:style w:type="paragraph" w:customStyle="1" w:styleId="xl71">
    <w:name w:val="xl71"/>
    <w:basedOn w:val="Normal"/>
    <w:rsid w:val="00B22383"/>
    <w:pPr>
      <w:pBdr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Normal"/>
    <w:rsid w:val="00B22383"/>
    <w:pPr>
      <w:pBdr>
        <w:right w:val="single" w:sz="8" w:space="0" w:color="000000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73">
    <w:name w:val="xl73"/>
    <w:basedOn w:val="Normal"/>
    <w:rsid w:val="00B22383"/>
    <w:pPr>
      <w:pBdr>
        <w:bottom w:val="single" w:sz="8" w:space="0" w:color="000000"/>
        <w:right w:val="single" w:sz="8" w:space="0" w:color="000000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Normal"/>
    <w:rsid w:val="00B22383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75">
    <w:name w:val="xl75"/>
    <w:basedOn w:val="Normal"/>
    <w:rsid w:val="00B22383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76">
    <w:name w:val="xl76"/>
    <w:basedOn w:val="Normal"/>
    <w:rsid w:val="00B22383"/>
    <w:pPr>
      <w:pBdr>
        <w:bottom w:val="single" w:sz="8" w:space="0" w:color="auto"/>
        <w:right w:val="single" w:sz="8" w:space="0" w:color="000000"/>
      </w:pBdr>
      <w:shd w:val="clear" w:color="000000" w:fill="A6A6A6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Normal"/>
    <w:rsid w:val="00B22383"/>
    <w:pPr>
      <w:pBdr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78">
    <w:name w:val="xl78"/>
    <w:basedOn w:val="Normal"/>
    <w:rsid w:val="00B22383"/>
    <w:pPr>
      <w:pBdr>
        <w:bottom w:val="single" w:sz="8" w:space="0" w:color="auto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79">
    <w:name w:val="xl79"/>
    <w:basedOn w:val="Normal"/>
    <w:rsid w:val="00B22383"/>
    <w:pPr>
      <w:pBdr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80">
    <w:name w:val="xl80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1">
    <w:name w:val="xl81"/>
    <w:basedOn w:val="Normal"/>
    <w:rsid w:val="00B2238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2">
    <w:name w:val="xl82"/>
    <w:basedOn w:val="Normal"/>
    <w:rsid w:val="00B2238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83">
    <w:name w:val="xl83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84">
    <w:name w:val="xl84"/>
    <w:basedOn w:val="Normal"/>
    <w:rsid w:val="00B22383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85">
    <w:name w:val="xl85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86">
    <w:name w:val="xl86"/>
    <w:basedOn w:val="Normal"/>
    <w:rsid w:val="00B2238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8">
    <w:name w:val="xl88"/>
    <w:basedOn w:val="Normal"/>
    <w:rsid w:val="00B2238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Normal"/>
    <w:rsid w:val="00B22383"/>
    <w:pPr>
      <w:pBdr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0">
    <w:name w:val="xl90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2">
    <w:name w:val="xl92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top"/>
    </w:pPr>
  </w:style>
  <w:style w:type="paragraph" w:customStyle="1" w:styleId="xl94">
    <w:name w:val="xl94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top"/>
    </w:pPr>
  </w:style>
  <w:style w:type="paragraph" w:customStyle="1" w:styleId="xl95">
    <w:name w:val="xl95"/>
    <w:basedOn w:val="Normal"/>
    <w:rsid w:val="00B22383"/>
    <w:pPr>
      <w:pBdr>
        <w:right w:val="single" w:sz="8" w:space="0" w:color="auto"/>
      </w:pBdr>
      <w:shd w:val="clear" w:color="000000" w:fill="00B050"/>
      <w:spacing w:before="100" w:beforeAutospacing="1" w:after="100" w:afterAutospacing="1"/>
      <w:textAlignment w:val="top"/>
    </w:pPr>
  </w:style>
  <w:style w:type="paragraph" w:customStyle="1" w:styleId="xl96">
    <w:name w:val="xl96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textAlignment w:val="top"/>
    </w:pPr>
  </w:style>
  <w:style w:type="paragraph" w:customStyle="1" w:styleId="xl97">
    <w:name w:val="xl97"/>
    <w:basedOn w:val="Normal"/>
    <w:rsid w:val="00B22383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Normal"/>
    <w:rsid w:val="00B22383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9">
    <w:name w:val="xl99"/>
    <w:basedOn w:val="Normal"/>
    <w:rsid w:val="00B22383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0">
    <w:name w:val="xl100"/>
    <w:basedOn w:val="Normal"/>
    <w:rsid w:val="00B22383"/>
    <w:pPr>
      <w:pBdr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Normal"/>
    <w:rsid w:val="00B22383"/>
    <w:pPr>
      <w:pBdr>
        <w:right w:val="single" w:sz="8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02">
    <w:name w:val="xl102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textAlignment w:val="top"/>
    </w:pPr>
  </w:style>
  <w:style w:type="paragraph" w:customStyle="1" w:styleId="xl103">
    <w:name w:val="xl103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04">
    <w:name w:val="xl104"/>
    <w:basedOn w:val="Normal"/>
    <w:rsid w:val="00B2238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Normal"/>
    <w:rsid w:val="00B22383"/>
    <w:pPr>
      <w:pBdr>
        <w:bottom w:val="single" w:sz="8" w:space="0" w:color="000000"/>
        <w:right w:val="single" w:sz="8" w:space="0" w:color="000000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06">
    <w:name w:val="xl106"/>
    <w:basedOn w:val="Normal"/>
    <w:rsid w:val="00B22383"/>
    <w:pPr>
      <w:pBdr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7">
    <w:name w:val="xl107"/>
    <w:basedOn w:val="Normal"/>
    <w:rsid w:val="00B22383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08">
    <w:name w:val="xl108"/>
    <w:basedOn w:val="Normal"/>
    <w:rsid w:val="00B22383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09">
    <w:name w:val="xl109"/>
    <w:basedOn w:val="Normal"/>
    <w:rsid w:val="00B22383"/>
    <w:pPr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Normal"/>
    <w:rsid w:val="00B22383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Normal"/>
    <w:rsid w:val="00B22383"/>
    <w:pPr>
      <w:pBdr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282828"/>
      <w:sz w:val="20"/>
      <w:szCs w:val="20"/>
    </w:rPr>
  </w:style>
  <w:style w:type="paragraph" w:customStyle="1" w:styleId="xl114">
    <w:name w:val="xl114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282828"/>
      <w:sz w:val="20"/>
      <w:szCs w:val="20"/>
    </w:rPr>
  </w:style>
  <w:style w:type="paragraph" w:customStyle="1" w:styleId="xl115">
    <w:name w:val="xl115"/>
    <w:basedOn w:val="Normal"/>
    <w:rsid w:val="00B22383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9">
    <w:name w:val="xl119"/>
    <w:basedOn w:val="Normal"/>
    <w:rsid w:val="00B2238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0">
    <w:name w:val="xl120"/>
    <w:basedOn w:val="Normal"/>
    <w:rsid w:val="00B22383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textAlignment w:val="top"/>
    </w:pPr>
  </w:style>
  <w:style w:type="paragraph" w:customStyle="1" w:styleId="xl121">
    <w:name w:val="xl121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textAlignment w:val="top"/>
    </w:pPr>
  </w:style>
  <w:style w:type="paragraph" w:customStyle="1" w:styleId="xl122">
    <w:name w:val="xl122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Normal"/>
    <w:rsid w:val="00B22383"/>
    <w:pPr>
      <w:pBdr>
        <w:left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25">
    <w:name w:val="xl125"/>
    <w:basedOn w:val="Normal"/>
    <w:rsid w:val="00B2238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Normal"/>
    <w:rsid w:val="00B2238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27">
    <w:name w:val="xl127"/>
    <w:basedOn w:val="Normal"/>
    <w:rsid w:val="00B2238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28">
    <w:name w:val="xl128"/>
    <w:basedOn w:val="Normal"/>
    <w:rsid w:val="00B2238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29">
    <w:name w:val="xl129"/>
    <w:basedOn w:val="Normal"/>
    <w:rsid w:val="00B2238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30">
    <w:name w:val="xl130"/>
    <w:basedOn w:val="Normal"/>
    <w:rsid w:val="00B22383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sz w:val="20"/>
      <w:szCs w:val="20"/>
    </w:rPr>
  </w:style>
  <w:style w:type="paragraph" w:customStyle="1" w:styleId="xl131">
    <w:name w:val="xl131"/>
    <w:basedOn w:val="Normal"/>
    <w:rsid w:val="00B2238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sz w:val="20"/>
      <w:szCs w:val="20"/>
    </w:rPr>
  </w:style>
  <w:style w:type="paragraph" w:customStyle="1" w:styleId="xl132">
    <w:name w:val="xl132"/>
    <w:basedOn w:val="Normal"/>
    <w:rsid w:val="00B22383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33">
    <w:name w:val="xl133"/>
    <w:basedOn w:val="Normal"/>
    <w:rsid w:val="00B22383"/>
    <w:pPr>
      <w:pBdr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34">
    <w:name w:val="xl134"/>
    <w:basedOn w:val="Normal"/>
    <w:rsid w:val="00B22383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35">
    <w:name w:val="xl135"/>
    <w:basedOn w:val="Normal"/>
    <w:rsid w:val="00B22383"/>
    <w:pPr>
      <w:pBdr>
        <w:left w:val="single" w:sz="8" w:space="0" w:color="000000"/>
        <w:right w:val="single" w:sz="8" w:space="0" w:color="000000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36">
    <w:name w:val="xl136"/>
    <w:basedOn w:val="Normal"/>
    <w:rsid w:val="00B22383"/>
    <w:pPr>
      <w:pBdr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37">
    <w:name w:val="xl137"/>
    <w:basedOn w:val="Normal"/>
    <w:rsid w:val="00B22383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38">
    <w:name w:val="xl138"/>
    <w:basedOn w:val="Normal"/>
    <w:rsid w:val="00B22383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39">
    <w:name w:val="xl139"/>
    <w:basedOn w:val="Normal"/>
    <w:rsid w:val="00B22383"/>
    <w:pPr>
      <w:pBdr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</w:pPr>
  </w:style>
  <w:style w:type="paragraph" w:customStyle="1" w:styleId="xl140">
    <w:name w:val="xl140"/>
    <w:basedOn w:val="Normal"/>
    <w:rsid w:val="00B22383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sz w:val="20"/>
      <w:szCs w:val="20"/>
    </w:rPr>
  </w:style>
  <w:style w:type="paragraph" w:customStyle="1" w:styleId="xl141">
    <w:name w:val="xl141"/>
    <w:basedOn w:val="Normal"/>
    <w:rsid w:val="00B22383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sz w:val="20"/>
      <w:szCs w:val="20"/>
    </w:rPr>
  </w:style>
  <w:style w:type="paragraph" w:customStyle="1" w:styleId="xl142">
    <w:name w:val="xl142"/>
    <w:basedOn w:val="Normal"/>
    <w:rsid w:val="00B22383"/>
    <w:pPr>
      <w:pBdr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sz w:val="20"/>
      <w:szCs w:val="20"/>
    </w:rPr>
  </w:style>
  <w:style w:type="paragraph" w:customStyle="1" w:styleId="xl143">
    <w:name w:val="xl143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44">
    <w:name w:val="xl144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45">
    <w:name w:val="xl145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46">
    <w:name w:val="xl146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47">
    <w:name w:val="xl147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48">
    <w:name w:val="xl148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9">
    <w:name w:val="xl149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0">
    <w:name w:val="xl150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51">
    <w:name w:val="xl151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52">
    <w:name w:val="xl152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3">
    <w:name w:val="xl153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4">
    <w:name w:val="xl154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sz w:val="20"/>
      <w:szCs w:val="20"/>
    </w:rPr>
  </w:style>
  <w:style w:type="paragraph" w:customStyle="1" w:styleId="xl155">
    <w:name w:val="xl155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sz w:val="20"/>
      <w:szCs w:val="20"/>
    </w:rPr>
  </w:style>
  <w:style w:type="paragraph" w:customStyle="1" w:styleId="xl156">
    <w:name w:val="xl156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57">
    <w:name w:val="xl157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Segoe UI Symbol" w:hAnsi="Segoe UI Symbol"/>
      <w:color w:val="000000"/>
      <w:sz w:val="20"/>
      <w:szCs w:val="20"/>
    </w:rPr>
  </w:style>
  <w:style w:type="paragraph" w:customStyle="1" w:styleId="xl158">
    <w:name w:val="xl158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9">
    <w:name w:val="xl159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0">
    <w:name w:val="xl160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1">
    <w:name w:val="xl161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Segoe UI Symbol" w:hAnsi="Segoe UI Symbol"/>
      <w:sz w:val="20"/>
      <w:szCs w:val="20"/>
    </w:rPr>
  </w:style>
  <w:style w:type="paragraph" w:customStyle="1" w:styleId="xl162">
    <w:name w:val="xl162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4">
    <w:name w:val="xl164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5">
    <w:name w:val="xl165"/>
    <w:basedOn w:val="Normal"/>
    <w:rsid w:val="00B22383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Normal"/>
    <w:rsid w:val="00B22383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Normal"/>
    <w:rsid w:val="00B2238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8">
    <w:name w:val="xl168"/>
    <w:basedOn w:val="Normal"/>
    <w:rsid w:val="00B22383"/>
    <w:pPr>
      <w:pBdr>
        <w:top w:val="single" w:sz="8" w:space="0" w:color="auto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9">
    <w:name w:val="xl169"/>
    <w:basedOn w:val="Normal"/>
    <w:rsid w:val="00B22383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0">
    <w:name w:val="xl170"/>
    <w:basedOn w:val="Normal"/>
    <w:rsid w:val="00B2238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71">
    <w:name w:val="xl171"/>
    <w:basedOn w:val="Normal"/>
    <w:rsid w:val="00B2238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72">
    <w:name w:val="xl172"/>
    <w:basedOn w:val="Normal"/>
    <w:rsid w:val="00B2238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73">
    <w:name w:val="xl173"/>
    <w:basedOn w:val="Normal"/>
    <w:rsid w:val="00B2238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74">
    <w:name w:val="xl174"/>
    <w:basedOn w:val="Normal"/>
    <w:rsid w:val="00B22383"/>
    <w:pPr>
      <w:pBdr>
        <w:top w:val="single" w:sz="8" w:space="0" w:color="auto"/>
        <w:bottom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75">
    <w:name w:val="xl175"/>
    <w:basedOn w:val="Normal"/>
    <w:rsid w:val="00B2238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76">
    <w:name w:val="xl176"/>
    <w:basedOn w:val="Normal"/>
    <w:rsid w:val="00B22383"/>
    <w:pPr>
      <w:pBdr>
        <w:top w:val="single" w:sz="8" w:space="0" w:color="000000"/>
        <w:left w:val="single" w:sz="8" w:space="0" w:color="000000"/>
        <w:bottom w:val="single" w:sz="8" w:space="0" w:color="auto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77">
    <w:name w:val="xl177"/>
    <w:basedOn w:val="Normal"/>
    <w:rsid w:val="00B22383"/>
    <w:pPr>
      <w:pBdr>
        <w:top w:val="single" w:sz="8" w:space="0" w:color="000000"/>
        <w:bottom w:val="single" w:sz="8" w:space="0" w:color="auto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78">
    <w:name w:val="xl178"/>
    <w:basedOn w:val="Normal"/>
    <w:rsid w:val="00B22383"/>
    <w:pPr>
      <w:pBdr>
        <w:top w:val="single" w:sz="8" w:space="0" w:color="000000"/>
        <w:bottom w:val="single" w:sz="8" w:space="0" w:color="auto"/>
        <w:right w:val="single" w:sz="8" w:space="0" w:color="000000"/>
      </w:pBdr>
      <w:shd w:val="clear" w:color="000000" w:fill="A6A6A6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79">
    <w:name w:val="xl179"/>
    <w:basedOn w:val="Normal"/>
    <w:rsid w:val="00B22383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A6A6A6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0">
    <w:name w:val="xl180"/>
    <w:basedOn w:val="Normal"/>
    <w:rsid w:val="00B22383"/>
    <w:pPr>
      <w:pBdr>
        <w:top w:val="single" w:sz="8" w:space="0" w:color="000000"/>
        <w:bottom w:val="single" w:sz="8" w:space="0" w:color="000000"/>
      </w:pBdr>
      <w:shd w:val="clear" w:color="000000" w:fill="A6A6A6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1">
    <w:name w:val="xl181"/>
    <w:basedOn w:val="Normal"/>
    <w:rsid w:val="00B22383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2">
    <w:name w:val="xl182"/>
    <w:basedOn w:val="Normal"/>
    <w:rsid w:val="00B22383"/>
    <w:pPr>
      <w:pBdr>
        <w:top w:val="single" w:sz="8" w:space="0" w:color="000000"/>
        <w:left w:val="single" w:sz="8" w:space="0" w:color="auto"/>
        <w:bottom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83">
    <w:name w:val="xl183"/>
    <w:basedOn w:val="Normal"/>
    <w:rsid w:val="00B22383"/>
    <w:pPr>
      <w:pBdr>
        <w:top w:val="single" w:sz="8" w:space="0" w:color="000000"/>
        <w:bottom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Normal"/>
    <w:rsid w:val="00B22383"/>
    <w:pPr>
      <w:pBdr>
        <w:top w:val="single" w:sz="8" w:space="0" w:color="000000"/>
        <w:bottom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Normal"/>
    <w:rsid w:val="00B2238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86">
    <w:name w:val="xl186"/>
    <w:basedOn w:val="Normal"/>
    <w:rsid w:val="00B22383"/>
    <w:pPr>
      <w:pBdr>
        <w:top w:val="single" w:sz="8" w:space="0" w:color="auto"/>
        <w:bottom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87">
    <w:name w:val="xl187"/>
    <w:basedOn w:val="Normal"/>
    <w:rsid w:val="00B2238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9999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p2">
    <w:name w:val="p2"/>
    <w:basedOn w:val="Normal"/>
    <w:rsid w:val="00897E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daa4be3-f650-4692-881a-64ae220cbceb}" enabled="1" method="Standard" siteId="{5a7cc8ab-a4dc-4f9b-bf60-66714049ad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15</Pages>
  <Words>7398</Words>
  <Characters>42172</Characters>
  <Application>Microsoft Office Word</Application>
  <DocSecurity>0</DocSecurity>
  <Lines>351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Brooke Conley</dc:creator>
  <cp:keywords/>
  <dc:description/>
  <cp:lastModifiedBy>Brooke Conley</cp:lastModifiedBy>
  <cp:revision>94</cp:revision>
  <dcterms:created xsi:type="dcterms:W3CDTF">2023-04-17T10:19:00Z</dcterms:created>
  <dcterms:modified xsi:type="dcterms:W3CDTF">2023-04-23T02:30:00Z</dcterms:modified>
</cp:coreProperties>
</file>