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F0AC" w14:textId="6BE1464E" w:rsidR="00B57714" w:rsidRDefault="00C34916" w:rsidP="00B57714">
      <w:pPr>
        <w:jc w:val="both"/>
        <w:rPr>
          <w:b/>
          <w:lang w:val="en-GB"/>
        </w:rPr>
      </w:pPr>
      <w:r>
        <w:rPr>
          <w:b/>
          <w:lang w:val="en-GB"/>
        </w:rPr>
        <w:t>Supplementary Information</w:t>
      </w:r>
    </w:p>
    <w:p w14:paraId="10F84181" w14:textId="6764E737" w:rsidR="002541AE" w:rsidRPr="008C2D3F" w:rsidRDefault="002541AE" w:rsidP="002541AE">
      <w:pPr>
        <w:pStyle w:val="Default"/>
        <w:jc w:val="both"/>
        <w:rPr>
          <w:rFonts w:ascii="Times New Roman" w:hAnsi="Times New Roman"/>
          <w:i/>
          <w:sz w:val="20"/>
          <w:szCs w:val="20"/>
          <w:lang w:val="en-GB"/>
        </w:rPr>
      </w:pPr>
      <w:r>
        <w:rPr>
          <w:rFonts w:ascii="Times New Roman" w:hAnsi="Times New Roman"/>
          <w:i/>
          <w:sz w:val="20"/>
          <w:szCs w:val="20"/>
          <w:lang w:val="en-GB"/>
        </w:rPr>
        <w:t>Participants</w:t>
      </w:r>
    </w:p>
    <w:p w14:paraId="345867F9" w14:textId="1F3009E4" w:rsidR="006A0430" w:rsidRPr="006C2519" w:rsidRDefault="00052084" w:rsidP="006C2519">
      <w:pPr>
        <w:spacing w:line="240" w:lineRule="auto"/>
        <w:jc w:val="both"/>
        <w:rPr>
          <w:rFonts w:ascii="Times New Roman" w:hAnsi="Times New Roman"/>
          <w:i/>
          <w:iCs/>
          <w:sz w:val="20"/>
          <w:szCs w:val="20"/>
          <w:lang w:val="en-GB"/>
        </w:rPr>
      </w:pPr>
      <w:r>
        <w:rPr>
          <w:rFonts w:ascii="Times New Roman" w:hAnsi="Times New Roman"/>
          <w:sz w:val="20"/>
          <w:szCs w:val="20"/>
          <w:lang w:val="en-GB"/>
        </w:rPr>
        <w:t>The connective tissue disease</w:t>
      </w:r>
      <w:r w:rsidR="00DA1DE7">
        <w:rPr>
          <w:rFonts w:ascii="Times New Roman" w:hAnsi="Times New Roman"/>
          <w:sz w:val="20"/>
          <w:szCs w:val="20"/>
          <w:lang w:val="en-GB"/>
        </w:rPr>
        <w:t xml:space="preserve"> (CTD) screening questionnaire was filled out at baseline.</w:t>
      </w:r>
      <w:r w:rsidR="006641B4">
        <w:rPr>
          <w:rFonts w:ascii="Times New Roman" w:hAnsi="Times New Roman"/>
          <w:sz w:val="20"/>
          <w:szCs w:val="20"/>
          <w:lang w:val="en-GB"/>
        </w:rPr>
        <w:t xml:space="preserve"> This</w:t>
      </w:r>
      <w:r w:rsidR="006641B4" w:rsidRPr="00C01C53">
        <w:rPr>
          <w:rFonts w:ascii="Times New Roman" w:hAnsi="Times New Roman"/>
          <w:sz w:val="20"/>
          <w:szCs w:val="20"/>
          <w:lang w:val="en-GB"/>
        </w:rPr>
        <w:t xml:space="preserve"> is a valid</w:t>
      </w:r>
      <w:r w:rsidR="006641B4">
        <w:rPr>
          <w:rFonts w:ascii="Times New Roman" w:hAnsi="Times New Roman"/>
          <w:sz w:val="20"/>
          <w:szCs w:val="20"/>
          <w:lang w:val="en-GB"/>
        </w:rPr>
        <w:t>ated</w:t>
      </w:r>
      <w:r w:rsidR="006641B4" w:rsidRPr="00C01C53">
        <w:rPr>
          <w:rFonts w:ascii="Times New Roman" w:hAnsi="Times New Roman"/>
          <w:sz w:val="20"/>
          <w:szCs w:val="20"/>
          <w:lang w:val="en-GB"/>
        </w:rPr>
        <w:t xml:space="preserve"> 30-item questionnaire to detect potential CTD’s</w:t>
      </w:r>
      <w:r w:rsidR="006641B4">
        <w:rPr>
          <w:rFonts w:ascii="Times New Roman" w:hAnsi="Times New Roman"/>
          <w:sz w:val="20"/>
          <w:szCs w:val="20"/>
          <w:lang w:val="en-GB"/>
        </w:rPr>
        <w:t>, which also included questions on RP</w:t>
      </w:r>
      <w:r w:rsidR="006641B4" w:rsidRPr="00C01C53">
        <w:rPr>
          <w:rFonts w:ascii="Times New Roman" w:hAnsi="Times New Roman"/>
          <w:sz w:val="20"/>
          <w:szCs w:val="20"/>
          <w:lang w:val="en-GB"/>
        </w:rPr>
        <w:t xml:space="preserve">. Based on the first two questions of the CTD screening questionnaire the </w:t>
      </w:r>
      <w:r w:rsidR="006641B4">
        <w:rPr>
          <w:rFonts w:ascii="Times New Roman" w:hAnsi="Times New Roman"/>
          <w:sz w:val="20"/>
          <w:szCs w:val="20"/>
          <w:lang w:val="en-GB"/>
        </w:rPr>
        <w:t xml:space="preserve">population </w:t>
      </w:r>
      <w:r w:rsidR="006641B4" w:rsidRPr="00C01C53">
        <w:rPr>
          <w:rFonts w:ascii="Times New Roman" w:hAnsi="Times New Roman"/>
          <w:sz w:val="20"/>
          <w:szCs w:val="20"/>
          <w:lang w:val="en-GB"/>
        </w:rPr>
        <w:t xml:space="preserve">was divided into </w:t>
      </w:r>
      <w:r w:rsidR="006641B4">
        <w:rPr>
          <w:rFonts w:ascii="Times New Roman" w:hAnsi="Times New Roman"/>
          <w:sz w:val="20"/>
          <w:szCs w:val="20"/>
          <w:lang w:val="en-GB"/>
        </w:rPr>
        <w:t>those with RP and those without RP.</w:t>
      </w:r>
      <w:r w:rsidR="00DA1DE7">
        <w:rPr>
          <w:rFonts w:ascii="Times New Roman" w:hAnsi="Times New Roman"/>
          <w:sz w:val="20"/>
          <w:szCs w:val="20"/>
          <w:lang w:val="en-GB"/>
        </w:rPr>
        <w:t xml:space="preserve"> </w:t>
      </w:r>
      <w:r w:rsidR="006A0430">
        <w:rPr>
          <w:rFonts w:ascii="Times New Roman" w:hAnsi="Times New Roman"/>
          <w:sz w:val="20"/>
          <w:szCs w:val="20"/>
          <w:lang w:val="en-GB"/>
        </w:rPr>
        <w:t xml:space="preserve">The following applied: </w:t>
      </w:r>
      <w:r w:rsidR="006A0430" w:rsidRPr="00C01C53">
        <w:rPr>
          <w:rFonts w:ascii="Times New Roman" w:hAnsi="Times New Roman"/>
          <w:sz w:val="20"/>
          <w:szCs w:val="20"/>
          <w:lang w:val="en-GB"/>
        </w:rPr>
        <w:t xml:space="preserve">question 1: ‘Are your fingers unusually sensitive to the cold?’, question 2: ‘Have your fingers ever shown any unusual colour changes in the cold?’, if yes: question 2a: ‘If your fingers have ever shown any unusual colour changes in the cold, was the colour white?’, question 2b: ‘If your fingers have ever shown any unusual colour changes in the cold, was the colour blue?’ and question 2c: ‘If your fingers have ever shown any unusual colour changes in the cold, was the colour red?’. Participants were classified as having RP when they answered question one and two with ‘yes’ and reported biphasic or triphasic discoloration of the fingers i.e. a ‘yes’ on question 2b or 2c. </w:t>
      </w:r>
    </w:p>
    <w:p w14:paraId="5FEE2E4D" w14:textId="77777777" w:rsidR="00233D98" w:rsidRPr="008C2D3F" w:rsidRDefault="00233D98" w:rsidP="00233D98">
      <w:pPr>
        <w:pStyle w:val="Default"/>
        <w:jc w:val="both"/>
        <w:rPr>
          <w:rFonts w:ascii="Times New Roman" w:hAnsi="Times New Roman"/>
          <w:i/>
          <w:sz w:val="20"/>
          <w:szCs w:val="20"/>
          <w:lang w:val="en-GB"/>
        </w:rPr>
      </w:pPr>
      <w:r w:rsidRPr="008C2D3F">
        <w:rPr>
          <w:rFonts w:ascii="Times New Roman" w:hAnsi="Times New Roman"/>
          <w:i/>
          <w:sz w:val="20"/>
          <w:szCs w:val="20"/>
          <w:lang w:val="en-GB"/>
        </w:rPr>
        <w:t>Physical activity</w:t>
      </w:r>
    </w:p>
    <w:p w14:paraId="4F732AE5" w14:textId="114987E3" w:rsidR="00233D98" w:rsidRDefault="00233D98" w:rsidP="00233D98">
      <w:pPr>
        <w:pStyle w:val="Default"/>
        <w:jc w:val="both"/>
        <w:rPr>
          <w:rFonts w:ascii="Times New Roman" w:hAnsi="Times New Roman"/>
          <w:sz w:val="20"/>
          <w:szCs w:val="20"/>
          <w:lang w:val="en-GB"/>
        </w:rPr>
      </w:pPr>
      <w:r w:rsidRPr="00C01C53">
        <w:rPr>
          <w:rFonts w:ascii="Times New Roman" w:hAnsi="Times New Roman"/>
          <w:sz w:val="20"/>
          <w:szCs w:val="20"/>
          <w:lang w:val="en-GB"/>
        </w:rPr>
        <w:t>The SQUASH questionnaire (Dutch version) asks participants to estimate the activity of an average week in the past month. It is a reliable and valid questionnaire to measure the PA level in an adult population</w:t>
      </w:r>
      <w:r w:rsidR="00DF31AF">
        <w:rPr>
          <w:rFonts w:ascii="Times New Roman" w:hAnsi="Times New Roman"/>
          <w:sz w:val="20"/>
          <w:szCs w:val="20"/>
          <w:lang w:val="en-GB"/>
        </w:rPr>
        <w:t xml:space="preserve"> </w:t>
      </w:r>
      <w:r w:rsidR="00DF31AF">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&lt;EndNote&gt;&lt;Cite&gt;&lt;Author&gt;Wendel-Vos&lt;/Author&gt;&lt;Year&gt;2003&lt;/Year&gt;&lt;RecNum&gt;2&lt;/RecNum&gt;&lt;DisplayText&gt;[1]&lt;/DisplayText&gt;&lt;record&gt;&lt;rec-number&gt;2&lt;/rec-number&gt;&lt;foreign-keys&gt;&lt;key app="EN" db-id="s0sws9t5cx9w98ee0xn5ezf9wd9dta25fwt0" timestamp="1675174364"&gt;2&lt;/key&gt;&lt;/foreign-keys&gt;&lt;ref-type name="Journal Article"&gt;17&lt;/ref-type&gt;&lt;contributors&gt;&lt;authors&gt;&lt;author&gt;Wendel-Vos, G. C.&lt;/author&gt;&lt;author&gt;Schuit, A. J.&lt;/author&gt;&lt;author&gt;Saris, W. H.&lt;/author&gt;&lt;author&gt;Kromhout, D.&lt;/author&gt;&lt;/authors&gt;&lt;/contributors&gt;&lt;auth-address&gt;Department for Chronic Diseases Epidemiology, National Institute for Public Health and the Environment, P.O. Box 1, 3720 BA, Bilthoven, The Netherlands. Wanda.Vos@rivm.nl&lt;/auth-address&gt;&lt;titles&gt;&lt;title&gt;Reproducibility and relative validity of the short questionnaire to assess health-enhancing physical activity&lt;/title&gt;&lt;secondary-title&gt;J Clin Epidemiol&lt;/secondary-title&gt;&lt;/titles&gt;&lt;periodical&gt;&lt;full-title&gt;J Clin Epidemiol&lt;/full-title&gt;&lt;/periodical&gt;&lt;pages&gt;1163-9&lt;/pages&gt;&lt;volume&gt;56&lt;/volume&gt;&lt;number&gt;12&lt;/number&gt;&lt;keywords&gt;&lt;keyword&gt;Adolescent&lt;/keyword&gt;&lt;keyword&gt;Adult&lt;/keyword&gt;&lt;keyword&gt;Aged&lt;/keyword&gt;&lt;keyword&gt;*Exercise&lt;/keyword&gt;&lt;keyword&gt;Female&lt;/keyword&gt;&lt;keyword&gt;Humans&lt;/keyword&gt;&lt;keyword&gt;Male&lt;/keyword&gt;&lt;keyword&gt;Middle Aged&lt;/keyword&gt;&lt;keyword&gt;Reproducibility of Results&lt;/keyword&gt;&lt;keyword&gt;*Surveys and Questionnaires&lt;/keyword&gt;&lt;/keywords&gt;&lt;dates&gt;&lt;year&gt;2003&lt;/year&gt;&lt;pub-dates&gt;&lt;date&gt;Dec&lt;/date&gt;&lt;/pub-dates&gt;&lt;/dates&gt;&lt;isbn&gt;0895-4356 (Print)&amp;#xD;0895-4356&lt;/isbn&gt;&lt;accession-num&gt;14680666&lt;/accession-num&gt;&lt;urls&gt;&lt;/urls&gt;&lt;electronic-resource-num&gt;10.1016/s0895-4356(03)00220-8&lt;/electronic-resource-num&gt;&lt;remote-database-provider&gt;NLM&lt;/remote-database-provider&gt;&lt;language&gt;eng&lt;/language&gt;&lt;/record&gt;&lt;/Cite&gt;&lt;/EndNote&gt;</w:instrText>
      </w:r>
      <w:r w:rsidR="00DF31AF">
        <w:rPr>
          <w:rFonts w:ascii="Times New Roman" w:hAnsi="Times New Roman"/>
          <w:sz w:val="20"/>
          <w:szCs w:val="20"/>
          <w:lang w:val="en-GB"/>
        </w:rPr>
        <w:fldChar w:fldCharType="separate"/>
      </w:r>
      <w:r w:rsidR="00DF31AF">
        <w:rPr>
          <w:rFonts w:ascii="Times New Roman" w:hAnsi="Times New Roman"/>
          <w:noProof/>
          <w:sz w:val="20"/>
          <w:szCs w:val="20"/>
          <w:lang w:val="en-GB"/>
        </w:rPr>
        <w:t>[1]</w:t>
      </w:r>
      <w:r w:rsidR="00DF31AF">
        <w:rPr>
          <w:rFonts w:ascii="Times New Roman" w:hAnsi="Times New Roman"/>
          <w:sz w:val="20"/>
          <w:szCs w:val="20"/>
          <w:lang w:val="en-GB"/>
        </w:rPr>
        <w:fldChar w:fldCharType="end"/>
      </w:r>
      <w:r w:rsidRPr="00C01C53">
        <w:rPr>
          <w:rFonts w:ascii="Times New Roman" w:hAnsi="Times New Roman"/>
          <w:sz w:val="20"/>
          <w:szCs w:val="20"/>
          <w:lang w:val="en-GB"/>
        </w:rPr>
        <w:t>. The questionnaire consists of four different domains: commuting activity, work activity, household activity, and leisure time activity (walking, biking, gardening, doing odd jobs, and sports). Participants were asked to fill out the type and amount of activity in each domain. Each activity has a certain metabolic equivalence of task (MET) value, based on Ainsworth’s compendium of physical activity</w:t>
      </w:r>
      <w:r w:rsidR="00DF31AF">
        <w:rPr>
          <w:rFonts w:ascii="Times New Roman" w:hAnsi="Times New Roman"/>
          <w:sz w:val="20"/>
          <w:szCs w:val="20"/>
          <w:lang w:val="en-GB"/>
        </w:rPr>
        <w:t xml:space="preserve"> </w:t>
      </w:r>
      <w:r w:rsidR="00276EC1">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&lt;EndNote&gt;&lt;Cite&gt;&lt;Author&gt;Ainsworth&lt;/Author&gt;&lt;Year&gt;2011&lt;/Year&gt;&lt;RecNum&gt;25&lt;/RecNum&gt;&lt;DisplayText&gt;[2]&lt;/DisplayText&gt;&lt;record&gt;&lt;rec-number&gt;25&lt;/rec-number&gt;&lt;foreign-keys&gt;&lt;key app="EN" db-id="s0sws9t5cx9w98ee0xn5ezf9wd9dta25fwt0" timestamp="1692697249"&gt;25&lt;/key&gt;&lt;/foreign-keys&gt;&lt;ref-type name="Journal Article"&gt;17&lt;/ref-type&gt;&lt;contributors&gt;&lt;authors&gt;&lt;author&gt;Ainsworth, B. E.&lt;/author&gt;&lt;author&gt;Haskell, W. L.&lt;/author&gt;&lt;author&gt;Herrmann, S. D.&lt;/author&gt;&lt;author&gt;Meckes, N.&lt;/author&gt;&lt;author&gt;Bassett, D. R., Jr.&lt;/author&gt;&lt;author&gt;Tudor-Locke, C.&lt;/author&gt;&lt;author&gt;Greer, J. L.&lt;/author&gt;&lt;author&gt;Vezina, J.&lt;/author&gt;&lt;author&gt;Whitt-Glover, M. C.&lt;/author&gt;&lt;author&gt;Leon, A. S.&lt;/author&gt;&lt;/authors&gt;&lt;/contributors&gt;&lt;auth-address&gt;Exercise and Wellness Program, School of Nutrition and Health Promotion, Arizona State University, Phoenix, AZ 85004, USA. Barbara.Ainsworth@asu.edu&lt;/auth-address&gt;&lt;titles&gt;&lt;title&gt;2011 Compendium of Physical Activities: a second update of codes and MET values&lt;/title&gt;&lt;secondary-title&gt;Med Sci Sports Exerc&lt;/secondary-title&gt;&lt;/titles&gt;&lt;periodical&gt;&lt;full-title&gt;Med Sci Sports Exerc&lt;/full-title&gt;&lt;/periodical&gt;&lt;pages&gt;1575-81&lt;/pages&gt;&lt;volume&gt;43&lt;/volume&gt;&lt;number&gt;8&lt;/number&gt;&lt;keywords&gt;&lt;keyword&gt;Activities of Daily Living/classification&lt;/keyword&gt;&lt;keyword&gt;Adult&lt;/keyword&gt;&lt;keyword&gt;*Clinical Coding&lt;/keyword&gt;&lt;keyword&gt;Data Collection/classification&lt;/keyword&gt;&lt;keyword&gt;Energy Metabolism&lt;/keyword&gt;&lt;keyword&gt;Female&lt;/keyword&gt;&lt;keyword&gt;Humans&lt;/keyword&gt;&lt;keyword&gt;Male&lt;/keyword&gt;&lt;keyword&gt;Middle Aged&lt;/keyword&gt;&lt;keyword&gt;*Motor Activity&lt;/keyword&gt;&lt;keyword&gt;Young Adult&lt;/keyword&gt;&lt;/keywords&gt;&lt;dates&gt;&lt;year&gt;2011&lt;/year&gt;&lt;pub-dates&gt;&lt;date&gt;Aug&lt;/date&gt;&lt;/pub-dates&gt;&lt;/dates&gt;&lt;isbn&gt;0195-9131&lt;/isbn&gt;&lt;accession-num&gt;21681120&lt;/accession-num&gt;&lt;urls&gt;&lt;/urls&gt;&lt;electronic-resource-num&gt;10.1249/MSS.0b013e31821ece12&lt;/electronic-resource-num&gt;&lt;remote-database-provider&gt;NLM&lt;/remote-database-provider&gt;&lt;language&gt;eng&lt;/language&gt;&lt;/record&gt;&lt;/Cite&gt;&lt;/EndNote&gt;</w:instrText>
      </w:r>
      <w:r w:rsidR="00276EC1">
        <w:rPr>
          <w:rFonts w:ascii="Times New Roman" w:hAnsi="Times New Roman"/>
          <w:sz w:val="20"/>
          <w:szCs w:val="20"/>
          <w:lang w:val="en-GB"/>
        </w:rPr>
        <w:fldChar w:fldCharType="separate"/>
      </w:r>
      <w:r w:rsidR="00DF31AF">
        <w:rPr>
          <w:rFonts w:ascii="Times New Roman" w:hAnsi="Times New Roman"/>
          <w:noProof/>
          <w:sz w:val="20"/>
          <w:szCs w:val="20"/>
          <w:lang w:val="en-GB"/>
        </w:rPr>
        <w:t>[2]</w:t>
      </w:r>
      <w:r w:rsidR="00276EC1">
        <w:rPr>
          <w:rFonts w:ascii="Times New Roman" w:hAnsi="Times New Roman"/>
          <w:sz w:val="20"/>
          <w:szCs w:val="20"/>
          <w:lang w:val="en-GB"/>
        </w:rPr>
        <w:fldChar w:fldCharType="end"/>
      </w:r>
      <w:r w:rsidR="00276EC1">
        <w:rPr>
          <w:rFonts w:ascii="Times New Roman" w:hAnsi="Times New Roman"/>
          <w:sz w:val="20"/>
          <w:szCs w:val="20"/>
          <w:lang w:val="en-GB"/>
        </w:rPr>
        <w:t xml:space="preserve"> </w:t>
      </w:r>
      <w:r w:rsidRPr="00C01C53">
        <w:rPr>
          <w:rFonts w:ascii="Times New Roman" w:hAnsi="Times New Roman"/>
          <w:sz w:val="20"/>
          <w:szCs w:val="20"/>
          <w:lang w:val="en-GB"/>
        </w:rPr>
        <w:t xml:space="preserve">. With the age of the participant taken into account, activities were divided into light, moderate and vigorous activities. Outcome of the SQUASH questionnaire is the total hours of PA per week as well as the total hours of light, MVPA per week and a combination of the latter two. Additionally, the amount of activity in each of the four domains can be assessed. Moreover, it allows to determine whether a participant complies with the minimal recommended amount of MVPA of 150 min/week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&lt;EndNote&gt;&lt;Cite&gt;&lt;Year&gt;2020&lt;/Year&gt;&lt;RecNum&gt;1&lt;/RecNum&gt;&lt;DisplayText&gt;[3]&lt;/DisplayText&gt;&lt;record&gt;&lt;rec-number&gt;1&lt;/rec-number&gt;&lt;foreign-keys&gt;&lt;key app="EN" db-id="rtevvp5tazzf91ezpscx0v55adpzf0evxfwp" timestamp="1692694764"&gt;1&lt;/key&gt;&lt;/foreign-keys&gt;&lt;ref-type name="Book Section"&gt;5&lt;/ref-type&gt;&lt;contributors&gt;&lt;/contributors&gt;&lt;titles&gt;&lt;title&gt;WHO Guidelines Approved by the Guidelines Review Committee&lt;/title&gt;&lt;secondary-title&gt;WHO Guidelines on Physical Activity and Sedentary Behaviour&lt;/secondary-title&gt;&lt;/titles&gt;&lt;dates&gt;&lt;year&gt;2020&lt;/year&gt;&lt;/dates&gt;&lt;pub-location&gt;Geneva&lt;/pub-location&gt;&lt;publisher&gt;World Health Organization&amp;#xD;© World Health Organization 2020.&lt;/publisher&gt;&lt;accession-num&gt;33369898&lt;/accession-num&gt;&lt;urls&gt;&lt;/urls&gt;&lt;language&gt;eng&lt;/language&gt;&lt;/record&gt;&lt;/Cite&gt;&lt;/EndNote&gt;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[3]</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w:t>
      </w:r>
    </w:p>
    <w:p w14:paraId="13139051" w14:textId="376EF1FA" w:rsidR="0094754D" w:rsidRPr="00C01C53" w:rsidRDefault="007D372E" w:rsidP="0094754D">
      <w:pPr>
        <w:pStyle w:val="Default"/>
        <w:jc w:val="both"/>
        <w:rPr>
          <w:rFonts w:ascii="Times New Roman" w:hAnsi="Times New Roman"/>
          <w:i/>
          <w:sz w:val="20"/>
          <w:szCs w:val="20"/>
          <w:lang w:val="en-GB"/>
        </w:rPr>
      </w:pPr>
      <w:r>
        <w:rPr>
          <w:rFonts w:ascii="Times New Roman" w:hAnsi="Times New Roman"/>
          <w:i/>
          <w:sz w:val="20"/>
          <w:szCs w:val="20"/>
          <w:lang w:val="en-GB"/>
        </w:rPr>
        <w:br/>
      </w:r>
      <w:r w:rsidR="0094754D" w:rsidRPr="00C01C53">
        <w:rPr>
          <w:rFonts w:ascii="Times New Roman" w:hAnsi="Times New Roman"/>
          <w:i/>
          <w:sz w:val="20"/>
          <w:szCs w:val="20"/>
          <w:lang w:val="en-GB"/>
        </w:rPr>
        <w:t xml:space="preserve">Sedentary behaviour </w:t>
      </w:r>
    </w:p>
    <w:p w14:paraId="70942480" w14:textId="6E3B68D3" w:rsidR="0094754D" w:rsidRPr="00C01C53" w:rsidRDefault="0094754D" w:rsidP="0094754D">
      <w:pPr>
        <w:pStyle w:val="Default"/>
        <w:jc w:val="both"/>
        <w:rPr>
          <w:rFonts w:ascii="Times New Roman" w:hAnsi="Times New Roman"/>
          <w:sz w:val="20"/>
          <w:szCs w:val="20"/>
          <w:lang w:val="en-GB"/>
        </w:rPr>
      </w:pPr>
      <w:r w:rsidRPr="00C01C53">
        <w:rPr>
          <w:rFonts w:ascii="Times New Roman" w:hAnsi="Times New Roman"/>
          <w:sz w:val="20"/>
          <w:szCs w:val="20"/>
          <w:lang w:val="en-GB"/>
        </w:rPr>
        <w:t xml:space="preserve">The Marshall sitting questionnaire determines the sedentary time (minutes per day) for a weekday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&lt;EndNote&gt;&lt;Cite&gt;&lt;Author&gt;Marshall&lt;/Author&gt;&lt;Year&gt;2010&lt;/Year&gt;&lt;RecNum&gt;10&lt;/RecNum&gt;&lt;DisplayText&gt;[4]&lt;/DisplayText&gt;&lt;record&gt;&lt;rec-number&gt;10&lt;/rec-number&gt;&lt;foreign-keys&gt;&lt;key app="EN" db-id="s0sws9t5cx9w98ee0xn5ezf9wd9dta25fwt0" timestamp="1675174443"&gt;10&lt;/key&gt;&lt;/foreign-keys&gt;&lt;ref-type name="Journal Article"&gt;17&lt;/ref-type&gt;&lt;contributors&gt;&lt;authors&gt;&lt;author&gt;Marshall, A. L.&lt;/author&gt;&lt;author&gt;Miller, Y. D.&lt;/author&gt;&lt;author&gt;Burton, N. W.&lt;/author&gt;&lt;author&gt;Brown, W. J.&lt;/author&gt;&lt;/authors&gt;&lt;/contributors&gt;&lt;auth-address&gt;School of Public Health, Queensland University of Technology, Brisbane, Australia. alison.marshall@qut.edu.au&lt;/auth-address&gt;&lt;titles&gt;&lt;title&gt;Measuring total and domain-specific sitting: a study of reliability and validity&lt;/title&gt;&lt;secondary-title&gt;Med Sci Sports Exerc&lt;/secondary-title&gt;&lt;/titles&gt;&lt;periodical&gt;&lt;full-title&gt;Med Sci Sports Exerc&lt;/full-title&gt;&lt;/periodical&gt;&lt;pages&gt;1094-102&lt;/pages&gt;&lt;volume&gt;42&lt;/volume&gt;&lt;number&gt;6&lt;/number&gt;&lt;keywords&gt;&lt;keyword&gt;Aged&lt;/keyword&gt;&lt;keyword&gt;Female&lt;/keyword&gt;&lt;keyword&gt;Humans&lt;/keyword&gt;&lt;keyword&gt;Leisure Activities/*classification&lt;/keyword&gt;&lt;keyword&gt;Male&lt;/keyword&gt;&lt;keyword&gt;Medical Records&lt;/keyword&gt;&lt;keyword&gt;Middle Aged&lt;/keyword&gt;&lt;keyword&gt;Monitoring, Ambulatory&lt;/keyword&gt;&lt;keyword&gt;*Sedentary Behavior&lt;/keyword&gt;&lt;keyword&gt;*Surveys and Questionnaires&lt;/keyword&gt;&lt;/keywords&gt;&lt;dates&gt;&lt;year&gt;2010&lt;/year&gt;&lt;pub-dates&gt;&lt;date&gt;Jun&lt;/date&gt;&lt;/pub-dates&gt;&lt;/dates&gt;&lt;isbn&gt;0195-9131&lt;/isbn&gt;&lt;accession-num&gt;19997030&lt;/accession-num&gt;&lt;urls&gt;&lt;/urls&gt;&lt;electronic-resource-num&gt;10.1249/MSS.0b013e3181c5ec18&lt;/electronic-resource-num&gt;&lt;remote-database-provider&gt;NLM&lt;/remote-database-provider&gt;&lt;language&gt;eng&lt;/language&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[4]</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The questionnaire has five items of sitting time spent per day: traveling, work, watching television, using a computer and during leisure time. Participants were asked to fill out the amount of hours and minutes per day they spent in the different domains for a weekday and for a day in the weekend. Total sitting time per day is calculated by adding all the hours and minutes of sitting in the different domains. In this study, a weekday was used because, according to Marshall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&lt;EndNote&gt;&lt;Cite&gt;&lt;Author&gt;Marshall&lt;/Author&gt;&lt;Year&gt;2010&lt;/Year&gt;&lt;RecNum&gt;10&lt;/RecNum&gt;&lt;DisplayText&gt;[4]&lt;/DisplayText&gt;&lt;record&gt;&lt;rec-number&gt;10&lt;/rec-number&gt;&lt;foreign-keys&gt;&lt;key app="EN" db-id="s0sws9t5cx9w98ee0xn5ezf9wd9dta25fwt0" timestamp="1675174443"&gt;10&lt;/key&gt;&lt;/foreign-keys&gt;&lt;ref-type name="Journal Article"&gt;17&lt;/ref-type&gt;&lt;contributors&gt;&lt;authors&gt;&lt;author&gt;Marshall, A. L.&lt;/author&gt;&lt;author&gt;Miller, Y. D.&lt;/author&gt;&lt;author&gt;Burton, N. W.&lt;/author&gt;&lt;author&gt;Brown, W. J.&lt;/author&gt;&lt;/authors&gt;&lt;/contributors&gt;&lt;auth-address&gt;School of Public Health, Queensland University of Technology, Brisbane, Australia. alison.marshall@qut.edu.au&lt;/auth-address&gt;&lt;titles&gt;&lt;title&gt;Measuring total and domain-specific sitting: a study of reliability and validity&lt;/title&gt;&lt;secondary-title&gt;Med Sci Sports Exerc&lt;/secondary-title&gt;&lt;/titles&gt;&lt;periodical&gt;&lt;full-title&gt;Med Sci Sports Exerc&lt;/full-title&gt;&lt;/periodical&gt;&lt;pages&gt;1094-102&lt;/pages&gt;&lt;volume&gt;42&lt;/volume&gt;&lt;number&gt;6&lt;/number&gt;&lt;keywords&gt;&lt;keyword&gt;Aged&lt;/keyword&gt;&lt;keyword&gt;Female&lt;/keyword&gt;&lt;keyword&gt;Humans&lt;/keyword&gt;&lt;keyword&gt;Leisure Activities/*classification&lt;/keyword&gt;&lt;keyword&gt;Male&lt;/keyword&gt;&lt;keyword&gt;Medical Records&lt;/keyword&gt;&lt;keyword&gt;Middle Aged&lt;/keyword&gt;&lt;keyword&gt;Monitoring, Ambulatory&lt;/keyword&gt;&lt;keyword&gt;*Sedentary Behavior&lt;/keyword&gt;&lt;keyword&gt;*Surveys and Questionnaires&lt;/keyword&gt;&lt;/keywords&gt;&lt;dates&gt;&lt;year&gt;2010&lt;/year&gt;&lt;pub-dates&gt;&lt;date&gt;Jun&lt;/date&gt;&lt;/pub-dates&gt;&lt;/dates&gt;&lt;isbn&gt;0195-9131&lt;/isbn&gt;&lt;accession-num&gt;19997030&lt;/accession-num&gt;&lt;urls&gt;&lt;/urls&gt;&lt;electronic-resource-num&gt;10.1249/MSS.0b013e3181c5ec18&lt;/electronic-resource-num&gt;&lt;remote-database-provider&gt;NLM&lt;/remote-database-provider&gt;&lt;language&gt;eng&lt;/language&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[4]</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measurement properties are acceptable for a weekday because activities are likely to be more routine compared to a day in the weekend. </w:t>
      </w:r>
    </w:p>
    <w:p w14:paraId="052BE0B7" w14:textId="4D57124B" w:rsidR="0013561C" w:rsidRPr="00C01C53" w:rsidRDefault="007D372E" w:rsidP="0013561C">
      <w:pPr>
        <w:pStyle w:val="Default"/>
        <w:jc w:val="both"/>
        <w:rPr>
          <w:rFonts w:ascii="Times New Roman" w:hAnsi="Times New Roman"/>
          <w:i/>
          <w:sz w:val="20"/>
          <w:szCs w:val="20"/>
          <w:lang w:val="en-GB"/>
        </w:rPr>
      </w:pPr>
      <w:r>
        <w:rPr>
          <w:rFonts w:ascii="Times New Roman" w:hAnsi="Times New Roman"/>
          <w:i/>
          <w:sz w:val="20"/>
          <w:szCs w:val="20"/>
          <w:lang w:val="en-GB"/>
        </w:rPr>
        <w:br/>
      </w:r>
      <w:r w:rsidR="0013561C" w:rsidRPr="00C01C53">
        <w:rPr>
          <w:rFonts w:ascii="Times New Roman" w:hAnsi="Times New Roman"/>
          <w:i/>
          <w:sz w:val="20"/>
          <w:szCs w:val="20"/>
          <w:lang w:val="en-GB"/>
        </w:rPr>
        <w:t>Health-related quality of life and stress</w:t>
      </w:r>
    </w:p>
    <w:p w14:paraId="7F58851F" w14:textId="25988535" w:rsidR="0013561C" w:rsidRPr="00C01C53" w:rsidRDefault="0013561C" w:rsidP="0013561C">
      <w:pPr>
        <w:pStyle w:val="Default"/>
        <w:jc w:val="both"/>
        <w:rPr>
          <w:rFonts w:ascii="Times New Roman" w:hAnsi="Times New Roman"/>
          <w:sz w:val="20"/>
          <w:szCs w:val="20"/>
          <w:lang w:val="en-GB"/>
        </w:rPr>
      </w:pPr>
      <w:proofErr w:type="spellStart"/>
      <w:r w:rsidRPr="00C01C53">
        <w:rPr>
          <w:rFonts w:ascii="Times New Roman" w:hAnsi="Times New Roman"/>
          <w:sz w:val="20"/>
          <w:szCs w:val="20"/>
          <w:lang w:val="en-GB"/>
        </w:rPr>
        <w:t>HRQoL</w:t>
      </w:r>
      <w:proofErr w:type="spellEnd"/>
      <w:r w:rsidRPr="00C01C53">
        <w:rPr>
          <w:rFonts w:ascii="Times New Roman" w:hAnsi="Times New Roman"/>
          <w:sz w:val="20"/>
          <w:szCs w:val="20"/>
          <w:lang w:val="en-GB"/>
        </w:rPr>
        <w:t xml:space="preserve"> was assessed by using the Health Survey short form (SF-36)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&lt;EndNote&gt;&lt;Cite&gt;&lt;Author&gt;Aaronson&lt;/Author&gt;&lt;Year&gt;1998&lt;/Year&gt;&lt;RecNum&gt;24&lt;/RecNum&gt;&lt;DisplayText&gt;[5]&lt;/DisplayText&gt;&lt;record&gt;&lt;rec-number&gt;24&lt;/rec-number&gt;&lt;foreign-keys&gt;&lt;key app="EN" db-id="s0sws9t5cx9w98ee0xn5ezf9wd9dta25fwt0" timestamp="1692695055"&gt;24&lt;/key&gt;&lt;/foreign-keys&gt;&lt;ref-type name="Journal Article"&gt;17&lt;/ref-type&gt;&lt;contributors&gt;&lt;authors&gt;&lt;author&gt;Aaronson, N. K.&lt;/author&gt;&lt;author&gt;Muller, M.&lt;/author&gt;&lt;author&gt;Cohen, P. D.&lt;/author&gt;&lt;author&gt;Essink-Bot, M. L.&lt;/author&gt;&lt;author&gt;Fekkes, M.&lt;/author&gt;&lt;author&gt;Sanderman, R.&lt;/author&gt;&lt;author&gt;Sprangers, M. A.&lt;/author&gt;&lt;author&gt;te Velde, A.&lt;/author&gt;&lt;author&gt;Verrips, E.&lt;/author&gt;&lt;/authors&gt;&lt;/contributors&gt;&lt;auth-address&gt;Division of Psychosocial Research and Epidemiology, The Netherlands Cancer Institute, Amsterdam. naaron@nki.nl&lt;/auth-address&gt;&lt;titles&gt;&lt;title&gt;Translation, validation, and norming of the Dutch language version of the SF-36 Health Survey in community and chronic disease populations&lt;/title&gt;&lt;secondary-title&gt;J Clin Epidemiol&lt;/secondary-title&gt;&lt;/titles&gt;&lt;periodical&gt;&lt;full-title&gt;J Clin Epidemiol&lt;/full-title&gt;&lt;/periodical&gt;&lt;pages&gt;1055-68&lt;/pages&gt;&lt;volume&gt;51&lt;/volume&gt;&lt;number&gt;11&lt;/number&gt;&lt;keywords&gt;&lt;keyword&gt;Adolescent&lt;/keyword&gt;&lt;keyword&gt;Adult&lt;/keyword&gt;&lt;keyword&gt;Aged&lt;/keyword&gt;&lt;keyword&gt;Aged, 80 and over&lt;/keyword&gt;&lt;keyword&gt;Cross-Cultural Comparison&lt;/keyword&gt;&lt;keyword&gt;Female&lt;/keyword&gt;&lt;keyword&gt;*Health Status Indicators&lt;/keyword&gt;&lt;keyword&gt;Humans&lt;/keyword&gt;&lt;keyword&gt;Male&lt;/keyword&gt;&lt;keyword&gt;Middle Aged&lt;/keyword&gt;&lt;keyword&gt;Netherlands/epidemiology&lt;/keyword&gt;&lt;keyword&gt;*Quality of Life&lt;/keyword&gt;&lt;keyword&gt;Reproducibility of Results&lt;/keyword&gt;&lt;keyword&gt;Surveys and Questionnaires&lt;/keyword&gt;&lt;keyword&gt;Translations&lt;/keyword&gt;&lt;/keywords&gt;&lt;dates&gt;&lt;year&gt;1998&lt;/year&gt;&lt;pub-dates&gt;&lt;date&gt;Nov&lt;/date&gt;&lt;/pub-dates&gt;&lt;/dates&gt;&lt;isbn&gt;0895-4356 (Print)&amp;#xD;0895-4356&lt;/isbn&gt;&lt;accession-num&gt;9817123&lt;/accession-num&gt;&lt;urls&gt;&lt;/urls&gt;&lt;electronic-resource-num&gt;10.1016/s0895-4356(98)00097-3&lt;/electronic-resource-num&gt;&lt;remote-database-provider&gt;NLM&lt;/remote-database-provider&gt;&lt;language&gt;eng&lt;/language&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[5]</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It consists of 36 items categorized into 8 different domains (emotional well-being, energy/fatigue, general health, role limitations due to emotional problems, role limitations due to physical health, physical functioning, social functioning). Outcome is on a 100-point scale in which a higher score indicates a better </w:t>
      </w:r>
      <w:proofErr w:type="spellStart"/>
      <w:r w:rsidRPr="00C01C53">
        <w:rPr>
          <w:rFonts w:ascii="Times New Roman" w:hAnsi="Times New Roman"/>
          <w:sz w:val="20"/>
          <w:szCs w:val="20"/>
          <w:lang w:val="en-GB"/>
        </w:rPr>
        <w:t>HRQoL</w:t>
      </w:r>
      <w:proofErr w:type="spellEnd"/>
      <w:r w:rsidRPr="00C01C53">
        <w:rPr>
          <w:rFonts w:ascii="Times New Roman" w:hAnsi="Times New Roman"/>
          <w:sz w:val="20"/>
          <w:szCs w:val="20"/>
          <w:lang w:val="en-GB"/>
        </w:rPr>
        <w:t xml:space="preserve">. </w:t>
      </w:r>
    </w:p>
    <w:p w14:paraId="01F802C2" w14:textId="0FC307F9" w:rsidR="0013561C" w:rsidRPr="00C01C53" w:rsidRDefault="0013561C" w:rsidP="0013561C">
      <w:pPr>
        <w:pStyle w:val="Default"/>
        <w:jc w:val="both"/>
        <w:rPr>
          <w:rFonts w:ascii="Times New Roman" w:hAnsi="Times New Roman"/>
          <w:sz w:val="20"/>
          <w:szCs w:val="20"/>
          <w:lang w:val="en-GB"/>
        </w:rPr>
      </w:pPr>
      <w:r w:rsidRPr="00C01C53">
        <w:rPr>
          <w:rFonts w:ascii="Times New Roman" w:hAnsi="Times New Roman"/>
          <w:sz w:val="20"/>
          <w:szCs w:val="20"/>
          <w:lang w:val="en-GB"/>
        </w:rPr>
        <w:t xml:space="preserve">The List of Threatening Experiences (LTE)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&lt;EndNote&gt;&lt;Cite&gt;&lt;Author&gt;Brugha&lt;/Author&gt;&lt;Year&gt;1990&lt;/Year&gt;&lt;RecNum&gt;26&lt;/RecNum&gt;&lt;DisplayText&gt;[6]&lt;/DisplayText&gt;&lt;record&gt;&lt;rec-number&gt;26&lt;/rec-number&gt;&lt;foreign-keys&gt;&lt;key app="EN" db-id="s0sws9t5cx9w98ee0xn5ezf9wd9dta25fwt0" timestamp="1692697608"&gt;26&lt;/key&gt;&lt;/foreign-keys&gt;&lt;ref-type name="Journal Article"&gt;17&lt;/ref-type&gt;&lt;contributors&gt;&lt;authors&gt;&lt;author&gt;Brugha, T. S.&lt;/author&gt;&lt;author&gt;Cragg, D.&lt;/author&gt;&lt;/authors&gt;&lt;/contributors&gt;&lt;auth-address&gt;Department of Psychiatry, University of Leicester, United Kingdom.&lt;/auth-address&gt;&lt;titles&gt;&lt;title&gt;The List of Threatening Experiences: the reliability and validity of a brief life events questionnaire&lt;/title&gt;&lt;secondary-title&gt;Acta Psychiatr Scand&lt;/secondary-title&gt;&lt;/titles&gt;&lt;periodical&gt;&lt;full-title&gt;Acta Psychiatr Scand&lt;/full-title&gt;&lt;/periodical&gt;&lt;pages&gt;77-81&lt;/pages&gt;&lt;volume&gt;82&lt;/volume&gt;&lt;number&gt;1&lt;/number&gt;&lt;keywords&gt;&lt;keyword&gt;England&lt;/keyword&gt;&lt;keyword&gt;Humans&lt;/keyword&gt;&lt;keyword&gt;*Life Change Events&lt;/keyword&gt;&lt;keyword&gt;Mental Disorders/psychology&lt;/keyword&gt;&lt;keyword&gt;*Personality Inventory&lt;/keyword&gt;&lt;keyword&gt;Psychiatric Department, Hospital&lt;/keyword&gt;&lt;keyword&gt;Psychometrics&lt;/keyword&gt;&lt;keyword&gt;Reproducibility of Results&lt;/keyword&gt;&lt;/keywords&gt;&lt;dates&gt;&lt;year&gt;1990&lt;/year&gt;&lt;pub-dates&gt;&lt;date&gt;Jul&lt;/date&gt;&lt;/pub-dates&gt;&lt;/dates&gt;&lt;isbn&gt;0001-690X (Print)&amp;#xD;0001-690x&lt;/isbn&gt;&lt;accession-num&gt;2399824&lt;/accession-num&gt;&lt;urls&gt;&lt;/urls&gt;&lt;electronic-resource-num&gt;10.1111/j.1600-0447.1990.tb01360.x&lt;/electronic-resource-num&gt;&lt;remote-database-provider&gt;NLM&lt;/remote-database-provider&gt;&lt;language&gt;eng&lt;/language&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[6]</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and the Long-term Difficulties Inventory (LDI) </w:t>
      </w:r>
      <w:r w:rsidRPr="00C01C53">
        <w:rPr>
          <w:rFonts w:ascii="Times New Roman" w:hAnsi="Times New Roman"/>
          <w:sz w:val="20"/>
          <w:szCs w:val="20"/>
          <w:lang w:val="en-GB"/>
        </w:rPr>
        <w:fldChar w:fldCharType="begin"/>
      </w:r>
      <w:r w:rsidR="00DF31AF">
        <w:rPr>
          <w:rFonts w:ascii="Times New Roman" w:hAnsi="Times New Roman"/>
          <w:sz w:val="20"/>
          <w:szCs w:val="20"/>
          <w:lang w:val="en-GB"/>
        </w:rPr>
        <w:instrText xml:space="preserve"> ADDIN EN.CITE &lt;EndNote&gt;&lt;Cite&gt;&lt;Author&gt;Hendriks&lt;/Author&gt;&lt;Year&gt;1990&lt;/Year&gt;&lt;RecNum&gt;28&lt;/RecNum&gt;&lt;DisplayText&gt;[7]&lt;/DisplayText&gt;&lt;record&gt;&lt;rec-number&gt;28&lt;/rec-number&gt;&lt;foreign-keys&gt;&lt;key app="EN" db-id="s0sws9t5cx9w98ee0xn5ezf9wd9dta25fwt0" timestamp="1692697871"&gt;28&lt;/key&gt;&lt;/foreign-keys&gt;&lt;ref-type name="Journal Article"&gt;17&lt;/ref-type&gt;&lt;contributors&gt;&lt;authors&gt;&lt;author&gt;Hendriks, AAJ&lt;/author&gt;&lt;author&gt;Ormel, J&lt;/author&gt;&lt;author&gt;van de Willige, G&lt;/author&gt;&lt;/authors&gt;&lt;/contributors&gt;&lt;titles&gt;&lt;title&gt;Long-term difficulties measured by a self-report questionnaire and semi-structured interview: a comparison of methods&lt;/title&gt;&lt;secondary-title&gt;Gedrag en Gezondheid&lt;/secondary-title&gt;&lt;/titles&gt;&lt;periodical&gt;&lt;full-title&gt;Gedrag en Gezondheid&lt;/full-title&gt;&lt;/periodical&gt;&lt;pages&gt;273-283&lt;/pages&gt;&lt;volume&gt;18&lt;/volume&gt;&lt;dates&gt;&lt;year&gt;1990&lt;/year&gt;&lt;/dates&gt;&lt;urls&gt;&lt;/urls&gt;&lt;/record&gt;&lt;/Cite&gt;&lt;/EndNote&gt;</w:instrText>
      </w:r>
      <w:r w:rsidRPr="00C01C53">
        <w:rPr>
          <w:rFonts w:ascii="Times New Roman" w:hAnsi="Times New Roman"/>
          <w:sz w:val="20"/>
          <w:szCs w:val="20"/>
          <w:lang w:val="en-GB"/>
        </w:rPr>
        <w:fldChar w:fldCharType="separate"/>
      </w:r>
      <w:r w:rsidR="00DF31AF">
        <w:rPr>
          <w:rFonts w:ascii="Times New Roman" w:hAnsi="Times New Roman"/>
          <w:noProof/>
          <w:sz w:val="20"/>
          <w:szCs w:val="20"/>
          <w:lang w:val="en-GB"/>
        </w:rPr>
        <w:t>[7]</w:t>
      </w:r>
      <w:r w:rsidRPr="00C01C53">
        <w:rPr>
          <w:rFonts w:ascii="Times New Roman" w:hAnsi="Times New Roman"/>
          <w:sz w:val="20"/>
          <w:szCs w:val="20"/>
          <w:lang w:val="en-GB"/>
        </w:rPr>
        <w:fldChar w:fldCharType="end"/>
      </w:r>
      <w:r w:rsidRPr="00C01C53">
        <w:rPr>
          <w:rFonts w:ascii="Times New Roman" w:hAnsi="Times New Roman"/>
          <w:sz w:val="20"/>
          <w:szCs w:val="20"/>
          <w:lang w:val="en-GB"/>
        </w:rPr>
        <w:t xml:space="preserve"> determines the occurrence of stressful life events and the amount of chronic stress in the last 12 months, respectively. With the LTE, participants have to indicate if a certain life event occurred. The questionnaire consists of 12 items and a higher score means that more life events occurred. The LDI uses 12 questions about life aspects, where participants have to indicate how stressful these life aspects were. The score ranges from 0-24, and a higher score indicates more stress in the past 12 months. </w:t>
      </w:r>
    </w:p>
    <w:p w14:paraId="23B9C155" w14:textId="77777777" w:rsidR="006A0430" w:rsidRDefault="006A0430" w:rsidP="00B57714">
      <w:pPr>
        <w:jc w:val="both"/>
        <w:rPr>
          <w:b/>
          <w:lang w:val="en-GB"/>
        </w:rPr>
      </w:pPr>
      <w:r>
        <w:rPr>
          <w:b/>
          <w:lang w:val="en-GB"/>
        </w:rPr>
        <w:br/>
      </w:r>
    </w:p>
    <w:p w14:paraId="74DF4375" w14:textId="77777777" w:rsidR="00551F7D" w:rsidRDefault="006A0430" w:rsidP="006C2519">
      <w:pPr>
        <w:spacing w:after="160" w:line="259" w:lineRule="auto"/>
        <w:rPr>
          <w:b/>
          <w:lang w:val="en-GB"/>
        </w:rPr>
        <w:sectPr w:rsidR="00551F7D" w:rsidSect="00551F7D">
          <w:pgSz w:w="11906" w:h="16838"/>
          <w:pgMar w:top="1417" w:right="1417" w:bottom="1417" w:left="1417" w:header="708" w:footer="708" w:gutter="0"/>
          <w:cols w:space="708"/>
          <w:docGrid w:linePitch="360"/>
        </w:sectPr>
      </w:pPr>
      <w:r>
        <w:rPr>
          <w:b/>
          <w:lang w:val="en-GB"/>
        </w:rPr>
        <w:br w:type="page"/>
      </w:r>
    </w:p>
    <w:p w14:paraId="09F5B008" w14:textId="37A2F2A5" w:rsidR="00B57714" w:rsidRPr="0061089D" w:rsidRDefault="00B57714" w:rsidP="006C2519">
      <w:pPr>
        <w:spacing w:after="160" w:line="259" w:lineRule="auto"/>
        <w:rPr>
          <w:b/>
          <w:lang w:val="en-GB"/>
        </w:rPr>
      </w:pPr>
      <w:r w:rsidRPr="0061089D">
        <w:rPr>
          <w:b/>
          <w:lang w:val="en-GB"/>
        </w:rPr>
        <w:lastRenderedPageBreak/>
        <w:t xml:space="preserve">Table </w:t>
      </w:r>
      <w:r w:rsidR="00C34916">
        <w:rPr>
          <w:b/>
          <w:lang w:val="en-GB"/>
        </w:rPr>
        <w:t>S</w:t>
      </w:r>
      <w:r>
        <w:rPr>
          <w:b/>
          <w:lang w:val="en-GB"/>
        </w:rPr>
        <w:t>1</w:t>
      </w:r>
      <w:r w:rsidRPr="0061089D">
        <w:rPr>
          <w:b/>
          <w:lang w:val="en-GB"/>
        </w:rPr>
        <w:t>. Physical activity</w:t>
      </w:r>
      <w:r>
        <w:rPr>
          <w:b/>
          <w:lang w:val="en-GB"/>
        </w:rPr>
        <w:t xml:space="preserve"> and sedentary time of participants with and without </w:t>
      </w:r>
      <w:r w:rsidRPr="00190501">
        <w:rPr>
          <w:b/>
          <w:lang w:val="en-GB"/>
        </w:rPr>
        <w:t>R</w:t>
      </w:r>
      <w:r>
        <w:rPr>
          <w:b/>
          <w:lang w:val="en-GB"/>
        </w:rPr>
        <w:t>aynaud’s phenomenon</w:t>
      </w:r>
    </w:p>
    <w:tbl>
      <w:tblPr>
        <w:tblStyle w:val="Lichtearcering"/>
        <w:tblW w:w="13330" w:type="dxa"/>
        <w:tblBorders>
          <w:top w:val="none" w:sz="0" w:space="0" w:color="auto"/>
          <w:bottom w:val="none" w:sz="0" w:space="0" w:color="auto"/>
        </w:tblBorders>
        <w:tblLook w:val="04A0" w:firstRow="1" w:lastRow="0" w:firstColumn="1" w:lastColumn="0" w:noHBand="0" w:noVBand="1"/>
      </w:tblPr>
      <w:tblGrid>
        <w:gridCol w:w="4106"/>
        <w:gridCol w:w="3761"/>
        <w:gridCol w:w="4744"/>
        <w:gridCol w:w="719"/>
      </w:tblGrid>
      <w:tr w:rsidR="00B57714" w:rsidRPr="0061089D" w14:paraId="622A212B" w14:textId="77777777" w:rsidTr="00723E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none" w:sz="0" w:space="0" w:color="auto"/>
              <w:bottom w:val="single" w:sz="4" w:space="0" w:color="auto"/>
              <w:right w:val="none" w:sz="0" w:space="0" w:color="auto"/>
            </w:tcBorders>
            <w:noWrap/>
            <w:hideMark/>
          </w:tcPr>
          <w:p w14:paraId="316EE991" w14:textId="77777777" w:rsidR="00B57714" w:rsidRPr="0061089D" w:rsidRDefault="00B57714" w:rsidP="00723E9A">
            <w:pPr>
              <w:jc w:val="both"/>
              <w:rPr>
                <w:rFonts w:ascii="Calibri" w:eastAsia="Times New Roman" w:hAnsi="Calibri" w:cs="Times New Roman"/>
                <w:color w:val="000000"/>
                <w:lang w:val="en-GB"/>
              </w:rPr>
            </w:pPr>
          </w:p>
        </w:tc>
        <w:tc>
          <w:tcPr>
            <w:tcW w:w="3761" w:type="dxa"/>
            <w:tcBorders>
              <w:top w:val="single" w:sz="4" w:space="0" w:color="auto"/>
              <w:left w:val="none" w:sz="0" w:space="0" w:color="auto"/>
              <w:bottom w:val="single" w:sz="4" w:space="0" w:color="auto"/>
              <w:right w:val="none" w:sz="0" w:space="0" w:color="auto"/>
            </w:tcBorders>
            <w:noWrap/>
            <w:hideMark/>
          </w:tcPr>
          <w:p w14:paraId="07031E2B" w14:textId="77777777" w:rsidR="00B57714" w:rsidRPr="0061089D" w:rsidRDefault="00B57714" w:rsidP="00723E9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sidRPr="0061089D">
              <w:rPr>
                <w:rFonts w:ascii="Calibri" w:eastAsia="Times New Roman" w:hAnsi="Calibri" w:cs="Times New Roman"/>
                <w:color w:val="000000"/>
                <w:lang w:val="en-GB"/>
              </w:rPr>
              <w:t>Raynaud’s phenomenon</w:t>
            </w:r>
            <w:r>
              <w:rPr>
                <w:rFonts w:ascii="Calibri" w:eastAsia="Times New Roman" w:hAnsi="Calibri" w:cs="Times New Roman"/>
                <w:color w:val="000000"/>
                <w:lang w:val="en-GB"/>
              </w:rPr>
              <w:t xml:space="preserve"> (N=856)</w:t>
            </w:r>
          </w:p>
        </w:tc>
        <w:tc>
          <w:tcPr>
            <w:tcW w:w="4744" w:type="dxa"/>
            <w:tcBorders>
              <w:top w:val="single" w:sz="4" w:space="0" w:color="auto"/>
              <w:left w:val="none" w:sz="0" w:space="0" w:color="auto"/>
              <w:bottom w:val="single" w:sz="4" w:space="0" w:color="auto"/>
              <w:right w:val="none" w:sz="0" w:space="0" w:color="auto"/>
            </w:tcBorders>
            <w:noWrap/>
            <w:hideMark/>
          </w:tcPr>
          <w:p w14:paraId="1DA91DD5" w14:textId="77777777" w:rsidR="00B57714" w:rsidRPr="0061089D" w:rsidRDefault="00B57714" w:rsidP="00723E9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 xml:space="preserve">No </w:t>
            </w:r>
            <w:r w:rsidRPr="0061089D">
              <w:rPr>
                <w:rFonts w:ascii="Calibri" w:eastAsia="Times New Roman" w:hAnsi="Calibri" w:cs="Times New Roman"/>
                <w:color w:val="000000"/>
                <w:lang w:val="en-GB"/>
              </w:rPr>
              <w:t>Raynaud’s phenomenon</w:t>
            </w:r>
            <w:r>
              <w:rPr>
                <w:rFonts w:ascii="Calibri" w:eastAsia="Times New Roman" w:hAnsi="Calibri" w:cs="Times New Roman"/>
                <w:color w:val="000000"/>
                <w:lang w:val="en-GB"/>
              </w:rPr>
              <w:t xml:space="preserve"> (N=17570)</w:t>
            </w:r>
          </w:p>
        </w:tc>
        <w:tc>
          <w:tcPr>
            <w:tcW w:w="719" w:type="dxa"/>
            <w:tcBorders>
              <w:top w:val="single" w:sz="4" w:space="0" w:color="auto"/>
              <w:left w:val="none" w:sz="0" w:space="0" w:color="auto"/>
              <w:bottom w:val="single" w:sz="4" w:space="0" w:color="auto"/>
              <w:right w:val="none" w:sz="0" w:space="0" w:color="auto"/>
            </w:tcBorders>
          </w:tcPr>
          <w:p w14:paraId="7BEA2F6B" w14:textId="77777777" w:rsidR="00B57714" w:rsidRDefault="00B57714" w:rsidP="00723E9A">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p>
        </w:tc>
      </w:tr>
      <w:tr w:rsidR="00B57714" w:rsidRPr="0061089D" w14:paraId="54AA839A"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left w:val="none" w:sz="0" w:space="0" w:color="auto"/>
              <w:right w:val="none" w:sz="0" w:space="0" w:color="auto"/>
            </w:tcBorders>
            <w:noWrap/>
            <w:hideMark/>
          </w:tcPr>
          <w:p w14:paraId="05474DDC" w14:textId="77777777" w:rsidR="00B57714" w:rsidRPr="0061089D" w:rsidRDefault="00B57714" w:rsidP="00723E9A">
            <w:pPr>
              <w:jc w:val="both"/>
              <w:rPr>
                <w:rFonts w:ascii="Calibri" w:eastAsia="Times New Roman" w:hAnsi="Calibri" w:cs="Times New Roman"/>
                <w:color w:val="000000"/>
                <w:lang w:val="en-GB"/>
              </w:rPr>
            </w:pPr>
          </w:p>
        </w:tc>
        <w:tc>
          <w:tcPr>
            <w:tcW w:w="3761" w:type="dxa"/>
            <w:tcBorders>
              <w:top w:val="single" w:sz="4" w:space="0" w:color="auto"/>
              <w:left w:val="none" w:sz="0" w:space="0" w:color="auto"/>
              <w:right w:val="none" w:sz="0" w:space="0" w:color="auto"/>
            </w:tcBorders>
            <w:noWrap/>
          </w:tcPr>
          <w:p w14:paraId="1B829F3B"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GB"/>
              </w:rPr>
            </w:pPr>
            <w:r>
              <w:rPr>
                <w:rFonts w:ascii="Calibri" w:eastAsia="Times New Roman" w:hAnsi="Calibri" w:cs="Times New Roman"/>
                <w:b/>
                <w:bCs/>
                <w:color w:val="000000"/>
                <w:lang w:val="en-GB"/>
              </w:rPr>
              <w:t>Median (IQR)</w:t>
            </w:r>
          </w:p>
        </w:tc>
        <w:tc>
          <w:tcPr>
            <w:tcW w:w="4744" w:type="dxa"/>
            <w:tcBorders>
              <w:top w:val="single" w:sz="4" w:space="0" w:color="auto"/>
              <w:left w:val="none" w:sz="0" w:space="0" w:color="auto"/>
              <w:right w:val="none" w:sz="0" w:space="0" w:color="auto"/>
            </w:tcBorders>
            <w:noWrap/>
          </w:tcPr>
          <w:p w14:paraId="7D2357A6"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GB"/>
              </w:rPr>
            </w:pPr>
            <w:r>
              <w:rPr>
                <w:rFonts w:ascii="Calibri" w:eastAsia="Times New Roman" w:hAnsi="Calibri" w:cs="Times New Roman"/>
                <w:b/>
                <w:bCs/>
                <w:color w:val="000000"/>
                <w:lang w:val="en-GB"/>
              </w:rPr>
              <w:t>Median (IQR)</w:t>
            </w:r>
          </w:p>
        </w:tc>
        <w:tc>
          <w:tcPr>
            <w:tcW w:w="719" w:type="dxa"/>
            <w:tcBorders>
              <w:top w:val="single" w:sz="4" w:space="0" w:color="auto"/>
              <w:left w:val="none" w:sz="0" w:space="0" w:color="auto"/>
              <w:right w:val="none" w:sz="0" w:space="0" w:color="auto"/>
            </w:tcBorders>
          </w:tcPr>
          <w:p w14:paraId="4FE66481"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GB"/>
              </w:rPr>
            </w:pPr>
            <w:r w:rsidRPr="0061089D">
              <w:rPr>
                <w:rFonts w:ascii="Calibri" w:eastAsia="Times New Roman" w:hAnsi="Calibri" w:cs="Times New Roman"/>
                <w:b/>
                <w:bCs/>
                <w:color w:val="000000"/>
                <w:lang w:val="en-GB"/>
              </w:rPr>
              <w:t>p</w:t>
            </w:r>
          </w:p>
        </w:tc>
      </w:tr>
      <w:tr w:rsidR="00B57714" w:rsidRPr="00A45D16" w14:paraId="66564885"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C878383"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Total physical activity (min/week)</w:t>
            </w:r>
          </w:p>
        </w:tc>
        <w:tc>
          <w:tcPr>
            <w:tcW w:w="3761" w:type="dxa"/>
            <w:noWrap/>
          </w:tcPr>
          <w:p w14:paraId="65CD06E3" w14:textId="77777777" w:rsidR="00B57714" w:rsidRPr="00E336BC"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2580 (1555 – 3345)</w:t>
            </w:r>
          </w:p>
        </w:tc>
        <w:tc>
          <w:tcPr>
            <w:tcW w:w="4744" w:type="dxa"/>
            <w:noWrap/>
          </w:tcPr>
          <w:p w14:paraId="058E2B8E" w14:textId="77777777" w:rsidR="00B57714" w:rsidRPr="00E336BC"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2550 (1580 – 3340)</w:t>
            </w:r>
          </w:p>
        </w:tc>
        <w:tc>
          <w:tcPr>
            <w:tcW w:w="719" w:type="dxa"/>
          </w:tcPr>
          <w:p w14:paraId="3A298814" w14:textId="77777777" w:rsidR="00B57714"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.643</w:t>
            </w:r>
          </w:p>
        </w:tc>
      </w:tr>
      <w:tr w:rsidR="00B57714" w:rsidRPr="0061089D" w14:paraId="0DEBEEE4"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7290DAE"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Low physical activity (min/week)</w:t>
            </w:r>
          </w:p>
        </w:tc>
        <w:tc>
          <w:tcPr>
            <w:tcW w:w="3761" w:type="dxa"/>
            <w:noWrap/>
          </w:tcPr>
          <w:p w14:paraId="1CFE8D40"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1980 (1040 – 2848)</w:t>
            </w:r>
          </w:p>
        </w:tc>
        <w:tc>
          <w:tcPr>
            <w:tcW w:w="4744" w:type="dxa"/>
            <w:noWrap/>
          </w:tcPr>
          <w:p w14:paraId="6C7D9D33"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2070 (1110 – 2880)</w:t>
            </w:r>
          </w:p>
        </w:tc>
        <w:tc>
          <w:tcPr>
            <w:tcW w:w="719" w:type="dxa"/>
          </w:tcPr>
          <w:p w14:paraId="2A049C46"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sidRPr="0061089D">
              <w:rPr>
                <w:rFonts w:ascii="Calibri" w:eastAsia="Times New Roman" w:hAnsi="Calibri" w:cs="Times New Roman"/>
                <w:color w:val="000000"/>
                <w:lang w:val="en-GB"/>
              </w:rPr>
              <w:t>.118</w:t>
            </w:r>
          </w:p>
        </w:tc>
      </w:tr>
      <w:tr w:rsidR="00B57714" w:rsidRPr="0061089D" w14:paraId="64809168"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F3862EB"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Moderate physical activity (min/week)</w:t>
            </w:r>
          </w:p>
        </w:tc>
        <w:tc>
          <w:tcPr>
            <w:tcW w:w="3761" w:type="dxa"/>
            <w:noWrap/>
          </w:tcPr>
          <w:p w14:paraId="21378CCB"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180 (60 – 450)</w:t>
            </w:r>
          </w:p>
        </w:tc>
        <w:tc>
          <w:tcPr>
            <w:tcW w:w="4744" w:type="dxa"/>
            <w:noWrap/>
          </w:tcPr>
          <w:p w14:paraId="6B20FCCB"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180 (60 – 420)</w:t>
            </w:r>
          </w:p>
        </w:tc>
        <w:tc>
          <w:tcPr>
            <w:tcW w:w="719" w:type="dxa"/>
          </w:tcPr>
          <w:p w14:paraId="6B8EE8A9"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sidRPr="0061089D">
              <w:rPr>
                <w:rFonts w:ascii="Calibri" w:eastAsia="Times New Roman" w:hAnsi="Calibri" w:cs="Times New Roman"/>
                <w:color w:val="000000"/>
                <w:lang w:val="en-GB"/>
              </w:rPr>
              <w:t>.204</w:t>
            </w:r>
          </w:p>
        </w:tc>
      </w:tr>
      <w:tr w:rsidR="00B57714" w:rsidRPr="0061089D" w14:paraId="05FBA9BF"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right w:val="none" w:sz="0" w:space="0" w:color="auto"/>
            </w:tcBorders>
            <w:noWrap/>
          </w:tcPr>
          <w:p w14:paraId="33571FEB"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Vigorous physical activity (min/week)</w:t>
            </w:r>
          </w:p>
        </w:tc>
        <w:tc>
          <w:tcPr>
            <w:tcW w:w="3761" w:type="dxa"/>
            <w:tcBorders>
              <w:left w:val="none" w:sz="0" w:space="0" w:color="auto"/>
              <w:right w:val="none" w:sz="0" w:space="0" w:color="auto"/>
            </w:tcBorders>
            <w:noWrap/>
          </w:tcPr>
          <w:p w14:paraId="30704BBF"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45 (0 – 140)</w:t>
            </w:r>
          </w:p>
        </w:tc>
        <w:tc>
          <w:tcPr>
            <w:tcW w:w="4744" w:type="dxa"/>
            <w:tcBorders>
              <w:left w:val="none" w:sz="0" w:space="0" w:color="auto"/>
              <w:right w:val="none" w:sz="0" w:space="0" w:color="auto"/>
            </w:tcBorders>
            <w:noWrap/>
          </w:tcPr>
          <w:p w14:paraId="5F169BE7"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0 (0 – 120)</w:t>
            </w:r>
          </w:p>
        </w:tc>
        <w:tc>
          <w:tcPr>
            <w:tcW w:w="719" w:type="dxa"/>
            <w:tcBorders>
              <w:left w:val="none" w:sz="0" w:space="0" w:color="auto"/>
              <w:right w:val="none" w:sz="0" w:space="0" w:color="auto"/>
            </w:tcBorders>
          </w:tcPr>
          <w:p w14:paraId="0167CBA2"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val="en-GB"/>
              </w:rPr>
            </w:pPr>
            <w:r w:rsidRPr="0061089D">
              <w:rPr>
                <w:rFonts w:ascii="Calibri" w:eastAsia="Times New Roman" w:hAnsi="Calibri" w:cs="Times New Roman"/>
                <w:b/>
                <w:color w:val="000000"/>
                <w:lang w:val="en-GB"/>
              </w:rPr>
              <w:t>&lt;.001</w:t>
            </w:r>
          </w:p>
        </w:tc>
      </w:tr>
      <w:tr w:rsidR="00B57714" w:rsidRPr="0061089D" w14:paraId="78E1F97C"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2ABB817"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MVPA (min/week)</w:t>
            </w:r>
          </w:p>
        </w:tc>
        <w:tc>
          <w:tcPr>
            <w:tcW w:w="3761" w:type="dxa"/>
            <w:noWrap/>
          </w:tcPr>
          <w:p w14:paraId="30C21611"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300 (140 – 610)</w:t>
            </w:r>
          </w:p>
        </w:tc>
        <w:tc>
          <w:tcPr>
            <w:tcW w:w="4744" w:type="dxa"/>
            <w:noWrap/>
          </w:tcPr>
          <w:p w14:paraId="20D55E36"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 xml:space="preserve">255 (120 – 540) </w:t>
            </w:r>
          </w:p>
        </w:tc>
        <w:tc>
          <w:tcPr>
            <w:tcW w:w="719" w:type="dxa"/>
          </w:tcPr>
          <w:p w14:paraId="348BF926"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val="en-GB"/>
              </w:rPr>
            </w:pPr>
            <w:r w:rsidRPr="0061089D">
              <w:rPr>
                <w:rFonts w:ascii="Calibri" w:eastAsia="Times New Roman" w:hAnsi="Calibri" w:cs="Times New Roman"/>
                <w:b/>
                <w:color w:val="000000"/>
                <w:lang w:val="en-GB"/>
              </w:rPr>
              <w:t>&lt;.001</w:t>
            </w:r>
          </w:p>
        </w:tc>
      </w:tr>
      <w:tr w:rsidR="00B57714" w:rsidRPr="0061089D" w14:paraId="57023C7F"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right w:val="none" w:sz="0" w:space="0" w:color="auto"/>
            </w:tcBorders>
            <w:noWrap/>
          </w:tcPr>
          <w:p w14:paraId="102D07F8" w14:textId="77777777" w:rsidR="00B57714" w:rsidRPr="0061089D" w:rsidRDefault="00B57714" w:rsidP="00723E9A">
            <w:pPr>
              <w:jc w:val="both"/>
              <w:rPr>
                <w:rFonts w:ascii="Calibri" w:eastAsia="Times New Roman" w:hAnsi="Calibri" w:cs="Times New Roman"/>
                <w:color w:val="000000"/>
                <w:lang w:val="en-GB"/>
              </w:rPr>
            </w:pPr>
            <w:r>
              <w:rPr>
                <w:rFonts w:ascii="Calibri" w:eastAsia="Times New Roman" w:hAnsi="Calibri" w:cs="Times New Roman"/>
                <w:color w:val="000000"/>
                <w:lang w:val="en-GB"/>
              </w:rPr>
              <w:t>Commuting (min/week)</w:t>
            </w:r>
          </w:p>
        </w:tc>
        <w:tc>
          <w:tcPr>
            <w:tcW w:w="3761" w:type="dxa"/>
            <w:tcBorders>
              <w:left w:val="none" w:sz="0" w:space="0" w:color="auto"/>
              <w:right w:val="none" w:sz="0" w:space="0" w:color="auto"/>
            </w:tcBorders>
            <w:noWrap/>
          </w:tcPr>
          <w:p w14:paraId="2A975EFB"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15 (0 – 100)</w:t>
            </w:r>
          </w:p>
        </w:tc>
        <w:tc>
          <w:tcPr>
            <w:tcW w:w="4744" w:type="dxa"/>
            <w:tcBorders>
              <w:left w:val="none" w:sz="0" w:space="0" w:color="auto"/>
              <w:right w:val="none" w:sz="0" w:space="0" w:color="auto"/>
            </w:tcBorders>
            <w:noWrap/>
          </w:tcPr>
          <w:p w14:paraId="0C238B45"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5 (0 – 75)</w:t>
            </w:r>
          </w:p>
        </w:tc>
        <w:tc>
          <w:tcPr>
            <w:tcW w:w="719" w:type="dxa"/>
            <w:tcBorders>
              <w:left w:val="none" w:sz="0" w:space="0" w:color="auto"/>
              <w:right w:val="none" w:sz="0" w:space="0" w:color="auto"/>
            </w:tcBorders>
          </w:tcPr>
          <w:p w14:paraId="4AA27F80"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val="en-GB"/>
              </w:rPr>
            </w:pPr>
            <w:r w:rsidRPr="0061089D">
              <w:rPr>
                <w:rFonts w:ascii="Calibri" w:eastAsia="Times New Roman" w:hAnsi="Calibri" w:cs="Times New Roman"/>
                <w:b/>
                <w:color w:val="000000"/>
                <w:lang w:val="en-GB"/>
              </w:rPr>
              <w:t>&lt;.001</w:t>
            </w:r>
          </w:p>
        </w:tc>
      </w:tr>
      <w:tr w:rsidR="00B57714" w:rsidRPr="0061089D" w14:paraId="51D0B211"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BD7BCAA" w14:textId="77777777" w:rsidR="00B57714" w:rsidRPr="0061089D" w:rsidRDefault="00B57714" w:rsidP="00723E9A">
            <w:pPr>
              <w:jc w:val="both"/>
              <w:rPr>
                <w:rFonts w:ascii="Calibri" w:eastAsia="Times New Roman" w:hAnsi="Calibri" w:cs="Times New Roman"/>
                <w:color w:val="000000"/>
                <w:lang w:val="en-GB"/>
              </w:rPr>
            </w:pPr>
            <w:r>
              <w:rPr>
                <w:rFonts w:ascii="Calibri" w:eastAsia="Times New Roman" w:hAnsi="Calibri" w:cs="Times New Roman"/>
                <w:color w:val="000000"/>
                <w:lang w:val="en-GB"/>
              </w:rPr>
              <w:t>Work (min/week)</w:t>
            </w:r>
          </w:p>
        </w:tc>
        <w:tc>
          <w:tcPr>
            <w:tcW w:w="3761" w:type="dxa"/>
            <w:noWrap/>
          </w:tcPr>
          <w:p w14:paraId="6E6D8824"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900 (0 – 1680)</w:t>
            </w:r>
          </w:p>
        </w:tc>
        <w:tc>
          <w:tcPr>
            <w:tcW w:w="4744" w:type="dxa"/>
            <w:noWrap/>
          </w:tcPr>
          <w:p w14:paraId="7B0CCABB"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840 (0 – 1620)</w:t>
            </w:r>
          </w:p>
        </w:tc>
        <w:tc>
          <w:tcPr>
            <w:tcW w:w="719" w:type="dxa"/>
          </w:tcPr>
          <w:p w14:paraId="34CA594D" w14:textId="77777777" w:rsidR="00B57714" w:rsidRPr="0010127F"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lang w:val="en-GB"/>
              </w:rPr>
            </w:pPr>
            <w:r w:rsidRPr="0010127F">
              <w:rPr>
                <w:rFonts w:ascii="Calibri" w:eastAsia="Times New Roman" w:hAnsi="Calibri" w:cs="Times New Roman"/>
                <w:bCs/>
                <w:color w:val="000000"/>
                <w:lang w:val="en-GB"/>
              </w:rPr>
              <w:t>.240</w:t>
            </w:r>
          </w:p>
        </w:tc>
      </w:tr>
      <w:tr w:rsidR="00B57714" w:rsidRPr="0061089D" w14:paraId="5CBC47FC"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right w:val="none" w:sz="0" w:space="0" w:color="auto"/>
            </w:tcBorders>
            <w:noWrap/>
          </w:tcPr>
          <w:p w14:paraId="4E4C20E0" w14:textId="77777777" w:rsidR="00B57714" w:rsidRPr="0061089D" w:rsidRDefault="00B57714" w:rsidP="00723E9A">
            <w:pPr>
              <w:jc w:val="both"/>
              <w:rPr>
                <w:rFonts w:ascii="Calibri" w:eastAsia="Times New Roman" w:hAnsi="Calibri" w:cs="Times New Roman"/>
                <w:color w:val="000000"/>
                <w:lang w:val="en-GB"/>
              </w:rPr>
            </w:pPr>
            <w:r>
              <w:rPr>
                <w:rFonts w:ascii="Calibri" w:eastAsia="Times New Roman" w:hAnsi="Calibri" w:cs="Times New Roman"/>
                <w:color w:val="000000"/>
                <w:lang w:val="en-GB"/>
              </w:rPr>
              <w:t>Household (min/week)</w:t>
            </w:r>
          </w:p>
        </w:tc>
        <w:tc>
          <w:tcPr>
            <w:tcW w:w="3761" w:type="dxa"/>
            <w:tcBorders>
              <w:left w:val="none" w:sz="0" w:space="0" w:color="auto"/>
              <w:right w:val="none" w:sz="0" w:space="0" w:color="auto"/>
            </w:tcBorders>
            <w:noWrap/>
          </w:tcPr>
          <w:p w14:paraId="5995FE07"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840 (420 – 1380)</w:t>
            </w:r>
          </w:p>
        </w:tc>
        <w:tc>
          <w:tcPr>
            <w:tcW w:w="4744" w:type="dxa"/>
            <w:tcBorders>
              <w:left w:val="none" w:sz="0" w:space="0" w:color="auto"/>
              <w:right w:val="none" w:sz="0" w:space="0" w:color="auto"/>
            </w:tcBorders>
            <w:noWrap/>
          </w:tcPr>
          <w:p w14:paraId="6A3F2569"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900 (470 – 1530)</w:t>
            </w:r>
          </w:p>
        </w:tc>
        <w:tc>
          <w:tcPr>
            <w:tcW w:w="719" w:type="dxa"/>
            <w:tcBorders>
              <w:left w:val="none" w:sz="0" w:space="0" w:color="auto"/>
              <w:right w:val="none" w:sz="0" w:space="0" w:color="auto"/>
            </w:tcBorders>
          </w:tcPr>
          <w:p w14:paraId="138B294E"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val="en-GB"/>
              </w:rPr>
            </w:pPr>
            <w:r w:rsidRPr="0061089D">
              <w:rPr>
                <w:rFonts w:ascii="Calibri" w:eastAsia="Times New Roman" w:hAnsi="Calibri" w:cs="Times New Roman"/>
                <w:b/>
                <w:color w:val="000000"/>
                <w:lang w:val="en-GB"/>
              </w:rPr>
              <w:t>&lt;.001</w:t>
            </w:r>
          </w:p>
        </w:tc>
      </w:tr>
      <w:tr w:rsidR="00B57714" w:rsidRPr="0061089D" w14:paraId="2E1F3D99"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E2286A8" w14:textId="77777777" w:rsidR="00B57714" w:rsidRPr="0061089D" w:rsidRDefault="00B57714" w:rsidP="00723E9A">
            <w:pPr>
              <w:jc w:val="both"/>
              <w:rPr>
                <w:rFonts w:ascii="Calibri" w:eastAsia="Times New Roman" w:hAnsi="Calibri" w:cs="Times New Roman"/>
                <w:color w:val="000000"/>
                <w:lang w:val="en-GB"/>
              </w:rPr>
            </w:pPr>
            <w:r>
              <w:rPr>
                <w:rFonts w:ascii="Calibri" w:eastAsia="Times New Roman" w:hAnsi="Calibri" w:cs="Times New Roman"/>
                <w:color w:val="000000"/>
                <w:lang w:val="en-GB"/>
              </w:rPr>
              <w:t>Leisure time (min/week)</w:t>
            </w:r>
          </w:p>
        </w:tc>
        <w:tc>
          <w:tcPr>
            <w:tcW w:w="3761" w:type="dxa"/>
            <w:noWrap/>
          </w:tcPr>
          <w:p w14:paraId="4D94BB63"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390 (220 – 630)</w:t>
            </w:r>
          </w:p>
        </w:tc>
        <w:tc>
          <w:tcPr>
            <w:tcW w:w="4744" w:type="dxa"/>
            <w:noWrap/>
          </w:tcPr>
          <w:p w14:paraId="5DE5B56E" w14:textId="77777777" w:rsidR="00B57714" w:rsidRPr="0061089D"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360 (210 – 600)</w:t>
            </w:r>
          </w:p>
        </w:tc>
        <w:tc>
          <w:tcPr>
            <w:tcW w:w="719" w:type="dxa"/>
          </w:tcPr>
          <w:p w14:paraId="506E2F73" w14:textId="77777777" w:rsidR="00B57714" w:rsidRPr="0010127F"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lang w:val="en-GB"/>
              </w:rPr>
            </w:pPr>
            <w:r w:rsidRPr="0010127F">
              <w:rPr>
                <w:rFonts w:ascii="Calibri" w:eastAsia="Times New Roman" w:hAnsi="Calibri" w:cs="Times New Roman"/>
                <w:bCs/>
                <w:color w:val="000000"/>
                <w:lang w:val="en-GB"/>
              </w:rPr>
              <w:t>.057</w:t>
            </w:r>
          </w:p>
        </w:tc>
      </w:tr>
      <w:tr w:rsidR="00B57714" w:rsidRPr="0061089D" w14:paraId="498C2EF9" w14:textId="77777777" w:rsidTr="00723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tcBorders>
              <w:left w:val="none" w:sz="0" w:space="0" w:color="auto"/>
              <w:right w:val="none" w:sz="0" w:space="0" w:color="auto"/>
            </w:tcBorders>
            <w:noWrap/>
          </w:tcPr>
          <w:p w14:paraId="7F8AE2DB" w14:textId="77777777" w:rsidR="00B57714" w:rsidRPr="0061089D"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lang w:val="en-GB"/>
              </w:rPr>
              <w:t>Guidelines 150 min MVPA/week (%yes)</w:t>
            </w:r>
          </w:p>
        </w:tc>
        <w:tc>
          <w:tcPr>
            <w:tcW w:w="3761" w:type="dxa"/>
            <w:tcBorders>
              <w:left w:val="none" w:sz="0" w:space="0" w:color="auto"/>
              <w:right w:val="none" w:sz="0" w:space="0" w:color="auto"/>
            </w:tcBorders>
            <w:noWrap/>
          </w:tcPr>
          <w:p w14:paraId="0E2DE851"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sidRPr="0061089D">
              <w:rPr>
                <w:rFonts w:ascii="Calibri" w:eastAsia="Times New Roman" w:hAnsi="Calibri" w:cs="Times New Roman"/>
                <w:color w:val="000000"/>
                <w:lang w:val="en-GB"/>
              </w:rPr>
              <w:t>636 (74%)</w:t>
            </w:r>
          </w:p>
        </w:tc>
        <w:tc>
          <w:tcPr>
            <w:tcW w:w="4744" w:type="dxa"/>
            <w:tcBorders>
              <w:left w:val="none" w:sz="0" w:space="0" w:color="auto"/>
              <w:right w:val="none" w:sz="0" w:space="0" w:color="auto"/>
            </w:tcBorders>
            <w:noWrap/>
          </w:tcPr>
          <w:p w14:paraId="12362F8A"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GB"/>
              </w:rPr>
            </w:pPr>
            <w:r w:rsidRPr="0061089D">
              <w:rPr>
                <w:rFonts w:ascii="Calibri" w:eastAsia="Times New Roman" w:hAnsi="Calibri" w:cs="Times New Roman"/>
                <w:color w:val="000000"/>
                <w:lang w:val="en-GB"/>
              </w:rPr>
              <w:t>12213 (</w:t>
            </w:r>
            <w:r>
              <w:rPr>
                <w:rFonts w:ascii="Calibri" w:eastAsia="Times New Roman" w:hAnsi="Calibri" w:cs="Times New Roman"/>
                <w:color w:val="000000"/>
                <w:lang w:val="en-GB"/>
              </w:rPr>
              <w:t>70</w:t>
            </w:r>
            <w:r w:rsidRPr="0061089D">
              <w:rPr>
                <w:rFonts w:ascii="Calibri" w:eastAsia="Times New Roman" w:hAnsi="Calibri" w:cs="Times New Roman"/>
                <w:color w:val="000000"/>
                <w:lang w:val="en-GB"/>
              </w:rPr>
              <w:t>%)</w:t>
            </w:r>
          </w:p>
        </w:tc>
        <w:tc>
          <w:tcPr>
            <w:tcW w:w="719" w:type="dxa"/>
            <w:tcBorders>
              <w:left w:val="none" w:sz="0" w:space="0" w:color="auto"/>
              <w:right w:val="none" w:sz="0" w:space="0" w:color="auto"/>
            </w:tcBorders>
          </w:tcPr>
          <w:p w14:paraId="43CA78E1" w14:textId="77777777" w:rsidR="00B57714" w:rsidRPr="0061089D" w:rsidRDefault="00B57714" w:rsidP="00723E9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val="en-GB"/>
              </w:rPr>
            </w:pPr>
            <w:r w:rsidRPr="0061089D">
              <w:rPr>
                <w:rFonts w:ascii="Calibri" w:eastAsia="Times New Roman" w:hAnsi="Calibri" w:cs="Times New Roman"/>
                <w:b/>
                <w:color w:val="000000"/>
                <w:lang w:val="en-GB"/>
              </w:rPr>
              <w:t>.003</w:t>
            </w:r>
          </w:p>
        </w:tc>
      </w:tr>
      <w:tr w:rsidR="00B57714" w:rsidRPr="0061089D" w14:paraId="1601F449" w14:textId="77777777" w:rsidTr="00723E9A">
        <w:trPr>
          <w:trHeight w:val="300"/>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auto"/>
            </w:tcBorders>
            <w:noWrap/>
          </w:tcPr>
          <w:p w14:paraId="21F2DB21" w14:textId="77777777" w:rsidR="00B57714" w:rsidRDefault="00B57714" w:rsidP="00723E9A">
            <w:pPr>
              <w:jc w:val="both"/>
              <w:rPr>
                <w:rFonts w:ascii="Calibri" w:eastAsia="Times New Roman" w:hAnsi="Calibri" w:cs="Times New Roman"/>
                <w:color w:val="000000"/>
                <w:lang w:val="en-GB"/>
              </w:rPr>
            </w:pPr>
            <w:r w:rsidRPr="0061089D">
              <w:rPr>
                <w:rFonts w:ascii="Calibri" w:eastAsia="Times New Roman" w:hAnsi="Calibri" w:cs="Times New Roman"/>
                <w:color w:val="000000" w:themeColor="text1"/>
                <w:lang w:val="en-GB"/>
              </w:rPr>
              <w:t>Sitting weekday (min/day)</w:t>
            </w:r>
          </w:p>
        </w:tc>
        <w:tc>
          <w:tcPr>
            <w:tcW w:w="3761" w:type="dxa"/>
            <w:tcBorders>
              <w:bottom w:val="single" w:sz="4" w:space="0" w:color="auto"/>
            </w:tcBorders>
            <w:noWrap/>
          </w:tcPr>
          <w:p w14:paraId="7CCD3E34" w14:textId="77777777" w:rsidR="00B57714"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540 (360 – 720)</w:t>
            </w:r>
            <w:r>
              <w:rPr>
                <w:rFonts w:ascii="Calibri" w:eastAsia="Times New Roman" w:hAnsi="Calibri" w:cs="Calibri"/>
                <w:color w:val="000000"/>
                <w:lang w:val="en-GB"/>
              </w:rPr>
              <w:t>†</w:t>
            </w:r>
            <w:r>
              <w:rPr>
                <w:rFonts w:ascii="Calibri" w:eastAsia="Times New Roman" w:hAnsi="Calibri" w:cs="Times New Roman"/>
                <w:color w:val="000000"/>
                <w:lang w:val="en-GB"/>
              </w:rPr>
              <w:t xml:space="preserve"> </w:t>
            </w:r>
          </w:p>
        </w:tc>
        <w:tc>
          <w:tcPr>
            <w:tcW w:w="4744" w:type="dxa"/>
            <w:tcBorders>
              <w:bottom w:val="single" w:sz="4" w:space="0" w:color="auto"/>
            </w:tcBorders>
            <w:noWrap/>
          </w:tcPr>
          <w:p w14:paraId="68D83A16" w14:textId="77777777" w:rsidR="00B57714"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GB"/>
              </w:rPr>
            </w:pPr>
            <w:r>
              <w:rPr>
                <w:rFonts w:ascii="Calibri" w:eastAsia="Times New Roman" w:hAnsi="Calibri" w:cs="Times New Roman"/>
                <w:color w:val="000000"/>
                <w:lang w:val="en-GB"/>
              </w:rPr>
              <w:t>540 (360 – 690)</w:t>
            </w:r>
            <w:r>
              <w:rPr>
                <w:rFonts w:ascii="Calibri" w:eastAsia="Times New Roman" w:hAnsi="Calibri" w:cs="Calibri"/>
                <w:color w:val="000000"/>
                <w:lang w:val="en-GB"/>
              </w:rPr>
              <w:t>‡</w:t>
            </w:r>
            <w:r>
              <w:rPr>
                <w:rFonts w:ascii="Calibri" w:eastAsia="Times New Roman" w:hAnsi="Calibri" w:cs="Times New Roman"/>
                <w:color w:val="000000"/>
                <w:lang w:val="en-GB"/>
              </w:rPr>
              <w:t xml:space="preserve"> </w:t>
            </w:r>
          </w:p>
        </w:tc>
        <w:tc>
          <w:tcPr>
            <w:tcW w:w="719" w:type="dxa"/>
            <w:tcBorders>
              <w:bottom w:val="single" w:sz="4" w:space="0" w:color="auto"/>
            </w:tcBorders>
          </w:tcPr>
          <w:p w14:paraId="4A395F18" w14:textId="77777777" w:rsidR="00B57714" w:rsidRPr="0010127F" w:rsidRDefault="00B57714" w:rsidP="00723E9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lang w:val="en-GB"/>
              </w:rPr>
            </w:pPr>
            <w:r w:rsidRPr="0061089D">
              <w:rPr>
                <w:rFonts w:ascii="Calibri" w:eastAsia="Times New Roman" w:hAnsi="Calibri" w:cs="Times New Roman"/>
                <w:color w:val="000000"/>
                <w:lang w:val="en-GB"/>
              </w:rPr>
              <w:t>.914</w:t>
            </w:r>
          </w:p>
        </w:tc>
      </w:tr>
    </w:tbl>
    <w:p w14:paraId="640562D1" w14:textId="77777777" w:rsidR="00B57714" w:rsidRPr="008541B6" w:rsidRDefault="00B57714" w:rsidP="00B57714">
      <w:pPr>
        <w:jc w:val="both"/>
        <w:rPr>
          <w:b/>
          <w:sz w:val="18"/>
          <w:szCs w:val="18"/>
          <w:lang w:val="en-GB"/>
        </w:rPr>
      </w:pPr>
      <w:r w:rsidRPr="008541B6">
        <w:rPr>
          <w:sz w:val="18"/>
          <w:szCs w:val="18"/>
          <w:lang w:val="en-GB"/>
        </w:rPr>
        <w:t xml:space="preserve">MVPA = moderate to vigorous physical activity, IQR=Interquartile Range </w:t>
      </w:r>
      <w:r>
        <w:rPr>
          <w:rFonts w:ascii="Calibri" w:eastAsia="Times New Roman" w:hAnsi="Calibri" w:cs="Calibri"/>
          <w:color w:val="000000"/>
          <w:lang w:val="en-GB"/>
        </w:rPr>
        <w:t>†</w:t>
      </w:r>
      <w:r w:rsidRPr="008541B6">
        <w:rPr>
          <w:rFonts w:ascii="Calibri" w:eastAsia="Times New Roman" w:hAnsi="Calibri" w:cs="Times New Roman"/>
          <w:color w:val="000000"/>
          <w:sz w:val="18"/>
          <w:szCs w:val="18"/>
          <w:lang w:val="en-GB"/>
        </w:rPr>
        <w:t xml:space="preserve">n=367, </w:t>
      </w:r>
      <w:r>
        <w:rPr>
          <w:rFonts w:ascii="Calibri" w:eastAsia="Times New Roman" w:hAnsi="Calibri" w:cs="Calibri"/>
          <w:color w:val="000000"/>
          <w:lang w:val="en-GB"/>
        </w:rPr>
        <w:t>‡</w:t>
      </w:r>
      <w:r w:rsidRPr="008541B6">
        <w:rPr>
          <w:rFonts w:ascii="Calibri" w:eastAsia="Times New Roman" w:hAnsi="Calibri" w:cs="Times New Roman"/>
          <w:color w:val="000000"/>
          <w:sz w:val="18"/>
          <w:szCs w:val="18"/>
          <w:lang w:val="en-GB"/>
        </w:rPr>
        <w:t>n=6897</w:t>
      </w:r>
    </w:p>
    <w:p w14:paraId="17434395" w14:textId="77777777" w:rsidR="00276EC1" w:rsidRDefault="00276EC1"/>
    <w:p w14:paraId="16B7A93F" w14:textId="77777777" w:rsidR="00276EC1" w:rsidRDefault="00276EC1"/>
    <w:p w14:paraId="5CB41E40" w14:textId="65A69720" w:rsidR="00D57DFD" w:rsidRPr="00D57DFD" w:rsidRDefault="00276EC1" w:rsidP="00D57DFD">
      <w:pPr>
        <w:pStyle w:val="EndNoteBibliography"/>
        <w:spacing w:after="0"/>
      </w:pPr>
      <w:r>
        <w:lastRenderedPageBreak/>
        <w:fldChar w:fldCharType="begin"/>
      </w:r>
      <w:r>
        <w:instrText xml:space="preserve"> ADDIN EN.REFLIST </w:instrText>
      </w:r>
      <w:r>
        <w:fldChar w:fldCharType="separate"/>
      </w:r>
      <w:r w:rsidR="00D57DFD" w:rsidRPr="00D57DFD">
        <w:t xml:space="preserve">1 Wendel-Vos GC, Schuit AJ, Saris WH, Kromhout D (2003) Reproducibility and relative validity of the short questionnaire to assess health-enhancing physical activity. J Clin Epidemiol 56(12):1163-1169. </w:t>
      </w:r>
      <w:hyperlink r:id="rId4" w:history="1">
        <w:r w:rsidR="00D57DFD" w:rsidRPr="00D57DFD">
          <w:rPr>
            <w:rStyle w:val="Hyperlink"/>
          </w:rPr>
          <w:t>https://doi.org/10.1016/s0895-4356(03)00220-8</w:t>
        </w:r>
      </w:hyperlink>
    </w:p>
    <w:p w14:paraId="4717F19D" w14:textId="17222A98" w:rsidR="00D57DFD" w:rsidRPr="00D57DFD" w:rsidRDefault="00D57DFD" w:rsidP="00D57DFD">
      <w:pPr>
        <w:pStyle w:val="EndNoteBibliography"/>
        <w:spacing w:after="0"/>
      </w:pPr>
      <w:r w:rsidRPr="00D57DFD">
        <w:t xml:space="preserve">2 Ainsworth BE, Haskell WL, Herrmann SD, Meckes N, Bassett DR, Jr., Tudor-Locke C, Greer JL, Vezina J, Whitt-Glover MC, Leon AS (2011) 2011 Compendium of Physical Activities: a second update of codes and MET values. Med Sci Sports Exerc 43(8):1575-1581. </w:t>
      </w:r>
      <w:hyperlink r:id="rId5" w:history="1">
        <w:r w:rsidRPr="00D57DFD">
          <w:rPr>
            <w:rStyle w:val="Hyperlink"/>
          </w:rPr>
          <w:t>https://doi.org/10.1249/MSS.0b013e31821ece12</w:t>
        </w:r>
      </w:hyperlink>
    </w:p>
    <w:p w14:paraId="291CB60B" w14:textId="77777777" w:rsidR="00D57DFD" w:rsidRPr="00D57DFD" w:rsidRDefault="00D57DFD" w:rsidP="00D57DFD">
      <w:pPr>
        <w:pStyle w:val="EndNoteBibliography"/>
      </w:pPr>
      <w:r w:rsidRPr="00D57DFD">
        <w:t>3 (2020) WHO Guidelines Approved by the Guidelines Review Committee. WHO Guidelines on Physical Activity and Sedentary Behaviour, World Health Organization</w:t>
      </w:r>
    </w:p>
    <w:p w14:paraId="57CCC817" w14:textId="77777777" w:rsidR="00D57DFD" w:rsidRPr="00D57DFD" w:rsidRDefault="00D57DFD" w:rsidP="00D57DFD">
      <w:pPr>
        <w:pStyle w:val="EndNoteBibliography"/>
        <w:spacing w:after="0"/>
      </w:pPr>
      <w:r w:rsidRPr="00D57DFD">
        <w:t>© World Health Organization 2020., Geneva</w:t>
      </w:r>
    </w:p>
    <w:p w14:paraId="51223B71" w14:textId="672B2B5E" w:rsidR="00D57DFD" w:rsidRPr="00D57DFD" w:rsidRDefault="00D57DFD" w:rsidP="00D57DFD">
      <w:pPr>
        <w:pStyle w:val="EndNoteBibliography"/>
        <w:spacing w:after="0"/>
      </w:pPr>
      <w:r w:rsidRPr="00D57DFD">
        <w:t xml:space="preserve">4 Marshall AL, Miller YD, Burton NW, Brown WJ (2010) Measuring total and domain-specific sitting: a study of reliability and validity. Med Sci Sports Exerc 42(6):1094-1102. </w:t>
      </w:r>
      <w:hyperlink r:id="rId6" w:history="1">
        <w:r w:rsidRPr="00D57DFD">
          <w:rPr>
            <w:rStyle w:val="Hyperlink"/>
          </w:rPr>
          <w:t>https://doi.org/10.1249/MSS.0b013e3181c5ec18</w:t>
        </w:r>
      </w:hyperlink>
    </w:p>
    <w:p w14:paraId="1CD87F47" w14:textId="543B33C0" w:rsidR="00D57DFD" w:rsidRPr="00D57DFD" w:rsidRDefault="00D57DFD" w:rsidP="00D57DFD">
      <w:pPr>
        <w:pStyle w:val="EndNoteBibliography"/>
        <w:spacing w:after="0"/>
      </w:pPr>
      <w:r w:rsidRPr="00D57DFD">
        <w:t xml:space="preserve">5 Aaronson NK, Muller M, Cohen PD, Essink-Bot ML, Fekkes M, Sanderman R, Sprangers MA, te Velde A, Verrips E (1998) Translation, validation, and norming of the Dutch language version of the SF-36 Health Survey in community and chronic disease populations. J Clin Epidemiol 51(11):1055-1068. </w:t>
      </w:r>
      <w:hyperlink r:id="rId7" w:history="1">
        <w:r w:rsidRPr="00D57DFD">
          <w:rPr>
            <w:rStyle w:val="Hyperlink"/>
          </w:rPr>
          <w:t>https://doi.org/10.1016/s0895-4356(98)00097-3</w:t>
        </w:r>
      </w:hyperlink>
    </w:p>
    <w:p w14:paraId="2859C24C" w14:textId="37B44BE4" w:rsidR="00D57DFD" w:rsidRPr="00D57DFD" w:rsidRDefault="00D57DFD" w:rsidP="00D57DFD">
      <w:pPr>
        <w:pStyle w:val="EndNoteBibliography"/>
        <w:spacing w:after="0"/>
      </w:pPr>
      <w:r w:rsidRPr="00D57DFD">
        <w:t xml:space="preserve">6 Brugha TS, Cragg D (1990) The List of Threatening Experiences: the reliability and validity of a brief life events questionnaire. Acta Psychiatr Scand 82(1):77-81. </w:t>
      </w:r>
      <w:hyperlink r:id="rId8" w:history="1">
        <w:r w:rsidRPr="00D57DFD">
          <w:rPr>
            <w:rStyle w:val="Hyperlink"/>
          </w:rPr>
          <w:t>https://doi.org/10.1111/j.1600-0447.1990.tb01360.x</w:t>
        </w:r>
      </w:hyperlink>
    </w:p>
    <w:p w14:paraId="0E0FE4C6" w14:textId="77777777" w:rsidR="00D57DFD" w:rsidRPr="00D57DFD" w:rsidRDefault="00D57DFD" w:rsidP="00D57DFD">
      <w:pPr>
        <w:pStyle w:val="EndNoteBibliography"/>
      </w:pPr>
      <w:r w:rsidRPr="00D57DFD">
        <w:t>7 Hendriks A, Ormel J, van de Willige G (1990) Long-term difficulties measured by a self-report questionnaire and semi-structured interview: a comparison of methods. Gedrag en Gezondheid 18:273-283</w:t>
      </w:r>
    </w:p>
    <w:p w14:paraId="329AF68C" w14:textId="3ADEBD45" w:rsidR="00B57714" w:rsidRDefault="00276EC1">
      <w:r>
        <w:fldChar w:fldCharType="end"/>
      </w:r>
    </w:p>
    <w:sectPr w:rsidR="00B57714" w:rsidSect="00551F7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__Rheumatol Int (1) Cop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sws9t5cx9w98ee0xn5ezf9wd9dta25fwt0&quot;&gt;Raynaud&lt;record-ids&gt;&lt;item&gt;2&lt;/item&gt;&lt;item&gt;10&lt;/item&gt;&lt;item&gt;24&lt;/item&gt;&lt;item&gt;25&lt;/item&gt;&lt;item&gt;26&lt;/item&gt;&lt;item&gt;28&lt;/item&gt;&lt;/record-ids&gt;&lt;/item&gt;&lt;/Libraries&gt;"/>
  </w:docVars>
  <w:rsids>
    <w:rsidRoot w:val="00B57714"/>
    <w:rsid w:val="00052084"/>
    <w:rsid w:val="0013561C"/>
    <w:rsid w:val="001705B2"/>
    <w:rsid w:val="00233D98"/>
    <w:rsid w:val="002541AE"/>
    <w:rsid w:val="00276EC1"/>
    <w:rsid w:val="00425F74"/>
    <w:rsid w:val="00454F75"/>
    <w:rsid w:val="00551F7D"/>
    <w:rsid w:val="00622012"/>
    <w:rsid w:val="006641B4"/>
    <w:rsid w:val="006A0430"/>
    <w:rsid w:val="006C2519"/>
    <w:rsid w:val="006F6EA2"/>
    <w:rsid w:val="007403F1"/>
    <w:rsid w:val="007D372E"/>
    <w:rsid w:val="0094754D"/>
    <w:rsid w:val="00A14E2E"/>
    <w:rsid w:val="00B57714"/>
    <w:rsid w:val="00C34916"/>
    <w:rsid w:val="00D57DFD"/>
    <w:rsid w:val="00DA1DE7"/>
    <w:rsid w:val="00DF31AF"/>
    <w:rsid w:val="00EB50DF"/>
    <w:rsid w:val="00F47474"/>
    <w:rsid w:val="00F81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9083"/>
  <w15:chartTrackingRefBased/>
  <w15:docId w15:val="{6011B5E8-D951-4D56-88A0-8EA0B00B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714"/>
    <w:pPr>
      <w:spacing w:after="200" w:line="276" w:lineRule="auto"/>
    </w:pPr>
    <w:rPr>
      <w:rFonts w:eastAsiaTheme="minorEastAsia"/>
      <w:kern w:val="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Lichtearcering">
    <w:name w:val="Light Shading"/>
    <w:basedOn w:val="Standaardtabel"/>
    <w:uiPriority w:val="60"/>
    <w:rsid w:val="00B57714"/>
    <w:pPr>
      <w:spacing w:after="0" w:line="240" w:lineRule="auto"/>
    </w:pPr>
    <w:rPr>
      <w:rFonts w:eastAsiaTheme="minorEastAsia"/>
      <w:color w:val="000000" w:themeColor="text1" w:themeShade="BF"/>
      <w:kern w:val="0"/>
      <w:lang w:eastAsia="nl-NL"/>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basedOn w:val="Standaardalinea-lettertype"/>
    <w:uiPriority w:val="99"/>
    <w:semiHidden/>
    <w:unhideWhenUsed/>
    <w:rsid w:val="006A0430"/>
    <w:rPr>
      <w:sz w:val="16"/>
      <w:szCs w:val="16"/>
    </w:rPr>
  </w:style>
  <w:style w:type="paragraph" w:styleId="Tekstopmerking">
    <w:name w:val="annotation text"/>
    <w:basedOn w:val="Standaard"/>
    <w:link w:val="TekstopmerkingChar"/>
    <w:uiPriority w:val="99"/>
    <w:unhideWhenUsed/>
    <w:rsid w:val="006A0430"/>
    <w:pPr>
      <w:spacing w:line="240" w:lineRule="auto"/>
    </w:pPr>
    <w:rPr>
      <w:sz w:val="20"/>
      <w:szCs w:val="20"/>
    </w:rPr>
  </w:style>
  <w:style w:type="character" w:customStyle="1" w:styleId="TekstopmerkingChar">
    <w:name w:val="Tekst opmerking Char"/>
    <w:basedOn w:val="Standaardalinea-lettertype"/>
    <w:link w:val="Tekstopmerking"/>
    <w:uiPriority w:val="99"/>
    <w:rsid w:val="006A0430"/>
    <w:rPr>
      <w:rFonts w:eastAsiaTheme="minorEastAsia"/>
      <w:kern w:val="0"/>
      <w:sz w:val="20"/>
      <w:szCs w:val="20"/>
      <w:lang w:eastAsia="nl-NL"/>
      <w14:ligatures w14:val="none"/>
    </w:rPr>
  </w:style>
  <w:style w:type="paragraph" w:customStyle="1" w:styleId="Default">
    <w:name w:val="Default"/>
    <w:basedOn w:val="Standaard"/>
    <w:link w:val="DefaultChar"/>
    <w:rsid w:val="00233D98"/>
    <w:pPr>
      <w:autoSpaceDE w:val="0"/>
      <w:autoSpaceDN w:val="0"/>
      <w:spacing w:after="0" w:line="240" w:lineRule="auto"/>
    </w:pPr>
    <w:rPr>
      <w:rFonts w:ascii="Calibri" w:hAnsi="Calibri" w:cs="Times New Roman"/>
      <w:color w:val="000000"/>
      <w:sz w:val="24"/>
      <w:szCs w:val="24"/>
    </w:rPr>
  </w:style>
  <w:style w:type="paragraph" w:customStyle="1" w:styleId="EndNoteBibliographyTitle">
    <w:name w:val="EndNote Bibliography Title"/>
    <w:basedOn w:val="Standaard"/>
    <w:link w:val="EndNoteBibliographyTitleChar"/>
    <w:rsid w:val="00276EC1"/>
    <w:pPr>
      <w:spacing w:after="0"/>
      <w:jc w:val="center"/>
    </w:pPr>
    <w:rPr>
      <w:rFonts w:ascii="Calibri" w:hAnsi="Calibri" w:cs="Calibri"/>
      <w:noProof/>
    </w:rPr>
  </w:style>
  <w:style w:type="character" w:customStyle="1" w:styleId="DefaultChar">
    <w:name w:val="Default Char"/>
    <w:basedOn w:val="Standaardalinea-lettertype"/>
    <w:link w:val="Default"/>
    <w:rsid w:val="00276EC1"/>
    <w:rPr>
      <w:rFonts w:ascii="Calibri" w:eastAsiaTheme="minorEastAsia" w:hAnsi="Calibri" w:cs="Times New Roman"/>
      <w:color w:val="000000"/>
      <w:kern w:val="0"/>
      <w:sz w:val="24"/>
      <w:szCs w:val="24"/>
      <w:lang w:eastAsia="nl-NL"/>
      <w14:ligatures w14:val="none"/>
    </w:rPr>
  </w:style>
  <w:style w:type="character" w:customStyle="1" w:styleId="EndNoteBibliographyTitleChar">
    <w:name w:val="EndNote Bibliography Title Char"/>
    <w:basedOn w:val="DefaultChar"/>
    <w:link w:val="EndNoteBibliographyTitle"/>
    <w:rsid w:val="00276EC1"/>
    <w:rPr>
      <w:rFonts w:ascii="Calibri" w:eastAsiaTheme="minorEastAsia" w:hAnsi="Calibri" w:cs="Calibri"/>
      <w:noProof/>
      <w:color w:val="000000"/>
      <w:kern w:val="0"/>
      <w:sz w:val="24"/>
      <w:szCs w:val="24"/>
      <w:lang w:eastAsia="nl-NL"/>
      <w14:ligatures w14:val="none"/>
    </w:rPr>
  </w:style>
  <w:style w:type="paragraph" w:customStyle="1" w:styleId="EndNoteBibliography">
    <w:name w:val="EndNote Bibliography"/>
    <w:basedOn w:val="Standaard"/>
    <w:link w:val="EndNoteBibliographyChar"/>
    <w:rsid w:val="00276EC1"/>
    <w:pPr>
      <w:spacing w:line="240" w:lineRule="auto"/>
    </w:pPr>
    <w:rPr>
      <w:rFonts w:ascii="Calibri" w:hAnsi="Calibri" w:cs="Calibri"/>
      <w:noProof/>
    </w:rPr>
  </w:style>
  <w:style w:type="character" w:customStyle="1" w:styleId="EndNoteBibliographyChar">
    <w:name w:val="EndNote Bibliography Char"/>
    <w:basedOn w:val="DefaultChar"/>
    <w:link w:val="EndNoteBibliography"/>
    <w:rsid w:val="00276EC1"/>
    <w:rPr>
      <w:rFonts w:ascii="Calibri" w:eastAsiaTheme="minorEastAsia" w:hAnsi="Calibri" w:cs="Calibri"/>
      <w:noProof/>
      <w:color w:val="000000"/>
      <w:kern w:val="0"/>
      <w:sz w:val="24"/>
      <w:szCs w:val="24"/>
      <w:lang w:eastAsia="nl-NL"/>
      <w14:ligatures w14:val="none"/>
    </w:rPr>
  </w:style>
  <w:style w:type="character" w:styleId="Hyperlink">
    <w:name w:val="Hyperlink"/>
    <w:basedOn w:val="Standaardalinea-lettertype"/>
    <w:uiPriority w:val="99"/>
    <w:unhideWhenUsed/>
    <w:rsid w:val="00D57DFD"/>
    <w:rPr>
      <w:color w:val="0563C1" w:themeColor="hyperlink"/>
      <w:u w:val="single"/>
    </w:rPr>
  </w:style>
  <w:style w:type="character" w:styleId="Onopgelostemelding">
    <w:name w:val="Unresolved Mention"/>
    <w:basedOn w:val="Standaardalinea-lettertype"/>
    <w:uiPriority w:val="99"/>
    <w:semiHidden/>
    <w:unhideWhenUsed/>
    <w:rsid w:val="00D57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600-0447.1990.tb01360.x" TargetMode="External"/><Relationship Id="rId3" Type="http://schemas.openxmlformats.org/officeDocument/2006/relationships/webSettings" Target="webSettings.xml"/><Relationship Id="rId7" Type="http://schemas.openxmlformats.org/officeDocument/2006/relationships/hyperlink" Target="https://doi.org/10.1016/s0895-4356(98)0009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249/MSS.0b013e3181c5ec18" TargetMode="External"/><Relationship Id="rId5" Type="http://schemas.openxmlformats.org/officeDocument/2006/relationships/hyperlink" Target="https://doi.org/10.1249/MSS.0b013e31821ece12" TargetMode="External"/><Relationship Id="rId10" Type="http://schemas.openxmlformats.org/officeDocument/2006/relationships/theme" Target="theme/theme1.xml"/><Relationship Id="rId4" Type="http://schemas.openxmlformats.org/officeDocument/2006/relationships/hyperlink" Target="https://doi.org/10.1016/s0895-4356(03)00220-8"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2917</Words>
  <Characters>16049</Characters>
  <Application>Microsoft Office Word</Application>
  <DocSecurity>0</DocSecurity>
  <Lines>133</Lines>
  <Paragraphs>37</Paragraphs>
  <ScaleCrop>false</ScaleCrop>
  <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Zande, SC van de (int)</dc:creator>
  <cp:keywords/>
  <dc:description/>
  <cp:lastModifiedBy>Zande, SC van de (int)</cp:lastModifiedBy>
  <cp:revision>20</cp:revision>
  <dcterms:created xsi:type="dcterms:W3CDTF">2023-11-03T12:45:00Z</dcterms:created>
  <dcterms:modified xsi:type="dcterms:W3CDTF">2025-04-01T08:41:00Z</dcterms:modified>
</cp:coreProperties>
</file>