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99C" w:rsidRPr="00234275" w:rsidRDefault="0026499C" w:rsidP="00030131">
      <w:pPr>
        <w:spacing w:after="0"/>
        <w:rPr>
          <w:rFonts w:ascii="Times New Roman" w:hAnsi="Times New Roman" w:cs="Times New Roman"/>
          <w:szCs w:val="22"/>
        </w:rPr>
      </w:pPr>
      <w:r w:rsidRPr="00234275">
        <w:rPr>
          <w:rFonts w:ascii="Times New Roman" w:hAnsi="Times New Roman" w:cs="Times New Roman"/>
          <w:szCs w:val="22"/>
        </w:rPr>
        <w:t xml:space="preserve">Supplementary Table </w:t>
      </w:r>
      <w:r w:rsidR="000D14FF" w:rsidRPr="00234275">
        <w:rPr>
          <w:rFonts w:ascii="Times New Roman" w:hAnsi="Times New Roman" w:cs="Times New Roman"/>
          <w:szCs w:val="22"/>
        </w:rPr>
        <w:t>S</w:t>
      </w:r>
      <w:r w:rsidRPr="00234275">
        <w:rPr>
          <w:rFonts w:ascii="Times New Roman" w:hAnsi="Times New Roman" w:cs="Times New Roman"/>
          <w:szCs w:val="22"/>
        </w:rPr>
        <w:t>1. Baseline characteristics of the study population according to gout medication adherence (MPR)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05"/>
        <w:gridCol w:w="2135"/>
        <w:gridCol w:w="2384"/>
        <w:gridCol w:w="2135"/>
        <w:gridCol w:w="1328"/>
      </w:tblGrid>
      <w:tr w:rsidR="00030131" w:rsidRPr="00234275" w:rsidTr="0091657D">
        <w:trPr>
          <w:trHeight w:val="20"/>
        </w:trPr>
        <w:tc>
          <w:tcPr>
            <w:tcW w:w="2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0131" w:rsidRPr="00234275" w:rsidRDefault="00030131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2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Gout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131" w:rsidRPr="00234275" w:rsidRDefault="00030131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P-value</w:t>
            </w:r>
          </w:p>
        </w:tc>
      </w:tr>
      <w:tr w:rsidR="00030131" w:rsidRPr="00234275" w:rsidTr="0091657D">
        <w:trPr>
          <w:trHeight w:val="20"/>
        </w:trPr>
        <w:tc>
          <w:tcPr>
            <w:tcW w:w="2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 ≤ MPR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0.3 ≤ MPR &lt; 0.8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MPR &lt; 0.3</w:t>
            </w:r>
          </w:p>
        </w:tc>
        <w:tc>
          <w:tcPr>
            <w:tcW w:w="485" w:type="pct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131" w:rsidRPr="00234275" w:rsidRDefault="00030131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030131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0131" w:rsidRPr="00234275" w:rsidRDefault="00030131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No. of participants, n (%)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9C1CF4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658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9C1CF4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869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01A1C" w:rsidRPr="00234275" w:rsidRDefault="009C1CF4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  <w:r w:rsidR="00234275"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,</w:t>
            </w: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580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131" w:rsidRPr="00234275" w:rsidRDefault="00030131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030131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0131" w:rsidRPr="00234275" w:rsidRDefault="00030131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Age, years, mean (SD)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030131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61.95 (9.20)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030131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60.63 (9.24)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030131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59.71 (9.25)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131" w:rsidRPr="00234275" w:rsidRDefault="00FA1339" w:rsidP="00030131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&lt;0.0001</w:t>
            </w:r>
          </w:p>
        </w:tc>
      </w:tr>
      <w:tr w:rsidR="00E13D48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13D48" w:rsidRPr="00234275" w:rsidRDefault="00E13D48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Age group, n (%)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03013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03013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13D48" w:rsidRPr="00234275" w:rsidRDefault="009C1CF4" w:rsidP="00030131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&lt;0.0001</w:t>
            </w: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40–49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57 (8.7)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98 (11.3)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339 (13.1)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50–59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233 (35.4)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326 (37.5)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1,066 (41.3)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60–69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211 (32.1)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271 (31.2)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715 (27.7)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≥70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157 (23.9)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174 (20.0)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460 (17.8)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13D48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13D48" w:rsidRPr="00234275" w:rsidRDefault="00E13D48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Sex, n (%)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13D48" w:rsidRPr="00234275" w:rsidRDefault="009C1CF4" w:rsidP="00030131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</w:rPr>
              <w:t>0.2341</w:t>
            </w: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Male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599 (91.0)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806 (92.8)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2,345 (90.9)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Female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59 (9.0)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63 (7.2)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235 (9.1)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13D48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13D48" w:rsidRPr="00234275" w:rsidRDefault="00E13D48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Household income, n (%)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13D48" w:rsidRPr="00234275" w:rsidRDefault="009C1CF4" w:rsidP="00030131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0.8689</w:t>
            </w: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1st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100 (15.2)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149 (17.1)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442 (17.1)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2nd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138 (21.0)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190 (21.9)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527 (20.4)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3rd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142 (21.6)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176 (20.3)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549 (21.3)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4th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278 (42.2)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354 (40.7)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1,062 (41.2)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13D48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13D48" w:rsidRPr="00234275" w:rsidRDefault="00E13D48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Smoking Status, n (%)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13D48" w:rsidRPr="00234275" w:rsidRDefault="009C1CF4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0.0792</w:t>
            </w: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Never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332 (50.5)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433 (49.8)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1,276 (49.5)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Former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189 (28.7)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249 (28.7)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665 (25.8)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Current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137 (20.8)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187 (21.5)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639 (24.8)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13D48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13D48" w:rsidRPr="00234275" w:rsidRDefault="00E13D48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Alcohol intake (times/week)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13D48" w:rsidRPr="00234275" w:rsidRDefault="009C1CF4" w:rsidP="00030131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0.4448</w:t>
            </w: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None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322 (48.9)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431 (49.6)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1,219 (47.2)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lastRenderedPageBreak/>
              <w:t>1–2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203 (30.9)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256 (29.5)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751 (29.1)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9C1CF4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0.</w:t>
            </w:r>
            <w:r w:rsidR="00E9297C" w:rsidRPr="00234275">
              <w:rPr>
                <w:rFonts w:ascii="Times New Roman" w:hAnsi="Times New Roman" w:cs="Times New Roman"/>
                <w:szCs w:val="22"/>
              </w:rPr>
              <w:t>3–4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86 (13.1)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113 (13.0)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395 (15.3)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≥5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47 (7.1)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69 (7.9)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215 (8.3)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13D48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13D48" w:rsidRPr="00234275" w:rsidRDefault="00E13D48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Physical activity, times/week, n (%)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13D48" w:rsidRPr="00234275" w:rsidRDefault="00FA1339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0.3833</w:t>
            </w: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None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258 (39.2)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336 (38.7)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1,131 (43.8)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1–2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154 (23.4)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198 (22.8)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561 (21.7)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3–4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105 (16.0)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131 (15.1)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352 (13.6)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≥5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141 (21.4)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186 (21.4)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536 (20.8)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30131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Body mass index, kg/m², mean (SD)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25.49 (2.84)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25.35 (2.87)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25.14 (2.86)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131" w:rsidRPr="00234275" w:rsidRDefault="00FA1339" w:rsidP="00030131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0.0102</w:t>
            </w:r>
          </w:p>
        </w:tc>
      </w:tr>
      <w:tr w:rsidR="00030131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Systolic blood pressure, mmHg, mean (SD)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130.31 (16.39)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131.41 (16.24)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130.57 (15.80)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131" w:rsidRPr="00234275" w:rsidRDefault="00FA1339" w:rsidP="00030131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0.3252</w:t>
            </w:r>
          </w:p>
        </w:tc>
      </w:tr>
      <w:tr w:rsidR="00030131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Total cholesterol, mg/dL, mean (SD)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192.76 (43.17)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200.23 (39.94)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201.70 (40.74)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131" w:rsidRPr="00234275" w:rsidRDefault="00FA1339" w:rsidP="00030131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&lt;0.0001</w:t>
            </w:r>
          </w:p>
        </w:tc>
      </w:tr>
      <w:tr w:rsidR="00030131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0131" w:rsidRPr="00234275" w:rsidRDefault="00030131" w:rsidP="00030131">
            <w:pPr>
              <w:spacing w:after="0"/>
              <w:rPr>
                <w:rFonts w:ascii="Times New Roman" w:eastAsia="돋움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Fasting blood glucose, mg/dL, mean (SD)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104.09 (28.81)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101.28 (24.78)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131" w:rsidRPr="00234275" w:rsidRDefault="00FA1339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101.85 (22.74)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131" w:rsidRPr="00234275" w:rsidRDefault="00FA1339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0.0569</w:t>
            </w:r>
          </w:p>
        </w:tc>
      </w:tr>
      <w:tr w:rsidR="00E13D48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13D48" w:rsidRPr="00234275" w:rsidRDefault="00E13D48" w:rsidP="00030131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Charlson Comorbidity Index, n (%)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3D48" w:rsidRPr="00234275" w:rsidRDefault="00E13D48" w:rsidP="009218D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13D48" w:rsidRPr="00234275" w:rsidRDefault="009C1CF4" w:rsidP="00030131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&lt;0.0001</w:t>
            </w:r>
          </w:p>
        </w:tc>
      </w:tr>
      <w:tr w:rsidR="009218DD" w:rsidRPr="00234275" w:rsidTr="0091657D">
        <w:trPr>
          <w:trHeight w:val="176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140 (21.3)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261 (30.0)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764 (29.6)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7C" w:rsidRPr="00234275" w:rsidRDefault="009C1CF4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&lt;</w:t>
            </w:r>
            <w:r w:rsidR="00E9297C" w:rsidRPr="0023427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150 (22.8)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211 (24.3)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753 (29.2)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8DD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297C" w:rsidRPr="00234275" w:rsidRDefault="00E9297C" w:rsidP="009218D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≥2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368 (55.9)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397 (45.7)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297C" w:rsidRPr="00234275" w:rsidRDefault="009C1CF4" w:rsidP="009218D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1,063 (41.2)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297C" w:rsidRPr="00234275" w:rsidRDefault="00E9297C" w:rsidP="00E9297C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C1CF4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Hypertension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&lt;0.0001</w:t>
            </w:r>
          </w:p>
        </w:tc>
      </w:tr>
      <w:tr w:rsidR="009C1CF4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1CF4" w:rsidRPr="00234275" w:rsidRDefault="009C1CF4" w:rsidP="009C1CF4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121 (18.4)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307 (35.3)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1,205 (46.7)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C1CF4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1CF4" w:rsidRPr="00234275" w:rsidRDefault="009C1CF4" w:rsidP="009C1CF4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537 (81.6)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562 (64.7)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1,375 (53.3)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C1CF4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Dyslipidemia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&lt;0.0001</w:t>
            </w:r>
          </w:p>
        </w:tc>
      </w:tr>
      <w:tr w:rsidR="009C1CF4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1CF4" w:rsidRPr="00234275" w:rsidRDefault="009C1CF4" w:rsidP="009C1CF4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338 (51.4)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589 (67.8)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1,844 (71.5)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C1CF4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1CF4" w:rsidRPr="00234275" w:rsidRDefault="009C1CF4" w:rsidP="009C1CF4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320 (48.6)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280 (32.2)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1CF4" w:rsidRPr="00234275" w:rsidRDefault="009C1CF4" w:rsidP="009C1CF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736 (28.5)</w:t>
            </w:r>
          </w:p>
        </w:tc>
        <w:tc>
          <w:tcPr>
            <w:tcW w:w="48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C1CF4" w:rsidRPr="00234275" w:rsidRDefault="009C1CF4" w:rsidP="009C1CF4">
            <w:pPr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Diabetes Mellitus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&lt;0.0001</w:t>
            </w: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480 (72.9)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697 (80.2)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2,206 (85.5)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lastRenderedPageBreak/>
              <w:t>Yes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178 (27.1)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172 (19.8)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374 (14.5)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5966" w:rsidRPr="00205966" w:rsidRDefault="00205966" w:rsidP="00205966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205966">
              <w:rPr>
                <w:rFonts w:ascii="Times New Roman" w:hAnsi="Times New Roman" w:cs="Times New Roman"/>
                <w:szCs w:val="22"/>
              </w:rPr>
              <w:t>Chronic Kidney Diseaes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&lt;0.0001</w:t>
            </w: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605 (91.9)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826 (95.1)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2,531 (98.1)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53 (8.1)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43 (4.9)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49 (1.9)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05966" w:rsidRPr="00205966" w:rsidRDefault="00205966" w:rsidP="00205966">
            <w:pPr>
              <w:spacing w:after="0"/>
              <w:rPr>
                <w:rFonts w:ascii="Times New Roman" w:hAnsi="Times New Roman" w:cs="Times New Roman"/>
                <w:szCs w:val="22"/>
              </w:rPr>
            </w:pPr>
            <w:r w:rsidRPr="00205966">
              <w:rPr>
                <w:rFonts w:ascii="Times New Roman" w:hAnsi="Times New Roman" w:cs="Times New Roman"/>
                <w:szCs w:val="22"/>
              </w:rPr>
              <w:t>Systemic corticosteroid use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  <w:r w:rsidRPr="00234275"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  <w:t>0.0203</w:t>
            </w: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401 (60.9)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469 (54.0)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1,444 (56.0)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205966" w:rsidRPr="00234275" w:rsidTr="0091657D">
        <w:trPr>
          <w:trHeight w:val="20"/>
        </w:trPr>
        <w:tc>
          <w:tcPr>
            <w:tcW w:w="20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257 (39.1)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400 (46.0)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1,136 (44.0)</w:t>
            </w: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05966" w:rsidRPr="00234275" w:rsidRDefault="00205966" w:rsidP="00205966">
            <w:pPr>
              <w:spacing w:after="0"/>
              <w:jc w:val="center"/>
              <w:rPr>
                <w:rFonts w:ascii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</w:tbl>
    <w:p w:rsidR="00361041" w:rsidRPr="00234275" w:rsidRDefault="0026499C" w:rsidP="00030131">
      <w:pPr>
        <w:spacing w:after="0"/>
        <w:rPr>
          <w:rFonts w:ascii="Times New Roman" w:hAnsi="Times New Roman" w:cs="Times New Roman"/>
          <w:szCs w:val="22"/>
        </w:rPr>
      </w:pPr>
      <w:r w:rsidRPr="00234275">
        <w:rPr>
          <w:rFonts w:ascii="Times New Roman" w:eastAsia="굴림" w:hAnsi="Times New Roman" w:cs="Times New Roman"/>
          <w:color w:val="000000"/>
          <w:kern w:val="0"/>
          <w:szCs w:val="22"/>
          <w14:ligatures w14:val="none"/>
        </w:rPr>
        <w:t>Abbreviations: MPR, Medication Possession Ratio; SD, standard deviation.</w:t>
      </w:r>
      <w:r w:rsidRPr="00234275">
        <w:rPr>
          <w:rFonts w:ascii="Times New Roman" w:eastAsia="굴림" w:hAnsi="Times New Roman" w:cs="Times New Roman"/>
          <w:color w:val="000000"/>
          <w:kern w:val="0"/>
          <w:szCs w:val="22"/>
          <w14:ligatures w14:val="none"/>
        </w:rPr>
        <w:br/>
        <w:t xml:space="preserve">P values were calculated using χ² tests for categorical variables and one-way ANOVA for continuous variables. </w:t>
      </w:r>
      <w:r w:rsidRPr="00234275">
        <w:rPr>
          <w:rFonts w:ascii="Times New Roman" w:eastAsia="굴림" w:hAnsi="Times New Roman" w:cs="Times New Roman"/>
          <w:color w:val="000000"/>
          <w:kern w:val="0"/>
          <w:szCs w:val="22"/>
          <w14:ligatures w14:val="none"/>
        </w:rPr>
        <w:br/>
      </w:r>
    </w:p>
    <w:p w:rsidR="00361041" w:rsidRPr="00234275" w:rsidRDefault="00361041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Cs w:val="22"/>
        </w:rPr>
      </w:pPr>
      <w:r w:rsidRPr="00234275">
        <w:rPr>
          <w:rFonts w:ascii="Times New Roman" w:hAnsi="Times New Roman" w:cs="Times New Roman"/>
          <w:szCs w:val="22"/>
        </w:rPr>
        <w:br w:type="page"/>
      </w:r>
    </w:p>
    <w:p w:rsidR="00361041" w:rsidRPr="00234275" w:rsidRDefault="00361041" w:rsidP="00FB7ED9">
      <w:pPr>
        <w:spacing w:after="0"/>
        <w:rPr>
          <w:rFonts w:ascii="Times New Roman" w:eastAsia="굴림" w:hAnsi="Times New Roman" w:cs="Times New Roman"/>
          <w:color w:val="000000"/>
          <w:kern w:val="0"/>
          <w:szCs w:val="22"/>
          <w14:ligatures w14:val="none"/>
        </w:rPr>
      </w:pPr>
      <w:r w:rsidRPr="00234275">
        <w:rPr>
          <w:rFonts w:ascii="Times New Roman" w:eastAsia="맑은 고딕" w:hAnsi="Times New Roman" w:cs="Times New Roman"/>
          <w:bCs/>
          <w:szCs w:val="22"/>
          <w:highlight w:val="yellow"/>
        </w:rPr>
        <w:lastRenderedPageBreak/>
        <w:t>Supplementary Table S2. Risk of overall fractures within 1 year and 2 years according to gout status and medication adherence (MPR)</w:t>
      </w:r>
    </w:p>
    <w:tbl>
      <w:tblPr>
        <w:tblStyle w:val="1"/>
        <w:tblW w:w="5075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3"/>
        <w:gridCol w:w="1600"/>
        <w:gridCol w:w="2181"/>
        <w:gridCol w:w="2320"/>
        <w:gridCol w:w="2328"/>
        <w:gridCol w:w="2181"/>
        <w:gridCol w:w="989"/>
      </w:tblGrid>
      <w:tr w:rsidR="00361041" w:rsidRPr="00234275" w:rsidTr="003277FA">
        <w:tc>
          <w:tcPr>
            <w:tcW w:w="82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61041" w:rsidRPr="00234275" w:rsidRDefault="00361041" w:rsidP="00361041">
            <w:pPr>
              <w:rPr>
                <w:rFonts w:ascii="Times New Roman" w:eastAsia="맑은 고딕" w:hAnsi="Times New Roman" w:cs="Times New Roman"/>
                <w:bCs/>
                <w:szCs w:val="22"/>
              </w:rPr>
            </w:pPr>
            <w:bookmarkStart w:id="0" w:name="_Hlk233543659"/>
            <w:r w:rsidRPr="00234275">
              <w:rPr>
                <w:rFonts w:ascii="Times New Roman" w:eastAsia="맑은 고딕" w:hAnsi="Times New Roman" w:cs="Times New Roman"/>
                <w:szCs w:val="22"/>
              </w:rPr>
              <w:t>Outcome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 xml:space="preserve">Non-Gout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Gout Overall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bCs/>
                <w:szCs w:val="22"/>
              </w:rPr>
              <w:t>Gout by Medication Adherence (MPR)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 xml:space="preserve">P for </w:t>
            </w:r>
          </w:p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trend</w:t>
            </w:r>
          </w:p>
        </w:tc>
      </w:tr>
      <w:tr w:rsidR="00361041" w:rsidRPr="00234275" w:rsidTr="003277FA">
        <w:tc>
          <w:tcPr>
            <w:tcW w:w="825" w:type="pct"/>
            <w:vMerge/>
            <w:tcBorders>
              <w:top w:val="nil"/>
              <w:bottom w:val="single" w:sz="4" w:space="0" w:color="auto"/>
            </w:tcBorders>
            <w:vAlign w:val="bottom"/>
          </w:tcPr>
          <w:p w:rsidR="00361041" w:rsidRPr="00234275" w:rsidRDefault="00361041" w:rsidP="00361041">
            <w:pPr>
              <w:rPr>
                <w:rFonts w:ascii="Times New Roman" w:eastAsia="맑은 고딕" w:hAnsi="Times New Roman" w:cs="Times New Roman"/>
                <w:szCs w:val="22"/>
              </w:rPr>
            </w:pPr>
          </w:p>
        </w:tc>
        <w:tc>
          <w:tcPr>
            <w:tcW w:w="576" w:type="pct"/>
            <w:vMerge/>
            <w:tcBorders>
              <w:top w:val="nil"/>
              <w:bottom w:val="single" w:sz="4" w:space="0" w:color="auto"/>
            </w:tcBorders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</w:p>
        </w:tc>
        <w:tc>
          <w:tcPr>
            <w:tcW w:w="785" w:type="pct"/>
            <w:vMerge/>
            <w:tcBorders>
              <w:top w:val="nil"/>
              <w:bottom w:val="single" w:sz="4" w:space="0" w:color="auto"/>
            </w:tcBorders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MPR ≥ 0.8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0.3 ≤ MPR &lt; 0.8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MPR &lt; 0.3</w:t>
            </w:r>
          </w:p>
        </w:tc>
        <w:tc>
          <w:tcPr>
            <w:tcW w:w="356" w:type="pct"/>
            <w:vMerge/>
            <w:tcBorders>
              <w:top w:val="nil"/>
              <w:bottom w:val="single" w:sz="4" w:space="0" w:color="auto"/>
            </w:tcBorders>
            <w:vAlign w:val="bottom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</w:p>
        </w:tc>
      </w:tr>
      <w:tr w:rsidR="00361041" w:rsidRPr="00234275" w:rsidTr="003277FA">
        <w:tc>
          <w:tcPr>
            <w:tcW w:w="825" w:type="pct"/>
            <w:tcBorders>
              <w:top w:val="single" w:sz="4" w:space="0" w:color="auto"/>
            </w:tcBorders>
            <w:vAlign w:val="center"/>
          </w:tcPr>
          <w:p w:rsidR="00361041" w:rsidRPr="00234275" w:rsidRDefault="00361041" w:rsidP="00361041">
            <w:pPr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bCs/>
                <w:szCs w:val="22"/>
              </w:rPr>
              <w:t xml:space="preserve">Overall Fracture </w:t>
            </w:r>
            <w:r w:rsidRPr="00234275">
              <w:rPr>
                <w:rFonts w:ascii="Times New Roman" w:eastAsia="맑은 고딕" w:hAnsi="Times New Roman" w:cs="Times New Roman"/>
                <w:bCs/>
                <w:szCs w:val="22"/>
              </w:rPr>
              <w:br/>
              <w:t>within 1 year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  <w:vAlign w:val="center"/>
          </w:tcPr>
          <w:p w:rsidR="00361041" w:rsidRPr="00234275" w:rsidRDefault="00361041" w:rsidP="00361041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BC35E2" w:rsidRPr="00234275" w:rsidTr="003277FA">
        <w:tc>
          <w:tcPr>
            <w:tcW w:w="825" w:type="pct"/>
          </w:tcPr>
          <w:p w:rsidR="00BC35E2" w:rsidRPr="00234275" w:rsidRDefault="00BC35E2" w:rsidP="00BC35E2">
            <w:pPr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576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</w:t>
            </w:r>
          </w:p>
        </w:tc>
        <w:tc>
          <w:tcPr>
            <w:tcW w:w="78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16</w:t>
            </w:r>
          </w:p>
        </w:tc>
        <w:tc>
          <w:tcPr>
            <w:tcW w:w="83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2</w:t>
            </w:r>
          </w:p>
        </w:tc>
        <w:tc>
          <w:tcPr>
            <w:tcW w:w="838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</w:t>
            </w:r>
          </w:p>
        </w:tc>
        <w:tc>
          <w:tcPr>
            <w:tcW w:w="78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11</w:t>
            </w:r>
          </w:p>
        </w:tc>
        <w:tc>
          <w:tcPr>
            <w:tcW w:w="356" w:type="pct"/>
          </w:tcPr>
          <w:p w:rsidR="00BC35E2" w:rsidRPr="00234275" w:rsidRDefault="00BC35E2" w:rsidP="00BC35E2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BC35E2" w:rsidRPr="00234275" w:rsidTr="003277FA">
        <w:tc>
          <w:tcPr>
            <w:tcW w:w="825" w:type="pct"/>
          </w:tcPr>
          <w:p w:rsidR="00BC35E2" w:rsidRPr="00234275" w:rsidRDefault="00BC35E2" w:rsidP="00BC35E2">
            <w:pPr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Person-years</w:t>
            </w:r>
          </w:p>
        </w:tc>
        <w:tc>
          <w:tcPr>
            <w:tcW w:w="576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12,303</w:t>
            </w:r>
          </w:p>
        </w:tc>
        <w:tc>
          <w:tcPr>
            <w:tcW w:w="78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4,074</w:t>
            </w:r>
          </w:p>
        </w:tc>
        <w:tc>
          <w:tcPr>
            <w:tcW w:w="83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654</w:t>
            </w:r>
          </w:p>
        </w:tc>
        <w:tc>
          <w:tcPr>
            <w:tcW w:w="838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862</w:t>
            </w:r>
          </w:p>
        </w:tc>
        <w:tc>
          <w:tcPr>
            <w:tcW w:w="78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2,557</w:t>
            </w:r>
          </w:p>
        </w:tc>
        <w:tc>
          <w:tcPr>
            <w:tcW w:w="356" w:type="pct"/>
          </w:tcPr>
          <w:p w:rsidR="00BC35E2" w:rsidRPr="00234275" w:rsidRDefault="00BC35E2" w:rsidP="00BC35E2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BC35E2" w:rsidRPr="00234275" w:rsidTr="003277FA">
        <w:tc>
          <w:tcPr>
            <w:tcW w:w="825" w:type="pct"/>
          </w:tcPr>
          <w:p w:rsidR="00BC35E2" w:rsidRPr="00234275" w:rsidRDefault="00BC35E2" w:rsidP="00BC35E2">
            <w:pPr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Incidence rate*</w:t>
            </w:r>
          </w:p>
        </w:tc>
        <w:tc>
          <w:tcPr>
            <w:tcW w:w="576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0.244</w:t>
            </w:r>
          </w:p>
        </w:tc>
        <w:tc>
          <w:tcPr>
            <w:tcW w:w="78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3.927</w:t>
            </w:r>
          </w:p>
        </w:tc>
        <w:tc>
          <w:tcPr>
            <w:tcW w:w="83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3.055</w:t>
            </w:r>
          </w:p>
        </w:tc>
        <w:tc>
          <w:tcPr>
            <w:tcW w:w="838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3.479</w:t>
            </w:r>
          </w:p>
        </w:tc>
        <w:tc>
          <w:tcPr>
            <w:tcW w:w="785" w:type="pct"/>
            <w:vAlign w:val="center"/>
          </w:tcPr>
          <w:p w:rsidR="00BC35E2" w:rsidRPr="00234275" w:rsidRDefault="00F65F7C" w:rsidP="00BC35E2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4.300</w:t>
            </w:r>
          </w:p>
        </w:tc>
        <w:tc>
          <w:tcPr>
            <w:tcW w:w="356" w:type="pct"/>
          </w:tcPr>
          <w:p w:rsidR="00BC35E2" w:rsidRPr="00234275" w:rsidRDefault="00BC35E2" w:rsidP="00BC35E2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4324FD" w:rsidRPr="00234275" w:rsidTr="003277FA">
        <w:tc>
          <w:tcPr>
            <w:tcW w:w="825" w:type="pct"/>
          </w:tcPr>
          <w:p w:rsidR="004324FD" w:rsidRPr="00234275" w:rsidRDefault="004324FD" w:rsidP="004324FD">
            <w:pPr>
              <w:ind w:leftChars="100" w:left="220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Model 1ᵃ</w:t>
            </w:r>
          </w:p>
        </w:tc>
        <w:tc>
          <w:tcPr>
            <w:tcW w:w="576" w:type="pct"/>
          </w:tcPr>
          <w:p w:rsidR="004324FD" w:rsidRPr="00234275" w:rsidRDefault="00205966" w:rsidP="004324FD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05966">
              <w:rPr>
                <w:rFonts w:ascii="Times New Roman" w:hAnsi="Times New Roman" w:cs="Times New Roman"/>
                <w:szCs w:val="22"/>
                <w:lang w:eastAsia="ko-KR"/>
              </w:rPr>
              <w:t>1 (Reference)</w:t>
            </w:r>
          </w:p>
        </w:tc>
        <w:tc>
          <w:tcPr>
            <w:tcW w:w="785" w:type="pct"/>
          </w:tcPr>
          <w:p w:rsidR="004324FD" w:rsidRPr="00234275" w:rsidRDefault="00530F8D" w:rsidP="004324F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16.20 (4.72–55.60)</w:t>
            </w:r>
          </w:p>
        </w:tc>
        <w:tc>
          <w:tcPr>
            <w:tcW w:w="835" w:type="pct"/>
          </w:tcPr>
          <w:p w:rsidR="004324FD" w:rsidRPr="00234275" w:rsidRDefault="00F65F7C" w:rsidP="004324FD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10.94 (1.83–65.51)</w:t>
            </w:r>
          </w:p>
        </w:tc>
        <w:tc>
          <w:tcPr>
            <w:tcW w:w="838" w:type="pct"/>
          </w:tcPr>
          <w:p w:rsidR="004324FD" w:rsidRPr="00234275" w:rsidRDefault="00F65F7C" w:rsidP="004324FD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14.13 (2.85–70.01)</w:t>
            </w:r>
          </w:p>
        </w:tc>
        <w:tc>
          <w:tcPr>
            <w:tcW w:w="785" w:type="pct"/>
          </w:tcPr>
          <w:p w:rsidR="004324FD" w:rsidRPr="00234275" w:rsidRDefault="00F65F7C" w:rsidP="004324FD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18.57 (5.18–66.58)</w:t>
            </w:r>
          </w:p>
        </w:tc>
        <w:tc>
          <w:tcPr>
            <w:tcW w:w="356" w:type="pct"/>
          </w:tcPr>
          <w:p w:rsidR="004324FD" w:rsidRPr="00234275" w:rsidRDefault="004324FD" w:rsidP="004324FD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  <w:tcBorders>
              <w:bottom w:val="nil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Model 2ᵇ</w:t>
            </w:r>
          </w:p>
        </w:tc>
        <w:tc>
          <w:tcPr>
            <w:tcW w:w="576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05966">
              <w:rPr>
                <w:rFonts w:ascii="Times New Roman" w:hAnsi="Times New Roman" w:cs="Times New Roman"/>
                <w:szCs w:val="22"/>
                <w:lang w:eastAsia="ko-KR"/>
              </w:rPr>
              <w:t>1 (Reference)</w:t>
            </w:r>
          </w:p>
        </w:tc>
        <w:tc>
          <w:tcPr>
            <w:tcW w:w="785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15.25 (4.31–54.02)</w:t>
            </w:r>
          </w:p>
        </w:tc>
        <w:tc>
          <w:tcPr>
            <w:tcW w:w="835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9.40 (1.50–58.80)</w:t>
            </w:r>
          </w:p>
        </w:tc>
        <w:tc>
          <w:tcPr>
            <w:tcW w:w="838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13.07 (2.56–66.70)</w:t>
            </w:r>
          </w:p>
        </w:tc>
        <w:tc>
          <w:tcPr>
            <w:tcW w:w="785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17.65 (4.82–64.63)</w:t>
            </w:r>
          </w:p>
        </w:tc>
        <w:tc>
          <w:tcPr>
            <w:tcW w:w="356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eastAsia="맑은 고딕" w:hAnsi="Times New Roman" w:cs="Times New Roman"/>
                <w:bCs/>
                <w:szCs w:val="22"/>
                <w:vertAlign w:val="superscript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Model 3ᶜ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05966">
              <w:rPr>
                <w:rFonts w:ascii="Times New Roman" w:hAnsi="Times New Roman" w:cs="Times New Roman"/>
                <w:szCs w:val="22"/>
                <w:lang w:eastAsia="ko-KR"/>
              </w:rPr>
              <w:t>1 (Reference)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15.51 (4.37–55.11)</w:t>
            </w:r>
          </w:p>
        </w:tc>
        <w:tc>
          <w:tcPr>
            <w:tcW w:w="835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9.47 (1.51–59.44)</w:t>
            </w:r>
          </w:p>
        </w:tc>
        <w:tc>
          <w:tcPr>
            <w:tcW w:w="838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13.06 (2.54–67.10)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18.03 (4.92–66.13)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  <w:tcBorders>
              <w:top w:val="single" w:sz="4" w:space="0" w:color="auto"/>
            </w:tcBorders>
            <w:vAlign w:val="bottom"/>
          </w:tcPr>
          <w:p w:rsidR="00205966" w:rsidRPr="00234275" w:rsidRDefault="00205966" w:rsidP="00205966">
            <w:pPr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 xml:space="preserve">Overall Fracture </w:t>
            </w:r>
            <w:r w:rsidRPr="00234275">
              <w:rPr>
                <w:rFonts w:ascii="Times New Roman" w:eastAsia="맑은 고딕" w:hAnsi="Times New Roman" w:cs="Times New Roman"/>
                <w:szCs w:val="22"/>
              </w:rPr>
              <w:br/>
              <w:t>within 2 years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</w:tcBorders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  <w:tc>
          <w:tcPr>
            <w:tcW w:w="838" w:type="pct"/>
            <w:tcBorders>
              <w:top w:val="single" w:sz="4" w:space="0" w:color="auto"/>
            </w:tcBorders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</w:tcPr>
          <w:p w:rsidR="00205966" w:rsidRPr="00234275" w:rsidRDefault="00205966" w:rsidP="00205966">
            <w:pPr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Events, n</w:t>
            </w:r>
          </w:p>
        </w:tc>
        <w:tc>
          <w:tcPr>
            <w:tcW w:w="576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</w:pPr>
            <w:r w:rsidRPr="00234275"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  <w:t>10</w:t>
            </w:r>
          </w:p>
        </w:tc>
        <w:tc>
          <w:tcPr>
            <w:tcW w:w="78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</w:pPr>
            <w:r w:rsidRPr="00234275"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  <w:t>30</w:t>
            </w:r>
          </w:p>
        </w:tc>
        <w:tc>
          <w:tcPr>
            <w:tcW w:w="83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</w:pPr>
            <w:r w:rsidRPr="00234275"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  <w:t>5</w:t>
            </w:r>
          </w:p>
        </w:tc>
        <w:tc>
          <w:tcPr>
            <w:tcW w:w="838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</w:pPr>
            <w:r w:rsidRPr="00234275"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  <w:t>6</w:t>
            </w:r>
          </w:p>
        </w:tc>
        <w:tc>
          <w:tcPr>
            <w:tcW w:w="78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</w:pPr>
            <w:r w:rsidRPr="00234275">
              <w:rPr>
                <w:rFonts w:ascii="Times New Roman" w:eastAsia="맑은 고딕" w:hAnsi="Times New Roman" w:cs="Times New Roman"/>
                <w:bCs/>
                <w:szCs w:val="22"/>
                <w:lang w:eastAsia="ko-KR"/>
              </w:rPr>
              <w:t>19</w:t>
            </w:r>
          </w:p>
        </w:tc>
        <w:tc>
          <w:tcPr>
            <w:tcW w:w="356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</w:tcPr>
          <w:p w:rsidR="00205966" w:rsidRPr="00234275" w:rsidRDefault="00205966" w:rsidP="00205966">
            <w:pPr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Person-years</w:t>
            </w:r>
          </w:p>
        </w:tc>
        <w:tc>
          <w:tcPr>
            <w:tcW w:w="576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23,867</w:t>
            </w:r>
          </w:p>
        </w:tc>
        <w:tc>
          <w:tcPr>
            <w:tcW w:w="78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7,968</w:t>
            </w:r>
          </w:p>
        </w:tc>
        <w:tc>
          <w:tcPr>
            <w:tcW w:w="83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1,274</w:t>
            </w:r>
          </w:p>
        </w:tc>
        <w:tc>
          <w:tcPr>
            <w:tcW w:w="838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1,696</w:t>
            </w:r>
          </w:p>
        </w:tc>
        <w:tc>
          <w:tcPr>
            <w:tcW w:w="78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4,997</w:t>
            </w:r>
          </w:p>
        </w:tc>
        <w:tc>
          <w:tcPr>
            <w:tcW w:w="356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</w:tcPr>
          <w:p w:rsidR="00205966" w:rsidRPr="00234275" w:rsidRDefault="00205966" w:rsidP="00205966">
            <w:pPr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  <w:szCs w:val="22"/>
              </w:rPr>
              <w:t>Incidence rate*</w:t>
            </w:r>
          </w:p>
        </w:tc>
        <w:tc>
          <w:tcPr>
            <w:tcW w:w="576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0.419</w:t>
            </w:r>
          </w:p>
        </w:tc>
        <w:tc>
          <w:tcPr>
            <w:tcW w:w="78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3.765</w:t>
            </w:r>
          </w:p>
        </w:tc>
        <w:tc>
          <w:tcPr>
            <w:tcW w:w="83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3.922</w:t>
            </w:r>
          </w:p>
        </w:tc>
        <w:tc>
          <w:tcPr>
            <w:tcW w:w="838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3.537</w:t>
            </w:r>
          </w:p>
        </w:tc>
        <w:tc>
          <w:tcPr>
            <w:tcW w:w="785" w:type="pct"/>
            <w:vAlign w:val="center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34275">
              <w:rPr>
                <w:rFonts w:ascii="Times New Roman" w:hAnsi="Times New Roman" w:cs="Times New Roman"/>
                <w:szCs w:val="22"/>
                <w:lang w:eastAsia="ko-KR"/>
              </w:rPr>
              <w:t>3.802</w:t>
            </w:r>
          </w:p>
        </w:tc>
        <w:tc>
          <w:tcPr>
            <w:tcW w:w="356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  <w:vAlign w:val="bottom"/>
          </w:tcPr>
          <w:p w:rsidR="00205966" w:rsidRPr="00234275" w:rsidRDefault="00205966" w:rsidP="00205966">
            <w:pPr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aHR (95% CI)</w:t>
            </w:r>
          </w:p>
        </w:tc>
        <w:tc>
          <w:tcPr>
            <w:tcW w:w="576" w:type="pct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5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8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6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B6332B">
        <w:tc>
          <w:tcPr>
            <w:tcW w:w="825" w:type="pct"/>
          </w:tcPr>
          <w:p w:rsidR="00205966" w:rsidRPr="00234275" w:rsidRDefault="00205966" w:rsidP="00205966">
            <w:pPr>
              <w:ind w:leftChars="100" w:left="220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Model 1ᵃ</w:t>
            </w:r>
          </w:p>
        </w:tc>
        <w:tc>
          <w:tcPr>
            <w:tcW w:w="576" w:type="pct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05966">
              <w:rPr>
                <w:rFonts w:ascii="Times New Roman" w:hAnsi="Times New Roman" w:cs="Times New Roman"/>
                <w:szCs w:val="22"/>
                <w:lang w:eastAsia="ko-KR"/>
              </w:rPr>
              <w:t>1 (Reference)</w:t>
            </w:r>
          </w:p>
        </w:tc>
        <w:tc>
          <w:tcPr>
            <w:tcW w:w="785" w:type="pct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9.18 (4.49–18.78)</w:t>
            </w:r>
          </w:p>
        </w:tc>
        <w:tc>
          <w:tcPr>
            <w:tcW w:w="835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8.14 (2.78–23.83)</w:t>
            </w:r>
          </w:p>
        </w:tc>
        <w:tc>
          <w:tcPr>
            <w:tcW w:w="838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8.41 (3.06–23.14)</w:t>
            </w:r>
          </w:p>
        </w:tc>
        <w:tc>
          <w:tcPr>
            <w:tcW w:w="785" w:type="pct"/>
            <w:vAlign w:val="bottom"/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9.79 (4.55–21.06)</w:t>
            </w:r>
          </w:p>
        </w:tc>
        <w:tc>
          <w:tcPr>
            <w:tcW w:w="356" w:type="pct"/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  <w:tcBorders>
              <w:bottom w:val="nil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eastAsia="맑은 고딕" w:hAnsi="Times New Roman" w:cs="Times New Roman"/>
                <w:szCs w:val="22"/>
              </w:rPr>
              <w:t>Model 2ᵇ</w:t>
            </w:r>
          </w:p>
        </w:tc>
        <w:tc>
          <w:tcPr>
            <w:tcW w:w="576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05966">
              <w:rPr>
                <w:rFonts w:ascii="Times New Roman" w:hAnsi="Times New Roman" w:cs="Times New Roman"/>
                <w:szCs w:val="22"/>
                <w:lang w:eastAsia="ko-KR"/>
              </w:rPr>
              <w:t>1 (Reference)</w:t>
            </w:r>
          </w:p>
        </w:tc>
        <w:tc>
          <w:tcPr>
            <w:tcW w:w="785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9.79 (4.66–20.58)</w:t>
            </w:r>
          </w:p>
        </w:tc>
        <w:tc>
          <w:tcPr>
            <w:tcW w:w="835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8.65 (2.84–26.38)</w:t>
            </w:r>
          </w:p>
        </w:tc>
        <w:tc>
          <w:tcPr>
            <w:tcW w:w="838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9.13 (3.23–25.77)</w:t>
            </w:r>
          </w:p>
        </w:tc>
        <w:tc>
          <w:tcPr>
            <w:tcW w:w="785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10.30 (4.71–22.65)</w:t>
            </w:r>
          </w:p>
        </w:tc>
        <w:tc>
          <w:tcPr>
            <w:tcW w:w="356" w:type="pct"/>
            <w:tcBorders>
              <w:bottom w:val="nil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  <w:tr w:rsidR="00205966" w:rsidRPr="00234275" w:rsidTr="003277FA">
        <w:tc>
          <w:tcPr>
            <w:tcW w:w="825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ind w:leftChars="100" w:left="220"/>
              <w:rPr>
                <w:rFonts w:ascii="Times New Roman" w:eastAsia="맑은 고딕" w:hAnsi="Times New Roman" w:cs="Times New Roman"/>
                <w:szCs w:val="22"/>
              </w:rPr>
            </w:pPr>
            <w:bookmarkStart w:id="1" w:name="_GoBack" w:colFirst="1" w:colLast="1"/>
            <w:r w:rsidRPr="00234275">
              <w:rPr>
                <w:rFonts w:ascii="Times New Roman" w:eastAsia="맑은 고딕" w:hAnsi="Times New Roman" w:cs="Times New Roman"/>
                <w:szCs w:val="22"/>
              </w:rPr>
              <w:t>Model 3ᶜ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hAnsi="Times New Roman" w:cs="Times New Roman"/>
                <w:szCs w:val="22"/>
                <w:lang w:eastAsia="ko-KR"/>
              </w:rPr>
            </w:pPr>
            <w:r w:rsidRPr="00205966">
              <w:rPr>
                <w:rFonts w:ascii="Times New Roman" w:hAnsi="Times New Roman" w:cs="Times New Roman"/>
                <w:szCs w:val="22"/>
                <w:lang w:eastAsia="ko-KR"/>
              </w:rPr>
              <w:t>1 (Reference)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9.46 (4.50–19.89)</w:t>
            </w:r>
          </w:p>
        </w:tc>
        <w:tc>
          <w:tcPr>
            <w:tcW w:w="835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8.50 (2.79–25.95)</w:t>
            </w:r>
          </w:p>
        </w:tc>
        <w:tc>
          <w:tcPr>
            <w:tcW w:w="838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8.83 (3.12–25.01)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  <w:r w:rsidRPr="00234275">
              <w:rPr>
                <w:rFonts w:ascii="Times New Roman" w:hAnsi="Times New Roman" w:cs="Times New Roman"/>
              </w:rPr>
              <w:t>9.90 (4.51–21.72)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</w:tcPr>
          <w:p w:rsidR="00205966" w:rsidRPr="00234275" w:rsidRDefault="00205966" w:rsidP="00205966">
            <w:pPr>
              <w:jc w:val="center"/>
              <w:rPr>
                <w:rFonts w:ascii="Times New Roman" w:eastAsia="맑은 고딕" w:hAnsi="Times New Roman" w:cs="Times New Roman"/>
                <w:bCs/>
                <w:szCs w:val="22"/>
              </w:rPr>
            </w:pPr>
          </w:p>
        </w:tc>
      </w:tr>
    </w:tbl>
    <w:bookmarkEnd w:id="0"/>
    <w:bookmarkEnd w:id="1"/>
    <w:p w:rsidR="00361041" w:rsidRPr="00234275" w:rsidRDefault="00361041" w:rsidP="00361041">
      <w:pPr>
        <w:rPr>
          <w:rFonts w:ascii="Times New Roman" w:eastAsia="맑은 고딕" w:hAnsi="Times New Roman" w:cs="Times New Roman"/>
          <w:szCs w:val="22"/>
        </w:rPr>
      </w:pPr>
      <w:r w:rsidRPr="00234275">
        <w:rPr>
          <w:rFonts w:ascii="Times New Roman" w:eastAsia="맑은 고딕" w:hAnsi="Times New Roman" w:cs="Times New Roman"/>
          <w:szCs w:val="22"/>
        </w:rPr>
        <w:t>Abbreviations: MPR, medication possession ratio; aHR, adjusted hazard ratio; CI, confidence interval; IR, incidence rate; PY, person-years.</w:t>
      </w:r>
      <w:r w:rsidRPr="00234275">
        <w:rPr>
          <w:rFonts w:ascii="Times New Roman" w:eastAsia="맑은 고딕" w:hAnsi="Times New Roman" w:cs="Times New Roman"/>
          <w:szCs w:val="22"/>
        </w:rPr>
        <w:br/>
        <w:t>*Incidence rate: Expressed per 1,000 person-years</w:t>
      </w:r>
      <w:r w:rsidRPr="00234275">
        <w:rPr>
          <w:rFonts w:ascii="Times New Roman" w:eastAsia="맑은 고딕" w:hAnsi="Times New Roman" w:cs="Times New Roman"/>
          <w:szCs w:val="22"/>
        </w:rPr>
        <w:br/>
      </w:r>
      <w:r w:rsidRPr="00234275">
        <w:rPr>
          <w:rFonts w:ascii="Times New Roman" w:eastAsia="맑은 고딕" w:hAnsi="Times New Roman" w:cs="Times New Roman"/>
          <w:szCs w:val="22"/>
          <w:vertAlign w:val="superscript"/>
        </w:rPr>
        <w:t xml:space="preserve">ᵃ </w:t>
      </w:r>
      <w:r w:rsidRPr="00234275">
        <w:rPr>
          <w:rFonts w:ascii="Times New Roman" w:eastAsia="맑은 고딕" w:hAnsi="Times New Roman" w:cs="Times New Roman"/>
          <w:szCs w:val="22"/>
        </w:rPr>
        <w:t>Model 1: Adjusted for age and sex.</w:t>
      </w:r>
      <w:r w:rsidRPr="00234275">
        <w:rPr>
          <w:rFonts w:ascii="Times New Roman" w:eastAsia="맑은 고딕" w:hAnsi="Times New Roman" w:cs="Times New Roman"/>
          <w:szCs w:val="22"/>
        </w:rPr>
        <w:br/>
      </w:r>
      <w:r w:rsidRPr="00234275">
        <w:rPr>
          <w:rFonts w:ascii="Times New Roman" w:eastAsia="맑은 고딕" w:hAnsi="Times New Roman" w:cs="Times New Roman"/>
          <w:szCs w:val="22"/>
          <w:vertAlign w:val="superscript"/>
        </w:rPr>
        <w:t xml:space="preserve">ᵇ </w:t>
      </w:r>
      <w:r w:rsidRPr="00234275">
        <w:rPr>
          <w:rFonts w:ascii="Times New Roman" w:eastAsia="맑은 고딕" w:hAnsi="Times New Roman" w:cs="Times New Roman"/>
          <w:szCs w:val="22"/>
        </w:rPr>
        <w:t>Model 2: Adjusted for Model 1 variables plus income Household Income, Body Mass Index (BMI), Charson Comorbidity Index (CCI), and Underlying Comorbidities (hypertension, dyslipidemia, and diabetes mellitus).</w:t>
      </w:r>
      <w:r w:rsidRPr="00234275">
        <w:rPr>
          <w:rFonts w:ascii="Times New Roman" w:eastAsia="맑은 고딕" w:hAnsi="Times New Roman" w:cs="Times New Roman"/>
          <w:szCs w:val="22"/>
        </w:rPr>
        <w:br/>
      </w:r>
      <w:r w:rsidRPr="00234275">
        <w:rPr>
          <w:rFonts w:ascii="Times New Roman" w:eastAsia="맑은 고딕" w:hAnsi="Times New Roman" w:cs="Times New Roman"/>
          <w:szCs w:val="22"/>
          <w:vertAlign w:val="superscript"/>
        </w:rPr>
        <w:t xml:space="preserve">ᶜ </w:t>
      </w:r>
      <w:r w:rsidRPr="00234275">
        <w:rPr>
          <w:rFonts w:ascii="Times New Roman" w:eastAsia="맑은 고딕" w:hAnsi="Times New Roman" w:cs="Times New Roman"/>
          <w:szCs w:val="22"/>
        </w:rPr>
        <w:t>Model 3: Adjusted for Model 2 variables plus lifestyle factors including smoking status, alcohol consumption, and physical activity.</w:t>
      </w:r>
      <w:r w:rsidRPr="00234275">
        <w:rPr>
          <w:rFonts w:ascii="Times New Roman" w:eastAsia="맑은 고딕" w:hAnsi="Times New Roman" w:cs="Times New Roman"/>
          <w:szCs w:val="22"/>
        </w:rPr>
        <w:br/>
        <w:t>P for trend was calculated across four groups: Non-gout (reference), Gout with MPR ≥ 0.8, 0.3 ≤ MPR &lt; 0.8, and MPR &lt; 0.3.</w:t>
      </w:r>
    </w:p>
    <w:p w:rsidR="00B32F94" w:rsidRPr="00234275" w:rsidRDefault="00B32F94" w:rsidP="00030131">
      <w:pPr>
        <w:spacing w:after="0"/>
        <w:rPr>
          <w:rFonts w:ascii="Times New Roman" w:hAnsi="Times New Roman" w:cs="Times New Roman"/>
          <w:szCs w:val="22"/>
        </w:rPr>
      </w:pPr>
    </w:p>
    <w:sectPr w:rsidR="00B32F94" w:rsidRPr="00234275" w:rsidSect="0026499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21F" w:rsidRDefault="0094121F" w:rsidP="003C7C68">
      <w:pPr>
        <w:spacing w:after="0"/>
      </w:pPr>
      <w:r>
        <w:separator/>
      </w:r>
    </w:p>
  </w:endnote>
  <w:endnote w:type="continuationSeparator" w:id="0">
    <w:p w:rsidR="0094121F" w:rsidRDefault="0094121F" w:rsidP="003C7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21F" w:rsidRDefault="0094121F" w:rsidP="003C7C68">
      <w:pPr>
        <w:spacing w:after="0"/>
      </w:pPr>
      <w:r>
        <w:separator/>
      </w:r>
    </w:p>
  </w:footnote>
  <w:footnote w:type="continuationSeparator" w:id="0">
    <w:p w:rsidR="0094121F" w:rsidRDefault="0094121F" w:rsidP="003C7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9C"/>
    <w:rsid w:val="00030131"/>
    <w:rsid w:val="000D14FF"/>
    <w:rsid w:val="000E3A52"/>
    <w:rsid w:val="000F0EB3"/>
    <w:rsid w:val="00103E68"/>
    <w:rsid w:val="00124AF8"/>
    <w:rsid w:val="00154114"/>
    <w:rsid w:val="001659A4"/>
    <w:rsid w:val="00174B9E"/>
    <w:rsid w:val="00205966"/>
    <w:rsid w:val="00234275"/>
    <w:rsid w:val="00244B4E"/>
    <w:rsid w:val="0026499C"/>
    <w:rsid w:val="003277FA"/>
    <w:rsid w:val="00361041"/>
    <w:rsid w:val="00376189"/>
    <w:rsid w:val="003C7C68"/>
    <w:rsid w:val="003F7A12"/>
    <w:rsid w:val="00422AD2"/>
    <w:rsid w:val="00426A90"/>
    <w:rsid w:val="00427F6E"/>
    <w:rsid w:val="004324FD"/>
    <w:rsid w:val="004555FE"/>
    <w:rsid w:val="00457155"/>
    <w:rsid w:val="004621D2"/>
    <w:rsid w:val="00486461"/>
    <w:rsid w:val="0049594E"/>
    <w:rsid w:val="004C6257"/>
    <w:rsid w:val="004D5FC6"/>
    <w:rsid w:val="00530F8D"/>
    <w:rsid w:val="00597954"/>
    <w:rsid w:val="006E07C0"/>
    <w:rsid w:val="00801A1C"/>
    <w:rsid w:val="00807917"/>
    <w:rsid w:val="008B27EF"/>
    <w:rsid w:val="0091657D"/>
    <w:rsid w:val="009218DD"/>
    <w:rsid w:val="00933166"/>
    <w:rsid w:val="0094121F"/>
    <w:rsid w:val="009551D4"/>
    <w:rsid w:val="009C1CF4"/>
    <w:rsid w:val="009D40B4"/>
    <w:rsid w:val="00A50C9A"/>
    <w:rsid w:val="00B10C31"/>
    <w:rsid w:val="00B32F94"/>
    <w:rsid w:val="00BC35E2"/>
    <w:rsid w:val="00C72232"/>
    <w:rsid w:val="00CA50D1"/>
    <w:rsid w:val="00E13D48"/>
    <w:rsid w:val="00E161BB"/>
    <w:rsid w:val="00E9297C"/>
    <w:rsid w:val="00EA681B"/>
    <w:rsid w:val="00ED1568"/>
    <w:rsid w:val="00F474E3"/>
    <w:rsid w:val="00F65F7C"/>
    <w:rsid w:val="00F81520"/>
    <w:rsid w:val="00FA1339"/>
    <w:rsid w:val="00FB7ED9"/>
    <w:rsid w:val="00FC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044076-6D03-4146-8730-F443EC58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99C"/>
    <w:pPr>
      <w:widowControl w:val="0"/>
      <w:wordWrap w:val="0"/>
      <w:autoSpaceDE w:val="0"/>
      <w:autoSpaceDN w:val="0"/>
      <w:spacing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C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C7C68"/>
    <w:rPr>
      <w:rFonts w:asciiTheme="minorEastAsia"/>
      <w:sz w:val="22"/>
      <w:szCs w:val="24"/>
      <w14:ligatures w14:val="standardContextual"/>
    </w:rPr>
  </w:style>
  <w:style w:type="paragraph" w:styleId="a4">
    <w:name w:val="footer"/>
    <w:basedOn w:val="a"/>
    <w:link w:val="Char0"/>
    <w:uiPriority w:val="99"/>
    <w:unhideWhenUsed/>
    <w:rsid w:val="003C7C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C7C68"/>
    <w:rPr>
      <w:rFonts w:asciiTheme="minorEastAsia"/>
      <w:sz w:val="22"/>
      <w:szCs w:val="24"/>
      <w14:ligatures w14:val="standardContextual"/>
    </w:rPr>
  </w:style>
  <w:style w:type="table" w:customStyle="1" w:styleId="1">
    <w:name w:val="표 구분선1"/>
    <w:basedOn w:val="a1"/>
    <w:next w:val="a5"/>
    <w:uiPriority w:val="59"/>
    <w:rsid w:val="00361041"/>
    <w:pPr>
      <w:spacing w:after="0" w:line="240" w:lineRule="auto"/>
      <w:jc w:val="left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6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DBCD8-10DD-4261-B22A-099FCA60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두장호</dc:creator>
  <cp:keywords/>
  <dc:description/>
  <cp:lastModifiedBy>두장호</cp:lastModifiedBy>
  <cp:revision>7</cp:revision>
  <dcterms:created xsi:type="dcterms:W3CDTF">2026-07-01T00:08:00Z</dcterms:created>
  <dcterms:modified xsi:type="dcterms:W3CDTF">2026-07-05T15:35:00Z</dcterms:modified>
</cp:coreProperties>
</file>