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3068" w14:textId="181E76CE" w:rsidR="00827F91" w:rsidRPr="00445ABA" w:rsidRDefault="00827F91" w:rsidP="00827F91">
      <w:pPr>
        <w:spacing w:line="360" w:lineRule="auto"/>
        <w:rPr>
          <w:sz w:val="22"/>
          <w:szCs w:val="22"/>
        </w:rPr>
      </w:pPr>
      <w:bookmarkStart w:id="0" w:name="_GoBack"/>
      <w:bookmarkEnd w:id="0"/>
      <w:r>
        <w:rPr>
          <w:b/>
          <w:bCs/>
          <w:sz w:val="22"/>
          <w:szCs w:val="22"/>
        </w:rPr>
        <w:t>Table S1</w:t>
      </w:r>
      <w:r w:rsidRPr="00A40BE1">
        <w:rPr>
          <w:b/>
          <w:bCs/>
          <w:sz w:val="22"/>
          <w:szCs w:val="22"/>
        </w:rPr>
        <w:t xml:space="preserve">. </w:t>
      </w:r>
      <w:r>
        <w:rPr>
          <w:b/>
          <w:bCs/>
          <w:sz w:val="22"/>
          <w:szCs w:val="22"/>
        </w:rPr>
        <w:t>M</w:t>
      </w:r>
      <w:r w:rsidRPr="00A40BE1">
        <w:rPr>
          <w:b/>
          <w:bCs/>
          <w:sz w:val="22"/>
          <w:szCs w:val="22"/>
        </w:rPr>
        <w:t>olecular sensors and sensory transducers in choanozoans</w:t>
      </w:r>
      <w:r>
        <w:rPr>
          <w:b/>
          <w:bCs/>
          <w:sz w:val="22"/>
          <w:szCs w:val="22"/>
        </w:rPr>
        <w:t xml:space="preserve"> (related to Fig. 3)</w:t>
      </w:r>
      <w:r w:rsidRPr="00A40BE1">
        <w:rPr>
          <w:b/>
          <w:bCs/>
          <w:sz w:val="22"/>
          <w:szCs w:val="22"/>
        </w:rPr>
        <w:t>.</w:t>
      </w:r>
      <w:r>
        <w:rPr>
          <w:b/>
          <w:bCs/>
          <w:sz w:val="22"/>
          <w:szCs w:val="22"/>
        </w:rPr>
        <w:t xml:space="preserve"> </w:t>
      </w:r>
      <w:r w:rsidRPr="008C1EA5">
        <w:rPr>
          <w:sz w:val="22"/>
          <w:szCs w:val="22"/>
        </w:rPr>
        <w:t xml:space="preserve">Shown are </w:t>
      </w:r>
      <w:r>
        <w:rPr>
          <w:sz w:val="22"/>
          <w:szCs w:val="22"/>
        </w:rPr>
        <w:t>reported o</w:t>
      </w:r>
      <w:r w:rsidRPr="00A40BE1">
        <w:rPr>
          <w:sz w:val="22"/>
          <w:szCs w:val="22"/>
        </w:rPr>
        <w:t xml:space="preserve">rtholog sequences </w:t>
      </w:r>
      <w:r>
        <w:rPr>
          <w:sz w:val="22"/>
          <w:szCs w:val="22"/>
        </w:rPr>
        <w:t xml:space="preserve">in </w:t>
      </w:r>
      <w:r w:rsidRPr="00A40BE1">
        <w:rPr>
          <w:sz w:val="22"/>
          <w:szCs w:val="22"/>
        </w:rPr>
        <w:t xml:space="preserve">literature or </w:t>
      </w:r>
      <w:r>
        <w:rPr>
          <w:sz w:val="22"/>
          <w:szCs w:val="22"/>
        </w:rPr>
        <w:t xml:space="preserve">accession numbers of orthologs </w:t>
      </w:r>
      <w:r w:rsidRPr="00A40BE1">
        <w:rPr>
          <w:sz w:val="22"/>
          <w:szCs w:val="22"/>
        </w:rPr>
        <w:t xml:space="preserve">predicted </w:t>
      </w:r>
      <w:r>
        <w:rPr>
          <w:sz w:val="22"/>
          <w:szCs w:val="22"/>
        </w:rPr>
        <w:t>here. Putative orthologs were identified</w:t>
      </w:r>
      <w:r w:rsidRPr="00A40BE1">
        <w:rPr>
          <w:sz w:val="22"/>
          <w:szCs w:val="22"/>
        </w:rPr>
        <w:t xml:space="preserve"> </w:t>
      </w:r>
      <w:r>
        <w:rPr>
          <w:sz w:val="22"/>
          <w:szCs w:val="22"/>
        </w:rPr>
        <w:t>as</w:t>
      </w:r>
      <w:r w:rsidRPr="000E3BC6">
        <w:rPr>
          <w:sz w:val="22"/>
          <w:szCs w:val="22"/>
        </w:rPr>
        <w:t xml:space="preserve"> reciprocal best </w:t>
      </w:r>
      <w:proofErr w:type="spellStart"/>
      <w:r w:rsidRPr="000E3BC6">
        <w:rPr>
          <w:sz w:val="22"/>
          <w:szCs w:val="22"/>
        </w:rPr>
        <w:t>BlastP</w:t>
      </w:r>
      <w:proofErr w:type="spellEnd"/>
      <w:r w:rsidRPr="000E3BC6">
        <w:rPr>
          <w:sz w:val="22"/>
          <w:szCs w:val="22"/>
        </w:rPr>
        <w:t xml:space="preserve"> </w:t>
      </w:r>
      <w:r>
        <w:rPr>
          <w:sz w:val="22"/>
          <w:szCs w:val="22"/>
        </w:rPr>
        <w:t>hits</w:t>
      </w:r>
      <w:r w:rsidRPr="006B6DF6">
        <w:rPr>
          <w:sz w:val="22"/>
          <w:szCs w:val="22"/>
        </w:rPr>
        <w:t xml:space="preserve"> </w:t>
      </w:r>
      <w:r>
        <w:rPr>
          <w:sz w:val="22"/>
          <w:szCs w:val="22"/>
        </w:rPr>
        <w:t>and with</w:t>
      </w:r>
      <w:r w:rsidRPr="00A94248">
        <w:rPr>
          <w:sz w:val="22"/>
          <w:szCs w:val="22"/>
        </w:rPr>
        <w:t xml:space="preserve"> </w:t>
      </w:r>
      <w:proofErr w:type="spellStart"/>
      <w:r w:rsidRPr="00A94248">
        <w:rPr>
          <w:sz w:val="22"/>
          <w:szCs w:val="22"/>
        </w:rPr>
        <w:t>PfamScan</w:t>
      </w:r>
      <w:proofErr w:type="spellEnd"/>
      <w:r>
        <w:rPr>
          <w:sz w:val="22"/>
          <w:szCs w:val="22"/>
        </w:rPr>
        <w:t xml:space="preserve"> using the gathering threshold as cutoff value </w:t>
      </w:r>
      <w:r>
        <w:rPr>
          <w:sz w:val="22"/>
          <w:szCs w:val="22"/>
        </w:rPr>
        <w:fldChar w:fldCharType="begin"/>
      </w:r>
      <w:r>
        <w:rPr>
          <w:sz w:val="22"/>
          <w:szCs w:val="22"/>
        </w:rPr>
        <w:instrText xml:space="preserve"> ADDIN ZOTERO_ITEM CSL_CITATION {"citationID":"Y1VrbBq9","properties":{"formattedCitation":"(Mistry et al. 2021)","plainCitation":"(Mistry et al. 2021)","noteIndex":0},"citationItems":[{"id":"K5g4I7TM/zFnB34IL","uris":["http://zotero.org/groups/2923510/items/QCK5UBJA"],"itemData":{"id":891,"type":"article-journal","abstract":"The Pfam database is a widely used resource for classifying protein sequences into families and domains. Since Pfam was last described in this journal, over 350 new families have been added in Pfam 33.1 and numerous improvements have been made to existing entries. To facilitate research on COVID-19, we have revised the Pfam entries that cover the SARS-CoV-2 proteome, and built new entries for regions that were not covered by Pfam. We have reintroduced Pfam-B which provides an automatically generated supplement to Pfam and contains 136 730 novel clusters of sequences that are not yet matched by a Pfam family. The new Pfam-B is based on a clustering by the MMseqs2 software. We have compared all of the regions in the RepeatsDB to those in Pfam and have started to use the results to build and refine Pfam repeat families. Pfam is freely available for browsing and download at http://pfam.xfam.org/.","container-title":"Nucleic Acids Research","DOI":"10.1093/nar/gkaa913","ISSN":"0305-1048","issue":"D1","journalAbbreviation":"Nucleic Acids Research","page":"D412-D419","source":"Silverchair","title":"Pfam: The protein families database in 2021","title-short":"Pfam","volume":"49","author":[{"family":"Mistry","given":"Jaina"},{"family":"Chuguransky","given":"Sara"},{"family":"Williams","given":"Lowri"},{"family":"Qureshi","given":"Matloob"},{"family":"Salazar","given":"Gustavo A"},{"family":"Sonnhammer","given":"Erik L L"},{"family":"Tosatto","given":"Silvio C E"},{"family":"Paladin","given":"Lisanna"},{"family":"Raj","given":"Shriya"},{"family":"Richardson","given":"Lorna J"},{"family":"Finn","given":"Robert D"},{"family":"Bateman","given":"Alex"}],"issued":{"date-parts":[["2021",1,8]]}}}],"schema":"https://github.com/citation-style-language/schema/raw/master/csl-citation.json"} </w:instrText>
      </w:r>
      <w:r>
        <w:rPr>
          <w:sz w:val="22"/>
          <w:szCs w:val="22"/>
        </w:rPr>
        <w:fldChar w:fldCharType="separate"/>
      </w:r>
      <w:r>
        <w:rPr>
          <w:noProof/>
          <w:sz w:val="22"/>
          <w:szCs w:val="22"/>
        </w:rPr>
        <w:t>(Mistry et al. 2021)</w:t>
      </w:r>
      <w:r>
        <w:rPr>
          <w:sz w:val="22"/>
          <w:szCs w:val="22"/>
        </w:rPr>
        <w:fldChar w:fldCharType="end"/>
      </w:r>
      <w:r>
        <w:rPr>
          <w:sz w:val="22"/>
          <w:szCs w:val="22"/>
        </w:rPr>
        <w:t>. Most BLAST searches were conducted against</w:t>
      </w:r>
      <w:r w:rsidRPr="000E3BC6">
        <w:rPr>
          <w:sz w:val="22"/>
          <w:szCs w:val="22"/>
        </w:rPr>
        <w:t xml:space="preserve"> the nonredundant protein database (nr) of the National Center for Biotechnology Information (NCBI)</w:t>
      </w:r>
      <w:r>
        <w:rPr>
          <w:sz w:val="22"/>
          <w:szCs w:val="22"/>
        </w:rPr>
        <w:t xml:space="preserve">. </w:t>
      </w:r>
      <w:r w:rsidRPr="006B6DF6">
        <w:rPr>
          <w:iCs/>
          <w:sz w:val="22"/>
          <w:szCs w:val="22"/>
        </w:rPr>
        <w:t>The</w:t>
      </w:r>
      <w:r>
        <w:rPr>
          <w:sz w:val="22"/>
          <w:szCs w:val="22"/>
        </w:rPr>
        <w:t xml:space="preserve"> </w:t>
      </w:r>
      <w:r>
        <w:rPr>
          <w:i/>
          <w:sz w:val="22"/>
          <w:szCs w:val="22"/>
        </w:rPr>
        <w:t xml:space="preserve">C. </w:t>
      </w:r>
      <w:proofErr w:type="spellStart"/>
      <w:r w:rsidRPr="006B6DF6">
        <w:rPr>
          <w:i/>
          <w:sz w:val="22"/>
          <w:szCs w:val="22"/>
        </w:rPr>
        <w:t>flexa</w:t>
      </w:r>
      <w:proofErr w:type="spellEnd"/>
      <w:r>
        <w:rPr>
          <w:iCs/>
          <w:sz w:val="22"/>
          <w:szCs w:val="22"/>
        </w:rPr>
        <w:t xml:space="preserve"> predicted proteome</w:t>
      </w:r>
      <w:r>
        <w:rPr>
          <w:sz w:val="22"/>
          <w:szCs w:val="22"/>
        </w:rPr>
        <w:t xml:space="preserve"> was searched locally (using Blast version</w:t>
      </w:r>
      <w:r w:rsidRPr="00D10604">
        <w:rPr>
          <w:sz w:val="22"/>
          <w:szCs w:val="22"/>
        </w:rPr>
        <w:t xml:space="preserve"> 2.3.0</w:t>
      </w:r>
      <w:r>
        <w:rPr>
          <w:sz w:val="22"/>
          <w:szCs w:val="22"/>
        </w:rPr>
        <w:t xml:space="preserve">) using </w:t>
      </w:r>
      <w:r w:rsidRPr="005975E7">
        <w:rPr>
          <w:i/>
          <w:iCs/>
          <w:sz w:val="22"/>
          <w:szCs w:val="22"/>
        </w:rPr>
        <w:t xml:space="preserve">S. </w:t>
      </w:r>
      <w:proofErr w:type="spellStart"/>
      <w:r w:rsidRPr="005975E7">
        <w:rPr>
          <w:i/>
          <w:iCs/>
          <w:sz w:val="22"/>
          <w:szCs w:val="22"/>
        </w:rPr>
        <w:t>rosetta</w:t>
      </w:r>
      <w:proofErr w:type="spellEnd"/>
      <w:r>
        <w:rPr>
          <w:sz w:val="22"/>
          <w:szCs w:val="22"/>
        </w:rPr>
        <w:t xml:space="preserve"> sequences as query. </w:t>
      </w:r>
    </w:p>
    <w:p w14:paraId="30F5D0A3" w14:textId="77777777" w:rsidR="00827F91" w:rsidRDefault="00827F91" w:rsidP="00827F91">
      <w:pPr>
        <w:spacing w:line="360" w:lineRule="auto"/>
        <w:rPr>
          <w:b/>
          <w:bCs/>
          <w:sz w:val="22"/>
          <w:szCs w:val="22"/>
        </w:rPr>
      </w:pPr>
    </w:p>
    <w:tbl>
      <w:tblPr>
        <w:tblStyle w:val="TableGrid"/>
        <w:tblW w:w="9776" w:type="dxa"/>
        <w:tblLook w:val="04A0" w:firstRow="1" w:lastRow="0" w:firstColumn="1" w:lastColumn="0" w:noHBand="0" w:noVBand="1"/>
      </w:tblPr>
      <w:tblGrid>
        <w:gridCol w:w="1896"/>
        <w:gridCol w:w="2594"/>
        <w:gridCol w:w="3150"/>
        <w:gridCol w:w="2136"/>
      </w:tblGrid>
      <w:tr w:rsidR="00827F91" w:rsidRPr="00445ABA" w14:paraId="0E6279EB" w14:textId="77777777" w:rsidTr="001C1FB8">
        <w:tc>
          <w:tcPr>
            <w:tcW w:w="1896" w:type="dxa"/>
            <w:vAlign w:val="center"/>
          </w:tcPr>
          <w:p w14:paraId="6151C24C" w14:textId="77777777" w:rsidR="00827F91" w:rsidRPr="00445ABA" w:rsidRDefault="00827F91" w:rsidP="001C1FB8">
            <w:pPr>
              <w:keepNext/>
              <w:keepLines/>
              <w:pageBreakBefore/>
              <w:jc w:val="center"/>
              <w:rPr>
                <w:b/>
                <w:bCs/>
                <w:sz w:val="22"/>
                <w:szCs w:val="22"/>
              </w:rPr>
            </w:pPr>
            <w:r w:rsidRPr="00445ABA">
              <w:rPr>
                <w:b/>
                <w:bCs/>
                <w:sz w:val="22"/>
                <w:szCs w:val="22"/>
              </w:rPr>
              <w:lastRenderedPageBreak/>
              <w:t>Sensory molecules</w:t>
            </w:r>
          </w:p>
        </w:tc>
        <w:tc>
          <w:tcPr>
            <w:tcW w:w="2594" w:type="dxa"/>
            <w:vAlign w:val="center"/>
          </w:tcPr>
          <w:p w14:paraId="1897C995" w14:textId="77777777" w:rsidR="00827F91" w:rsidRPr="00445ABA" w:rsidRDefault="00827F91" w:rsidP="001C1FB8">
            <w:pPr>
              <w:keepNext/>
              <w:keepLines/>
              <w:pageBreakBefore/>
              <w:jc w:val="center"/>
              <w:rPr>
                <w:b/>
                <w:bCs/>
                <w:sz w:val="22"/>
                <w:szCs w:val="22"/>
              </w:rPr>
            </w:pPr>
            <w:r>
              <w:rPr>
                <w:b/>
                <w:bCs/>
                <w:sz w:val="22"/>
                <w:szCs w:val="22"/>
              </w:rPr>
              <w:t>Orthologs in</w:t>
            </w:r>
            <w:r w:rsidRPr="00445ABA">
              <w:rPr>
                <w:b/>
                <w:bCs/>
                <w:sz w:val="22"/>
                <w:szCs w:val="22"/>
              </w:rPr>
              <w:t xml:space="preserve"> </w:t>
            </w:r>
            <w:r w:rsidRPr="00445ABA">
              <w:rPr>
                <w:b/>
                <w:bCs/>
                <w:i/>
                <w:iCs/>
                <w:sz w:val="22"/>
                <w:szCs w:val="22"/>
              </w:rPr>
              <w:t xml:space="preserve">M. </w:t>
            </w:r>
            <w:proofErr w:type="spellStart"/>
            <w:r w:rsidRPr="00445ABA">
              <w:rPr>
                <w:b/>
                <w:bCs/>
                <w:i/>
                <w:iCs/>
                <w:sz w:val="22"/>
                <w:szCs w:val="22"/>
              </w:rPr>
              <w:t>brevicollis</w:t>
            </w:r>
            <w:proofErr w:type="spellEnd"/>
          </w:p>
        </w:tc>
        <w:tc>
          <w:tcPr>
            <w:tcW w:w="3150" w:type="dxa"/>
            <w:vAlign w:val="center"/>
          </w:tcPr>
          <w:p w14:paraId="121D2928" w14:textId="77777777" w:rsidR="00827F91" w:rsidRPr="00445ABA" w:rsidRDefault="00827F91" w:rsidP="001C1FB8">
            <w:pPr>
              <w:keepNext/>
              <w:keepLines/>
              <w:pageBreakBefore/>
              <w:jc w:val="center"/>
              <w:rPr>
                <w:b/>
                <w:bCs/>
                <w:sz w:val="22"/>
                <w:szCs w:val="22"/>
              </w:rPr>
            </w:pPr>
            <w:r>
              <w:rPr>
                <w:b/>
                <w:bCs/>
                <w:sz w:val="22"/>
                <w:szCs w:val="22"/>
              </w:rPr>
              <w:t>Orthologs</w:t>
            </w:r>
            <w:r w:rsidRPr="00445ABA">
              <w:rPr>
                <w:b/>
                <w:bCs/>
                <w:sz w:val="22"/>
                <w:szCs w:val="22"/>
              </w:rPr>
              <w:t xml:space="preserve"> in </w:t>
            </w:r>
            <w:r w:rsidRPr="00445ABA">
              <w:rPr>
                <w:b/>
                <w:bCs/>
                <w:i/>
                <w:iCs/>
                <w:sz w:val="22"/>
                <w:szCs w:val="22"/>
              </w:rPr>
              <w:t xml:space="preserve">C. </w:t>
            </w:r>
            <w:proofErr w:type="spellStart"/>
            <w:r w:rsidRPr="00445ABA">
              <w:rPr>
                <w:b/>
                <w:bCs/>
                <w:i/>
                <w:iCs/>
                <w:sz w:val="22"/>
                <w:szCs w:val="22"/>
              </w:rPr>
              <w:t>flexa</w:t>
            </w:r>
            <w:proofErr w:type="spellEnd"/>
          </w:p>
        </w:tc>
        <w:tc>
          <w:tcPr>
            <w:tcW w:w="2136" w:type="dxa"/>
            <w:vAlign w:val="center"/>
          </w:tcPr>
          <w:p w14:paraId="03C096B6" w14:textId="77777777" w:rsidR="00827F91" w:rsidRPr="00445ABA" w:rsidRDefault="00827F91" w:rsidP="001C1FB8">
            <w:pPr>
              <w:keepNext/>
              <w:keepLines/>
              <w:pageBreakBefore/>
              <w:jc w:val="center"/>
              <w:rPr>
                <w:b/>
                <w:bCs/>
                <w:i/>
                <w:iCs/>
                <w:sz w:val="22"/>
                <w:szCs w:val="22"/>
              </w:rPr>
            </w:pPr>
            <w:r>
              <w:rPr>
                <w:b/>
                <w:bCs/>
                <w:sz w:val="22"/>
                <w:szCs w:val="22"/>
              </w:rPr>
              <w:t>Orthologs</w:t>
            </w:r>
            <w:r w:rsidRPr="00445ABA">
              <w:rPr>
                <w:b/>
                <w:bCs/>
                <w:sz w:val="22"/>
                <w:szCs w:val="22"/>
              </w:rPr>
              <w:t xml:space="preserve"> in </w:t>
            </w:r>
            <w:r w:rsidRPr="00445ABA">
              <w:rPr>
                <w:b/>
                <w:bCs/>
                <w:i/>
                <w:iCs/>
                <w:sz w:val="22"/>
                <w:szCs w:val="22"/>
              </w:rPr>
              <w:t xml:space="preserve">S. </w:t>
            </w:r>
            <w:proofErr w:type="spellStart"/>
            <w:r w:rsidRPr="00445ABA">
              <w:rPr>
                <w:b/>
                <w:bCs/>
                <w:i/>
                <w:iCs/>
                <w:sz w:val="22"/>
                <w:szCs w:val="22"/>
              </w:rPr>
              <w:t>rosetta</w:t>
            </w:r>
            <w:proofErr w:type="spellEnd"/>
          </w:p>
        </w:tc>
      </w:tr>
      <w:tr w:rsidR="00827F91" w:rsidRPr="00445ABA" w14:paraId="240A66D3" w14:textId="77777777" w:rsidTr="001C1FB8">
        <w:tc>
          <w:tcPr>
            <w:tcW w:w="1896" w:type="dxa"/>
            <w:vAlign w:val="center"/>
          </w:tcPr>
          <w:p w14:paraId="72EBEFE1" w14:textId="77777777" w:rsidR="00827F91" w:rsidRPr="00445ABA" w:rsidRDefault="00827F91" w:rsidP="001C1FB8">
            <w:pPr>
              <w:keepNext/>
              <w:keepLines/>
              <w:pageBreakBefore/>
              <w:jc w:val="center"/>
              <w:rPr>
                <w:sz w:val="20"/>
                <w:szCs w:val="20"/>
              </w:rPr>
            </w:pPr>
            <w:proofErr w:type="spellStart"/>
            <w:r w:rsidRPr="00445ABA">
              <w:rPr>
                <w:sz w:val="20"/>
                <w:szCs w:val="20"/>
              </w:rPr>
              <w:t>Phoenixin</w:t>
            </w:r>
            <w:proofErr w:type="spellEnd"/>
            <w:r w:rsidRPr="00445ABA">
              <w:rPr>
                <w:sz w:val="20"/>
                <w:szCs w:val="20"/>
              </w:rPr>
              <w:t xml:space="preserve"> (PNX)</w:t>
            </w:r>
          </w:p>
        </w:tc>
        <w:tc>
          <w:tcPr>
            <w:tcW w:w="2594" w:type="dxa"/>
            <w:vAlign w:val="center"/>
          </w:tcPr>
          <w:p w14:paraId="605E7DD4" w14:textId="77777777" w:rsidR="00827F91" w:rsidRPr="00445ABA"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genome</w:t>
            </w:r>
            <w:r w:rsidRPr="00445ABA">
              <w:rPr>
                <w:sz w:val="20"/>
                <w:szCs w:val="20"/>
              </w:rPr>
              <w:t xml:space="preserve"> </w:t>
            </w:r>
            <w:r w:rsidRPr="00445ABA">
              <w:rPr>
                <w:sz w:val="20"/>
                <w:szCs w:val="20"/>
              </w:rPr>
              <w:fldChar w:fldCharType="begin"/>
            </w:r>
            <w:r w:rsidRPr="00445ABA">
              <w:rPr>
                <w:sz w:val="20"/>
                <w:szCs w:val="20"/>
              </w:rPr>
              <w:instrText xml:space="preserve"> ADDIN ZOTERO_ITEM CSL_CITATION {"citationID":"jHx92BwX","properties":{"formattedCitation":"(Ya\\uc0\\u241{}ez-Guerra et al. 2022)","plainCitation":"(Yañez-Guerra et al. 2022)","noteIndex":0},"citationItems":[{"id":1257,"uris":["http://zotero.org/groups/4811481/items/L3QMAPFL"],"itemData":{"id":1257,"type":"article-journal","abstract":"Neuropeptides are a diverse class of signaling molecules in metazoans. They occur in all animals with a nervous system and also in neuron-less placozoans. However, their origin has remained unclear because no neuropeptide shows deep homology across lineages, and none have been found in sponges. Here, we identify two neuropeptide precursors, phoenixin (PNX) and nesfatin, with broad evolutionary conservation. By database searches, sequence alignments, and gene-structure comparisons, we show that both precursors are present in bilaterians, cnidarians, ctenophores, and sponges. We also found PNX and a secreted nesfatin precursor homolog in the choanoflagellate Salpingoeca rosetta. PNX, in particular, is highly conserved, including its cleavage sites, suggesting that prohormone processing occurs also in choanoflagellates. In addition, based on phyletic patterns and negative pharmacological assays, we question the originally proposed GPR-173 (SREB3) as a PNX receptor. Our findings revealed that secreted neuropeptide homologs derived from longer precursors have premetazoan origins and thus evolved before neurons.","container-title":"Molecular Biology and Evolution","DOI":"10.1093/molbev/msac051","ISSN":"1537-1719","issue":"4","journalAbbreviation":"Molecular Biology and Evolution","page":"msac051","source":"Silverchair","title":"Premetazoan Origin of Neuropeptide Signaling","volume":"39","author":[{"family":"Yañez-Guerra","given":"Luis Alfonso"},{"family":"Thiel","given":"Daniel"},{"family":"Jékely","given":"Gáspár"}],"issued":{"date-parts":[["2022",4,1]]}}}],"schema":"https://github.com/citation-style-language/schema/raw/master/csl-citation.json"} </w:instrText>
            </w:r>
            <w:r w:rsidRPr="00445ABA">
              <w:rPr>
                <w:sz w:val="20"/>
                <w:szCs w:val="20"/>
              </w:rPr>
              <w:fldChar w:fldCharType="separate"/>
            </w:r>
            <w:r w:rsidRPr="007C5525">
              <w:rPr>
                <w:sz w:val="20"/>
              </w:rPr>
              <w:t>(</w:t>
            </w:r>
            <w:proofErr w:type="spellStart"/>
            <w:r w:rsidRPr="007C5525">
              <w:rPr>
                <w:sz w:val="20"/>
              </w:rPr>
              <w:t>Yañez</w:t>
            </w:r>
            <w:proofErr w:type="spellEnd"/>
            <w:r w:rsidRPr="007C5525">
              <w:rPr>
                <w:sz w:val="20"/>
              </w:rPr>
              <w:t>-Guerra et al. 2022)</w:t>
            </w:r>
            <w:r w:rsidRPr="00445ABA">
              <w:rPr>
                <w:sz w:val="20"/>
                <w:szCs w:val="20"/>
              </w:rPr>
              <w:fldChar w:fldCharType="end"/>
            </w:r>
          </w:p>
        </w:tc>
        <w:tc>
          <w:tcPr>
            <w:tcW w:w="3150" w:type="dxa"/>
            <w:vAlign w:val="center"/>
          </w:tcPr>
          <w:p w14:paraId="240E07DB" w14:textId="77777777" w:rsidR="00827F91" w:rsidRPr="00445ABA" w:rsidRDefault="00827F91" w:rsidP="001C1FB8">
            <w:pPr>
              <w:keepNext/>
              <w:keepLines/>
              <w:pageBreakBefore/>
              <w:jc w:val="center"/>
              <w:rPr>
                <w:sz w:val="20"/>
                <w:szCs w:val="20"/>
              </w:rPr>
            </w:pPr>
            <w:r>
              <w:rPr>
                <w:sz w:val="20"/>
                <w:szCs w:val="20"/>
              </w:rPr>
              <w:t xml:space="preserve">Accession number in transcriptome: </w:t>
            </w:r>
            <w:r w:rsidRPr="00445ABA">
              <w:rPr>
                <w:sz w:val="20"/>
                <w:szCs w:val="20"/>
              </w:rPr>
              <w:t xml:space="preserve">TRINITY_DN1992_c0_g1_i1 </w:t>
            </w:r>
            <w:r>
              <w:rPr>
                <w:sz w:val="20"/>
                <w:szCs w:val="20"/>
              </w:rPr>
              <w:t>(</w:t>
            </w:r>
            <w:r w:rsidRPr="00445ABA">
              <w:rPr>
                <w:sz w:val="20"/>
                <w:szCs w:val="20"/>
              </w:rPr>
              <w:t>absent from the predicted proteome due to short length</w:t>
            </w:r>
            <w:r>
              <w:rPr>
                <w:sz w:val="20"/>
                <w:szCs w:val="20"/>
              </w:rPr>
              <w:t>)</w:t>
            </w:r>
          </w:p>
        </w:tc>
        <w:tc>
          <w:tcPr>
            <w:tcW w:w="2136" w:type="dxa"/>
            <w:vAlign w:val="center"/>
          </w:tcPr>
          <w:p w14:paraId="49502E3B" w14:textId="77777777" w:rsidR="00827F91" w:rsidRPr="00445ABA" w:rsidRDefault="00827F91" w:rsidP="001C1FB8">
            <w:pPr>
              <w:keepNext/>
              <w:keepLines/>
              <w:pageBreakBefore/>
              <w:jc w:val="center"/>
              <w:rPr>
                <w:sz w:val="20"/>
                <w:szCs w:val="20"/>
              </w:rPr>
            </w:pPr>
            <w:r w:rsidRPr="00445ABA">
              <w:rPr>
                <w:sz w:val="20"/>
                <w:szCs w:val="20"/>
              </w:rPr>
              <w:fldChar w:fldCharType="begin"/>
            </w:r>
            <w:r>
              <w:rPr>
                <w:sz w:val="20"/>
                <w:szCs w:val="20"/>
              </w:rPr>
              <w:instrText xml:space="preserve"> ADDIN ZOTERO_ITEM CSL_CITATION {"citationID":"ndBsWM24","properties":{"formattedCitation":"(Ya\\uc0\\u241{}ez-Guerra et al. 2022)","plainCitation":"(Yañez-Guerra et al. 2022)","noteIndex":0},"citationItems":[{"id":1257,"uris":["http://zotero.org/groups/4811481/items/L3QMAPFL"],"itemData":{"id":1257,"type":"article-journal","abstract":"Neuropeptides are a diverse class of signaling molecules in metazoans. They occur in all animals with a nervous system and also in neuron-less placozoans. However, their origin has remained unclear because no neuropeptide shows deep homology across lineages, and none have been found in sponges. Here, we identify two neuropeptide precursors, phoenixin (PNX) and nesfatin, with broad evolutionary conservation. By database searches, sequence alignments, and gene-structure comparisons, we show that both precursors are present in bilaterians, cnidarians, ctenophores, and sponges. We also found PNX and a secreted nesfatin precursor homolog in the choanoflagellate Salpingoeca rosetta. PNX, in particular, is highly conserved, including its cleavage sites, suggesting that prohormone processing occurs also in choanoflagellates. In addition, based on phyletic patterns and negative pharmacological assays, we question the originally proposed GPR-173 (SREB3) as a PNX receptor. Our findings revealed that secreted neuropeptide homologs derived from longer precursors have premetazoan origins and thus evolved before neurons.","container-title":"Molecular Biology and Evolution","DOI":"10.1093/molbev/msac051","ISSN":"1537-1719","issue":"4","journalAbbreviation":"Molecular Biology and Evolution","page":"msac051","source":"Silverchair","title":"Premetazoan Origin of Neuropeptide Signaling","volume":"39","author":[{"family":"Yañez-Guerra","given":"Luis Alfonso"},{"family":"Thiel","given":"Daniel"},{"family":"Jékely","given":"Gáspár"}],"issued":{"date-parts":[["2022",4,1]]}}}],"schema":"https://github.com/citation-style-language/schema/raw/master/csl-citation.json"} </w:instrText>
            </w:r>
            <w:r w:rsidRPr="00445ABA">
              <w:rPr>
                <w:sz w:val="20"/>
                <w:szCs w:val="20"/>
              </w:rPr>
              <w:fldChar w:fldCharType="separate"/>
            </w:r>
            <w:r w:rsidRPr="007C5525">
              <w:rPr>
                <w:sz w:val="20"/>
              </w:rPr>
              <w:t>(</w:t>
            </w:r>
            <w:proofErr w:type="spellStart"/>
            <w:r w:rsidRPr="007C5525">
              <w:rPr>
                <w:sz w:val="20"/>
              </w:rPr>
              <w:t>Yañez</w:t>
            </w:r>
            <w:proofErr w:type="spellEnd"/>
            <w:r w:rsidRPr="007C5525">
              <w:rPr>
                <w:sz w:val="20"/>
              </w:rPr>
              <w:t>-Guerra et al. 2022)</w:t>
            </w:r>
            <w:r w:rsidRPr="00445ABA">
              <w:rPr>
                <w:sz w:val="20"/>
                <w:szCs w:val="20"/>
              </w:rPr>
              <w:fldChar w:fldCharType="end"/>
            </w:r>
          </w:p>
        </w:tc>
      </w:tr>
      <w:tr w:rsidR="00827F91" w:rsidRPr="00445ABA" w14:paraId="24036773" w14:textId="77777777" w:rsidTr="001C1FB8">
        <w:tc>
          <w:tcPr>
            <w:tcW w:w="1896" w:type="dxa"/>
            <w:vAlign w:val="center"/>
          </w:tcPr>
          <w:p w14:paraId="3E177AE1" w14:textId="77777777" w:rsidR="00827F91" w:rsidRPr="00445ABA" w:rsidRDefault="00827F91" w:rsidP="001C1FB8">
            <w:pPr>
              <w:keepNext/>
              <w:keepLines/>
              <w:pageBreakBefore/>
              <w:jc w:val="center"/>
              <w:rPr>
                <w:sz w:val="20"/>
                <w:szCs w:val="20"/>
              </w:rPr>
            </w:pPr>
            <w:proofErr w:type="spellStart"/>
            <w:r w:rsidRPr="00445ABA">
              <w:rPr>
                <w:sz w:val="20"/>
                <w:szCs w:val="20"/>
              </w:rPr>
              <w:t>Nesfatin</w:t>
            </w:r>
            <w:proofErr w:type="spellEnd"/>
          </w:p>
        </w:tc>
        <w:tc>
          <w:tcPr>
            <w:tcW w:w="2594" w:type="dxa"/>
            <w:vAlign w:val="center"/>
          </w:tcPr>
          <w:p w14:paraId="25D1D57E" w14:textId="77777777" w:rsidR="00827F91" w:rsidRPr="00445ABA" w:rsidRDefault="00827F91" w:rsidP="001C1FB8">
            <w:pPr>
              <w:keepNext/>
              <w:keepLines/>
              <w:pageBreakBefore/>
              <w:jc w:val="center"/>
              <w:rPr>
                <w:sz w:val="20"/>
                <w:szCs w:val="20"/>
              </w:rPr>
            </w:pPr>
            <w:r w:rsidRPr="00445ABA">
              <w:rPr>
                <w:sz w:val="20"/>
                <w:szCs w:val="20"/>
              </w:rPr>
              <w:fldChar w:fldCharType="begin"/>
            </w:r>
            <w:r>
              <w:rPr>
                <w:sz w:val="20"/>
                <w:szCs w:val="20"/>
              </w:rPr>
              <w:instrText xml:space="preserve"> ADDIN ZOTERO_ITEM CSL_CITATION {"citationID":"XVEvOgWI","properties":{"formattedCitation":"(Ya\\uc0\\u241{}ez-Guerra et al. 2022)","plainCitation":"(Yañez-Guerra et al. 2022)","noteIndex":0},"citationItems":[{"id":1257,"uris":["http://zotero.org/groups/4811481/items/L3QMAPFL"],"itemData":{"id":1257,"type":"article-journal","abstract":"Neuropeptides are a diverse class of signaling molecules in metazoans. They occur in all animals with a nervous system and also in neuron-less placozoans. However, their origin has remained unclear because no neuropeptide shows deep homology across lineages, and none have been found in sponges. Here, we identify two neuropeptide precursors, phoenixin (PNX) and nesfatin, with broad evolutionary conservation. By database searches, sequence alignments, and gene-structure comparisons, we show that both precursors are present in bilaterians, cnidarians, ctenophores, and sponges. We also found PNX and a secreted nesfatin precursor homolog in the choanoflagellate Salpingoeca rosetta. PNX, in particular, is highly conserved, including its cleavage sites, suggesting that prohormone processing occurs also in choanoflagellates. In addition, based on phyletic patterns and negative pharmacological assays, we question the originally proposed GPR-173 (SREB3) as a PNX receptor. Our findings revealed that secreted neuropeptide homologs derived from longer precursors have premetazoan origins and thus evolved before neurons.","container-title":"Molecular Biology and Evolution","DOI":"10.1093/molbev/msac051","ISSN":"1537-1719","issue":"4","journalAbbreviation":"Molecular Biology and Evolution","page":"msac051","source":"Silverchair","title":"Premetazoan Origin of Neuropeptide Signaling","volume":"39","author":[{"family":"Yañez-Guerra","given":"Luis Alfonso"},{"family":"Thiel","given":"Daniel"},{"family":"Jékely","given":"Gáspár"}],"issued":{"date-parts":[["2022",4,1]]}}}],"schema":"https://github.com/citation-style-language/schema/raw/master/csl-citation.json"} </w:instrText>
            </w:r>
            <w:r w:rsidRPr="00445ABA">
              <w:rPr>
                <w:sz w:val="20"/>
                <w:szCs w:val="20"/>
              </w:rPr>
              <w:fldChar w:fldCharType="separate"/>
            </w:r>
            <w:r w:rsidRPr="007C5525">
              <w:rPr>
                <w:sz w:val="20"/>
              </w:rPr>
              <w:t>(</w:t>
            </w:r>
            <w:proofErr w:type="spellStart"/>
            <w:r w:rsidRPr="007C5525">
              <w:rPr>
                <w:sz w:val="20"/>
              </w:rPr>
              <w:t>Yañez</w:t>
            </w:r>
            <w:proofErr w:type="spellEnd"/>
            <w:r w:rsidRPr="007C5525">
              <w:rPr>
                <w:sz w:val="20"/>
              </w:rPr>
              <w:t>-Guerra et al. 2022)</w:t>
            </w:r>
            <w:r w:rsidRPr="00445ABA">
              <w:rPr>
                <w:sz w:val="20"/>
                <w:szCs w:val="20"/>
              </w:rPr>
              <w:fldChar w:fldCharType="end"/>
            </w:r>
          </w:p>
        </w:tc>
        <w:tc>
          <w:tcPr>
            <w:tcW w:w="3150" w:type="dxa"/>
            <w:vAlign w:val="center"/>
          </w:tcPr>
          <w:p w14:paraId="7DF80EBF" w14:textId="77777777" w:rsidR="00827F91" w:rsidRPr="00445ABA" w:rsidRDefault="00827F91" w:rsidP="001C1FB8">
            <w:pPr>
              <w:keepNext/>
              <w:keepLines/>
              <w:pageBreakBefore/>
              <w:jc w:val="center"/>
              <w:rPr>
                <w:i/>
                <w:iCs/>
                <w:sz w:val="20"/>
                <w:szCs w:val="20"/>
              </w:rPr>
            </w:pPr>
            <w:r w:rsidRPr="00445ABA">
              <w:rPr>
                <w:i/>
                <w:iCs/>
                <w:sz w:val="20"/>
                <w:szCs w:val="20"/>
              </w:rPr>
              <w:t>Absent</w:t>
            </w:r>
            <w:r>
              <w:rPr>
                <w:i/>
                <w:iCs/>
                <w:sz w:val="20"/>
                <w:szCs w:val="20"/>
              </w:rPr>
              <w:t xml:space="preserve"> from transcriptome</w:t>
            </w:r>
          </w:p>
        </w:tc>
        <w:tc>
          <w:tcPr>
            <w:tcW w:w="2136" w:type="dxa"/>
            <w:vAlign w:val="center"/>
          </w:tcPr>
          <w:p w14:paraId="305ABCA2" w14:textId="77777777" w:rsidR="00827F91" w:rsidRPr="00445ABA" w:rsidRDefault="00827F91" w:rsidP="001C1FB8">
            <w:pPr>
              <w:keepNext/>
              <w:keepLines/>
              <w:pageBreakBefore/>
              <w:jc w:val="center"/>
              <w:rPr>
                <w:sz w:val="20"/>
                <w:szCs w:val="20"/>
              </w:rPr>
            </w:pPr>
            <w:r w:rsidRPr="00445ABA">
              <w:rPr>
                <w:sz w:val="20"/>
                <w:szCs w:val="20"/>
              </w:rPr>
              <w:fldChar w:fldCharType="begin"/>
            </w:r>
            <w:r>
              <w:rPr>
                <w:sz w:val="20"/>
                <w:szCs w:val="20"/>
              </w:rPr>
              <w:instrText xml:space="preserve"> ADDIN ZOTERO_ITEM CSL_CITATION {"citationID":"VDJKEd9X","properties":{"formattedCitation":"(Ya\\uc0\\u241{}ez-Guerra et al. 2022)","plainCitation":"(Yañez-Guerra et al. 2022)","noteIndex":0},"citationItems":[{"id":1257,"uris":["http://zotero.org/groups/4811481/items/L3QMAPFL"],"itemData":{"id":1257,"type":"article-journal","abstract":"Neuropeptides are a diverse class of signaling molecules in metazoans. They occur in all animals with a nervous system and also in neuron-less placozoans. However, their origin has remained unclear because no neuropeptide shows deep homology across lineages, and none have been found in sponges. Here, we identify two neuropeptide precursors, phoenixin (PNX) and nesfatin, with broad evolutionary conservation. By database searches, sequence alignments, and gene-structure comparisons, we show that both precursors are present in bilaterians, cnidarians, ctenophores, and sponges. We also found PNX and a secreted nesfatin precursor homolog in the choanoflagellate Salpingoeca rosetta. PNX, in particular, is highly conserved, including its cleavage sites, suggesting that prohormone processing occurs also in choanoflagellates. In addition, based on phyletic patterns and negative pharmacological assays, we question the originally proposed GPR-173 (SREB3) as a PNX receptor. Our findings revealed that secreted neuropeptide homologs derived from longer precursors have premetazoan origins and thus evolved before neurons.","container-title":"Molecular Biology and Evolution","DOI":"10.1093/molbev/msac051","ISSN":"1537-1719","issue":"4","journalAbbreviation":"Molecular Biology and Evolution","page":"msac051","source":"Silverchair","title":"Premetazoan Origin of Neuropeptide Signaling","volume":"39","author":[{"family":"Yañez-Guerra","given":"Luis Alfonso"},{"family":"Thiel","given":"Daniel"},{"family":"Jékely","given":"Gáspár"}],"issued":{"date-parts":[["2022",4,1]]}}}],"schema":"https://github.com/citation-style-language/schema/raw/master/csl-citation.json"} </w:instrText>
            </w:r>
            <w:r w:rsidRPr="00445ABA">
              <w:rPr>
                <w:sz w:val="20"/>
                <w:szCs w:val="20"/>
              </w:rPr>
              <w:fldChar w:fldCharType="separate"/>
            </w:r>
            <w:r w:rsidRPr="007C5525">
              <w:rPr>
                <w:sz w:val="20"/>
              </w:rPr>
              <w:t>(</w:t>
            </w:r>
            <w:proofErr w:type="spellStart"/>
            <w:r w:rsidRPr="007C5525">
              <w:rPr>
                <w:sz w:val="20"/>
              </w:rPr>
              <w:t>Yañez</w:t>
            </w:r>
            <w:proofErr w:type="spellEnd"/>
            <w:r w:rsidRPr="007C5525">
              <w:rPr>
                <w:sz w:val="20"/>
              </w:rPr>
              <w:t>-Guerra et al. 2022)</w:t>
            </w:r>
            <w:r w:rsidRPr="00445ABA">
              <w:rPr>
                <w:sz w:val="20"/>
                <w:szCs w:val="20"/>
              </w:rPr>
              <w:fldChar w:fldCharType="end"/>
            </w:r>
          </w:p>
        </w:tc>
      </w:tr>
      <w:tr w:rsidR="00827F91" w:rsidRPr="00445ABA" w14:paraId="3DB1456B" w14:textId="77777777" w:rsidTr="001C1FB8">
        <w:tc>
          <w:tcPr>
            <w:tcW w:w="1896" w:type="dxa"/>
            <w:vAlign w:val="center"/>
          </w:tcPr>
          <w:p w14:paraId="31A45D07" w14:textId="77777777" w:rsidR="00827F91" w:rsidRPr="00445ABA" w:rsidRDefault="00827F91" w:rsidP="001C1FB8">
            <w:pPr>
              <w:keepNext/>
              <w:keepLines/>
              <w:pageBreakBefore/>
              <w:jc w:val="center"/>
              <w:rPr>
                <w:sz w:val="22"/>
                <w:szCs w:val="22"/>
              </w:rPr>
            </w:pPr>
            <w:r w:rsidRPr="006F302F">
              <w:rPr>
                <w:sz w:val="20"/>
                <w:szCs w:val="20"/>
              </w:rPr>
              <w:t>Hypoxia-inducible factor (HIF)</w:t>
            </w:r>
          </w:p>
        </w:tc>
        <w:tc>
          <w:tcPr>
            <w:tcW w:w="2594" w:type="dxa"/>
            <w:vAlign w:val="center"/>
          </w:tcPr>
          <w:p w14:paraId="09919C81" w14:textId="77777777" w:rsidR="00827F91" w:rsidRPr="006F302F"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sidRPr="006F302F">
              <w:rPr>
                <w:sz w:val="20"/>
                <w:szCs w:val="20"/>
              </w:rPr>
              <w:instrText xml:space="preserve"> ADDIN ZOTERO_ITEM CSL_CITATION {"citationID":"Bp3iSYmD","properties":{"formattedCitation":"(Mills et al. 2018)","plainCitation":"(Mills et al. 2018)","noteIndex":0},"citationItems":[{"id":1623,"uris":["http://zotero.org/users/10320770/items/CS4FNMY6"],"itemData":{"id":1623,"type":"article-journal","abstract":"Animals have a carefully orchestrated relationship with oxygen. When exposed to low environmental oxygen concentrations, and during periods of increased energy expenditure, animals maintain cellular oxygen homeostasis by enhancing internal oxygen delivery, and by enabling the anaerobic production of ATP. These low-oxygen responses are thought to be controlled universally across animals by the hypoxia-inducible factor (HIF). We find, however, that sponge and ctenophore genomes lack key components of the HIF pathway. Since sponges and ctenophores are likely sister to all remaining animal phyla, the last common ancestor of extant animals likely lacked the HIF pathway as well. Laboratory experiments show that the marine sponge Tethya wilhelma maintains normal transcription under oxygen levels down to 0.25% of modern atmospheric saturation, the lowest levels we investigated, consistent with the predicted absence of HIF or any other HIF-like pathway. Thus, the last common ancestor of all living animals could have metabolized aerobically under very low environmental oxygen concentrations.\n          , \n            Almost all animals need oxygen to live. This is because they use oxygen to release much of the energy locked up in their diets. Oxygen may have also played a crucial role in the early evolution of animal life. Animals evolved from single-celled ancestors in the ocean over 800 million years ago. Before then, it is debated whether the atmosphere and ocean had enough oxygen to permit animals to evolve.\n            Oxygen levels are much higher now, but oxygen availability still varies in some environments. If oxygen becomes limited (a condition known as hypoxia), almost all animals react using a specific set of molecules known as the HIF pathway. This pathway – which is named after proteins called “hypoxia-inducible factors” – triggers changes that help the animal to maintain a stable level of oxygen in its cells. Yet it was not clear if the capacity to sense hypoxia and regulate oxygen demands within the body evolved in the ancestor of all animals, or if it evolved more recently.\n            When trying to understand early evolution, scientists often turn to some living species that sit on the oldest branches of a group’s family tree. In the animal kingdom, sponges and comb jellies occupy those branches. Mills, Francis et al. have now searched the genomes of several of these animals to ask how oxygen sensing evolved. The genomes of the sponges and comb jellies surveyed lack key components of the HIF pathway, suggesting that the last common ancestor of living animals lacked the HIF pathway as well. This also implies that the ancestor of all animals probably did not respond to oxygen stress or used unknown mechanisms to deal with it instead.\n            In laboratory experiments, Mills, Francis et al. saw that a marine sponge named Tethya wilhelma does not alter its gene activity even when the oxygen levels are reduced to 0.25% of modern levels. This is consistent with the predicted absence of a HIF pathway or anything similar. Together these finding may indicate that the last common ancestor of all living animals maintained normal gene activity even at very low concentrations of oxygen.\n            These findings help scientists understand how life and the global environment have shaped each other since the origin of life over 3.5 billion years ago. This fundamental knowledge may provide the context needed to help society navigate through current and on-going environmental changes, including the dropping oxygen levels in the world’s oceans.","container-title":"eLife","DOI":"10.7554/eLife.31176","ISSN":"2050-084X","language":"en","page":"e31176","source":"DOI.org (Crossref)","title":"The last common ancestor of animals lacked the HIF pathway and respired in low-oxygen environments","volume":"7","author":[{"family":"Mills","given":"Daniel B"},{"family":"Francis","given":"Warren R"},{"family":"Vargas","given":"Sergio"},{"family":"Larsen","given":"Morten"},{"family":"Elemans","given":"Coen PH"},{"family":"Canfield","given":"Donald E"},{"family":"Wörheide","given":"Gert"}],"issued":{"date-parts":[["2018",2,6]]}}}],"schema":"https://github.com/citation-style-language/schema/raw/master/csl-citation.json"} </w:instrText>
            </w:r>
            <w:r w:rsidRPr="006F302F">
              <w:rPr>
                <w:sz w:val="20"/>
                <w:szCs w:val="20"/>
              </w:rPr>
              <w:fldChar w:fldCharType="separate"/>
            </w:r>
            <w:r>
              <w:rPr>
                <w:noProof/>
                <w:sz w:val="20"/>
                <w:szCs w:val="20"/>
              </w:rPr>
              <w:t>(Mills et al. 2018)</w:t>
            </w:r>
            <w:r w:rsidRPr="006F302F">
              <w:rPr>
                <w:sz w:val="20"/>
                <w:szCs w:val="20"/>
              </w:rPr>
              <w:fldChar w:fldCharType="end"/>
            </w:r>
          </w:p>
        </w:tc>
        <w:tc>
          <w:tcPr>
            <w:tcW w:w="3150" w:type="dxa"/>
            <w:vAlign w:val="center"/>
          </w:tcPr>
          <w:p w14:paraId="322DB4DD" w14:textId="77777777" w:rsidR="00827F91" w:rsidRPr="006F302F"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transcriptome</w:t>
            </w:r>
          </w:p>
        </w:tc>
        <w:tc>
          <w:tcPr>
            <w:tcW w:w="2136" w:type="dxa"/>
            <w:vAlign w:val="center"/>
          </w:tcPr>
          <w:p w14:paraId="1E805E60" w14:textId="77777777" w:rsidR="00827F91" w:rsidRPr="006F302F"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Pr>
                <w:sz w:val="20"/>
                <w:szCs w:val="20"/>
              </w:rPr>
              <w:instrText xml:space="preserve"> ADDIN ZOTERO_ITEM CSL_CITATION {"citationID":"Jz6jTShv","properties":{"formattedCitation":"(Mills et al. 2018)","plainCitation":"(Mills et al. 2018)","noteIndex":0},"citationItems":[{"id":1623,"uris":["http://zotero.org/users/10320770/items/CS4FNMY6"],"itemData":{"id":1623,"type":"article-journal","abstract":"Animals have a carefully orchestrated relationship with oxygen. When exposed to low environmental oxygen concentrations, and during periods of increased energy expenditure, animals maintain cellular oxygen homeostasis by enhancing internal oxygen delivery, and by enabling the anaerobic production of ATP. These low-oxygen responses are thought to be controlled universally across animals by the hypoxia-inducible factor (HIF). We find, however, that sponge and ctenophore genomes lack key components of the HIF pathway. Since sponges and ctenophores are likely sister to all remaining animal phyla, the last common ancestor of extant animals likely lacked the HIF pathway as well. Laboratory experiments show that the marine sponge Tethya wilhelma maintains normal transcription under oxygen levels down to 0.25% of modern atmospheric saturation, the lowest levels we investigated, consistent with the predicted absence of HIF or any other HIF-like pathway. Thus, the last common ancestor of all living animals could have metabolized aerobically under very low environmental oxygen concentrations.\n          , \n            Almost all animals need oxygen to live. This is because they use oxygen to release much of the energy locked up in their diets. Oxygen may have also played a crucial role in the early evolution of animal life. Animals evolved from single-celled ancestors in the ocean over 800 million years ago. Before then, it is debated whether the atmosphere and ocean had enough oxygen to permit animals to evolve.\n            Oxygen levels are much higher now, but oxygen availability still varies in some environments. If oxygen becomes limited (a condition known as hypoxia), almost all animals react using a specific set of molecules known as the HIF pathway. This pathway – which is named after proteins called “hypoxia-inducible factors” – triggers changes that help the animal to maintain a stable level of oxygen in its cells. Yet it was not clear if the capacity to sense hypoxia and regulate oxygen demands within the body evolved in the ancestor of all animals, or if it evolved more recently.\n            When trying to understand early evolution, scientists often turn to some living species that sit on the oldest branches of a group’s family tree. In the animal kingdom, sponges and comb jellies occupy those branches. Mills, Francis et al. have now searched the genomes of several of these animals to ask how oxygen sensing evolved. The genomes of the sponges and comb jellies surveyed lack key components of the HIF pathway, suggesting that the last common ancestor of living animals lacked the HIF pathway as well. This also implies that the ancestor of all animals probably did not respond to oxygen stress or used unknown mechanisms to deal with it instead.\n            In laboratory experiments, Mills, Francis et al. saw that a marine sponge named Tethya wilhelma does not alter its gene activity even when the oxygen levels are reduced to 0.25% of modern levels. This is consistent with the predicted absence of a HIF pathway or anything similar. Together these finding may indicate that the last common ancestor of all living animals maintained normal gene activity even at very low concentrations of oxygen.\n            These findings help scientists understand how life and the global environment have shaped each other since the origin of life over 3.5 billion years ago. This fundamental knowledge may provide the context needed to help society navigate through current and on-going environmental changes, including the dropping oxygen levels in the world’s oceans.","container-title":"eLife","DOI":"10.7554/eLife.31176","ISSN":"2050-084X","language":"en","page":"e31176","source":"DOI.org (Crossref)","title":"The last common ancestor of animals lacked the HIF pathway and respired in low-oxygen environments","volume":"7","author":[{"family":"Mills","given":"Daniel B"},{"family":"Francis","given":"Warren R"},{"family":"Vargas","given":"Sergio"},{"family":"Larsen","given":"Morten"},{"family":"Elemans","given":"Coen PH"},{"family":"Canfield","given":"Donald E"},{"family":"Wörheide","given":"Gert"}],"issued":{"date-parts":[["2018",2,6]]}}}],"schema":"https://github.com/citation-style-language/schema/raw/master/csl-citation.json"} </w:instrText>
            </w:r>
            <w:r w:rsidRPr="006F302F">
              <w:rPr>
                <w:sz w:val="20"/>
                <w:szCs w:val="20"/>
              </w:rPr>
              <w:fldChar w:fldCharType="separate"/>
            </w:r>
            <w:r>
              <w:rPr>
                <w:noProof/>
                <w:sz w:val="20"/>
                <w:szCs w:val="20"/>
              </w:rPr>
              <w:t>(Mills et al. 2018)</w:t>
            </w:r>
            <w:r w:rsidRPr="006F302F">
              <w:rPr>
                <w:sz w:val="20"/>
                <w:szCs w:val="20"/>
              </w:rPr>
              <w:fldChar w:fldCharType="end"/>
            </w:r>
          </w:p>
        </w:tc>
      </w:tr>
      <w:tr w:rsidR="00827F91" w:rsidRPr="00445ABA" w14:paraId="3A448C01" w14:textId="77777777" w:rsidTr="001C1FB8">
        <w:tc>
          <w:tcPr>
            <w:tcW w:w="1896" w:type="dxa"/>
            <w:vAlign w:val="center"/>
          </w:tcPr>
          <w:p w14:paraId="54C0EAB8" w14:textId="77777777" w:rsidR="00827F91" w:rsidRPr="006F302F" w:rsidRDefault="00827F91" w:rsidP="001C1FB8">
            <w:pPr>
              <w:keepNext/>
              <w:keepLines/>
              <w:pageBreakBefore/>
              <w:jc w:val="center"/>
              <w:rPr>
                <w:sz w:val="20"/>
                <w:szCs w:val="20"/>
              </w:rPr>
            </w:pPr>
            <w:r>
              <w:rPr>
                <w:sz w:val="20"/>
                <w:szCs w:val="20"/>
              </w:rPr>
              <w:t xml:space="preserve">Eukaryotic </w:t>
            </w:r>
            <w:r w:rsidRPr="006F302F">
              <w:rPr>
                <w:sz w:val="20"/>
                <w:szCs w:val="20"/>
              </w:rPr>
              <w:t>NO synthase</w:t>
            </w:r>
          </w:p>
        </w:tc>
        <w:tc>
          <w:tcPr>
            <w:tcW w:w="2594" w:type="dxa"/>
            <w:vAlign w:val="center"/>
          </w:tcPr>
          <w:p w14:paraId="07F96E50" w14:textId="77777777" w:rsidR="00827F91" w:rsidRPr="00445ABA" w:rsidRDefault="00827F91" w:rsidP="001C1FB8">
            <w:pPr>
              <w:keepNext/>
              <w:keepLines/>
              <w:pageBreakBefore/>
              <w:jc w:val="center"/>
              <w:rPr>
                <w:sz w:val="22"/>
                <w:szCs w:val="22"/>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sidRPr="006F302F">
              <w:rPr>
                <w:sz w:val="20"/>
                <w:szCs w:val="20"/>
              </w:rPr>
              <w:instrText xml:space="preserve"> ADDIN ZOTERO_ITEM CSL_CITATION {"citationID":"7fRDdxpa","properties":{"formattedCitation":"(Reyes-Rivera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c>
          <w:tcPr>
            <w:tcW w:w="3150" w:type="dxa"/>
            <w:vAlign w:val="center"/>
          </w:tcPr>
          <w:p w14:paraId="0709A1E6" w14:textId="77777777" w:rsidR="00827F91" w:rsidRPr="006F302F"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transcriptome</w:t>
            </w:r>
            <w:r w:rsidRPr="006F302F">
              <w:rPr>
                <w:sz w:val="20"/>
                <w:szCs w:val="20"/>
              </w:rPr>
              <w:t xml:space="preserve"> </w:t>
            </w:r>
            <w:r w:rsidRPr="006F302F">
              <w:rPr>
                <w:sz w:val="20"/>
                <w:szCs w:val="20"/>
              </w:rPr>
              <w:fldChar w:fldCharType="begin"/>
            </w:r>
            <w:r>
              <w:rPr>
                <w:sz w:val="20"/>
                <w:szCs w:val="20"/>
              </w:rPr>
              <w:instrText xml:space="preserve"> ADDIN ZOTERO_ITEM CSL_CITATION {"citationID":"hRaqeO3o","properties":{"formattedCitation":"(Reyes-Rivera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c>
          <w:tcPr>
            <w:tcW w:w="2136" w:type="dxa"/>
            <w:vAlign w:val="center"/>
          </w:tcPr>
          <w:p w14:paraId="179495D3" w14:textId="77777777" w:rsidR="00827F91" w:rsidRPr="00445ABA" w:rsidRDefault="00827F91" w:rsidP="001C1FB8">
            <w:pPr>
              <w:keepNext/>
              <w:keepLines/>
              <w:pageBreakBefore/>
              <w:jc w:val="center"/>
              <w:rPr>
                <w:sz w:val="22"/>
                <w:szCs w:val="22"/>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Pr>
                <w:sz w:val="20"/>
                <w:szCs w:val="20"/>
              </w:rPr>
              <w:instrText xml:space="preserve"> ADDIN ZOTERO_ITEM CSL_CITATION {"citationID":"UkTjk3aE","properties":{"formattedCitation":"(Reyes-Rivera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r>
      <w:tr w:rsidR="00827F91" w:rsidRPr="00445ABA" w14:paraId="0799F563" w14:textId="77777777" w:rsidTr="001C1FB8">
        <w:tc>
          <w:tcPr>
            <w:tcW w:w="1896" w:type="dxa"/>
            <w:vAlign w:val="center"/>
          </w:tcPr>
          <w:p w14:paraId="72BBDFB9" w14:textId="77777777" w:rsidR="00827F91" w:rsidRDefault="00827F91" w:rsidP="001C1FB8">
            <w:pPr>
              <w:keepNext/>
              <w:keepLines/>
              <w:pageBreakBefore/>
              <w:jc w:val="center"/>
              <w:rPr>
                <w:sz w:val="20"/>
                <w:szCs w:val="20"/>
              </w:rPr>
            </w:pPr>
            <w:r>
              <w:rPr>
                <w:sz w:val="20"/>
                <w:szCs w:val="20"/>
              </w:rPr>
              <w:t>Prokaryotic NO synthase</w:t>
            </w:r>
          </w:p>
        </w:tc>
        <w:tc>
          <w:tcPr>
            <w:tcW w:w="2594" w:type="dxa"/>
            <w:vAlign w:val="center"/>
          </w:tcPr>
          <w:p w14:paraId="2C82A27C" w14:textId="77777777" w:rsidR="00827F91" w:rsidRPr="00445ABA" w:rsidRDefault="00827F91" w:rsidP="001C1FB8">
            <w:pPr>
              <w:keepNext/>
              <w:keepLines/>
              <w:pageBreakBefore/>
              <w:jc w:val="center"/>
              <w:rPr>
                <w:sz w:val="22"/>
                <w:szCs w:val="22"/>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Pr>
                <w:sz w:val="20"/>
                <w:szCs w:val="20"/>
              </w:rPr>
              <w:instrText xml:space="preserve"> ADDIN ZOTERO_ITEM CSL_CITATION {"citationID":"tw95zNIw","properties":{"formattedCitation":"(Reyes-Rivera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c>
          <w:tcPr>
            <w:tcW w:w="3150" w:type="dxa"/>
            <w:vAlign w:val="center"/>
          </w:tcPr>
          <w:p w14:paraId="2AA046A4" w14:textId="77777777" w:rsidR="00827F91" w:rsidRPr="006F302F" w:rsidRDefault="00827F91" w:rsidP="001C1FB8">
            <w:pPr>
              <w:keepNext/>
              <w:keepLines/>
              <w:pageBreakBefore/>
              <w:jc w:val="center"/>
              <w:rPr>
                <w:sz w:val="20"/>
                <w:szCs w:val="20"/>
              </w:rPr>
            </w:pPr>
            <w:r w:rsidRPr="006F302F">
              <w:rPr>
                <w:sz w:val="20"/>
                <w:szCs w:val="20"/>
              </w:rPr>
              <w:fldChar w:fldCharType="begin"/>
            </w:r>
            <w:r>
              <w:rPr>
                <w:sz w:val="20"/>
                <w:szCs w:val="20"/>
              </w:rPr>
              <w:instrText xml:space="preserve"> ADDIN ZOTERO_ITEM CSL_CITATION {"citationID":"v1xQ7Hnt","properties":{"formattedCitation":"(Reyes-Rivera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c>
          <w:tcPr>
            <w:tcW w:w="2136" w:type="dxa"/>
            <w:vAlign w:val="center"/>
          </w:tcPr>
          <w:p w14:paraId="61C2C204" w14:textId="77777777" w:rsidR="00827F91" w:rsidRPr="006F302F" w:rsidRDefault="00827F91" w:rsidP="001C1FB8">
            <w:pPr>
              <w:keepNext/>
              <w:keepLines/>
              <w:pageBreakBefore/>
              <w:jc w:val="center"/>
              <w:rPr>
                <w:sz w:val="20"/>
                <w:szCs w:val="20"/>
              </w:rPr>
            </w:pPr>
            <w:r w:rsidRPr="00445ABA">
              <w:rPr>
                <w:i/>
                <w:iCs/>
                <w:sz w:val="20"/>
                <w:szCs w:val="20"/>
              </w:rPr>
              <w:t>Absent</w:t>
            </w:r>
            <w:r>
              <w:rPr>
                <w:i/>
                <w:iCs/>
                <w:sz w:val="20"/>
                <w:szCs w:val="20"/>
              </w:rPr>
              <w:t xml:space="preserve"> from genome</w:t>
            </w:r>
            <w:r w:rsidRPr="006F302F">
              <w:rPr>
                <w:sz w:val="20"/>
                <w:szCs w:val="20"/>
              </w:rPr>
              <w:t xml:space="preserve"> </w:t>
            </w:r>
            <w:r w:rsidRPr="006F302F">
              <w:rPr>
                <w:sz w:val="20"/>
                <w:szCs w:val="20"/>
              </w:rPr>
              <w:fldChar w:fldCharType="begin"/>
            </w:r>
            <w:r>
              <w:rPr>
                <w:sz w:val="20"/>
                <w:szCs w:val="20"/>
              </w:rPr>
              <w:instrText xml:space="preserve"> ADDIN ZOTERO_ITEM CSL_CITATION {"citationID":"tweNOl4r","properties":{"formattedCitation":"(Reyes-Rivera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r>
      <w:tr w:rsidR="00827F91" w:rsidRPr="00445ABA" w14:paraId="503DF155" w14:textId="77777777" w:rsidTr="001C1FB8">
        <w:tc>
          <w:tcPr>
            <w:tcW w:w="1896" w:type="dxa"/>
            <w:vAlign w:val="center"/>
          </w:tcPr>
          <w:p w14:paraId="386799F4" w14:textId="77777777" w:rsidR="00827F91" w:rsidRPr="00445ABA" w:rsidRDefault="00827F91" w:rsidP="001C1FB8">
            <w:pPr>
              <w:keepNext/>
              <w:keepLines/>
              <w:pageBreakBefore/>
              <w:jc w:val="center"/>
              <w:rPr>
                <w:sz w:val="22"/>
                <w:szCs w:val="22"/>
              </w:rPr>
            </w:pPr>
            <w:r w:rsidRPr="006F302F">
              <w:rPr>
                <w:sz w:val="20"/>
                <w:szCs w:val="20"/>
              </w:rPr>
              <w:t>NO receptor (soluble guanylyl cyclase)</w:t>
            </w:r>
          </w:p>
        </w:tc>
        <w:tc>
          <w:tcPr>
            <w:tcW w:w="2594" w:type="dxa"/>
            <w:vAlign w:val="center"/>
          </w:tcPr>
          <w:p w14:paraId="7989E7F3" w14:textId="77777777" w:rsidR="00827F91" w:rsidRPr="004A0B85" w:rsidRDefault="00827F91" w:rsidP="001C1FB8">
            <w:pPr>
              <w:keepNext/>
              <w:keepLines/>
              <w:pageBreakBefore/>
              <w:jc w:val="center"/>
              <w:rPr>
                <w:sz w:val="20"/>
                <w:szCs w:val="20"/>
              </w:rPr>
            </w:pPr>
            <w:r>
              <w:rPr>
                <w:iCs/>
                <w:sz w:val="20"/>
                <w:szCs w:val="20"/>
              </w:rPr>
              <w:t xml:space="preserve">Accession numbers: </w:t>
            </w:r>
            <w:r w:rsidRPr="004A0B85">
              <w:rPr>
                <w:iCs/>
                <w:sz w:val="20"/>
                <w:szCs w:val="20"/>
              </w:rPr>
              <w:t>MONBRDRAFT_8342, MONBRDRAFT_31218, MONBRDRAFT_32325, MONBRDRAFT_34163, MONBRDRAFT_38443, MONBRDRAFT_34366, MONBRDRAFT_29467, MONBRDRAFT_9289, MONBRDRAFT_26544, MONBRDRAFT_37593, MONBRDRAFT_37592, MONBRDRAFT_32949, MONBRDRAFT_34682, MONBRDRAFT_27986, MONBRDRAFT_33782, MONBRDRAFT_37136, MONBRDRAFT_14998, MONBRDRAFT_14699</w:t>
            </w:r>
          </w:p>
        </w:tc>
        <w:tc>
          <w:tcPr>
            <w:tcW w:w="3150" w:type="dxa"/>
            <w:vAlign w:val="center"/>
          </w:tcPr>
          <w:p w14:paraId="3A944BF7" w14:textId="77777777" w:rsidR="00827F91" w:rsidRPr="00445ABA" w:rsidRDefault="00827F91" w:rsidP="001C1FB8">
            <w:pPr>
              <w:keepNext/>
              <w:keepLines/>
              <w:pageBreakBefore/>
              <w:jc w:val="center"/>
              <w:rPr>
                <w:sz w:val="22"/>
                <w:szCs w:val="22"/>
              </w:rPr>
            </w:pPr>
            <w:r w:rsidRPr="006F302F">
              <w:rPr>
                <w:sz w:val="20"/>
                <w:szCs w:val="20"/>
              </w:rPr>
              <w:fldChar w:fldCharType="begin"/>
            </w:r>
            <w:r>
              <w:rPr>
                <w:sz w:val="20"/>
                <w:szCs w:val="20"/>
              </w:rPr>
              <w:instrText xml:space="preserve"> ADDIN ZOTERO_ITEM CSL_CITATION {"citationID":"9pdaDLAz","properties":{"formattedCitation":"(Reyes-Rivera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c>
          <w:tcPr>
            <w:tcW w:w="2136" w:type="dxa"/>
            <w:vAlign w:val="center"/>
          </w:tcPr>
          <w:p w14:paraId="663311C7" w14:textId="77777777" w:rsidR="00827F91" w:rsidRPr="00445ABA" w:rsidRDefault="00827F91" w:rsidP="001C1FB8">
            <w:pPr>
              <w:keepNext/>
              <w:keepLines/>
              <w:pageBreakBefore/>
              <w:jc w:val="center"/>
              <w:rPr>
                <w:sz w:val="22"/>
                <w:szCs w:val="22"/>
              </w:rPr>
            </w:pPr>
            <w:r w:rsidRPr="006F302F">
              <w:rPr>
                <w:sz w:val="20"/>
                <w:szCs w:val="20"/>
              </w:rPr>
              <w:fldChar w:fldCharType="begin"/>
            </w:r>
            <w:r>
              <w:rPr>
                <w:sz w:val="20"/>
                <w:szCs w:val="20"/>
              </w:rPr>
              <w:instrText xml:space="preserve"> ADDIN ZOTERO_ITEM CSL_CITATION {"citationID":"2XR0LLW3","properties":{"formattedCitation":"(Reyes-Rivera et al. 2022)","plainCitation":"(Reyes-Rivera et al. 2022)","noteIndex":0},"citationItems":[{"id":1509,"uris":["http://zotero.org/users/10320770/items/D6BUXZHP"],"itemData":{"id":1509,"type":"article-journal","abstract":"Although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6F302F">
              <w:rPr>
                <w:sz w:val="20"/>
                <w:szCs w:val="20"/>
              </w:rPr>
              <w:fldChar w:fldCharType="separate"/>
            </w:r>
            <w:r>
              <w:rPr>
                <w:sz w:val="20"/>
                <w:szCs w:val="20"/>
              </w:rPr>
              <w:t>(Reyes-Rivera et al. 2022)</w:t>
            </w:r>
            <w:r w:rsidRPr="006F302F">
              <w:rPr>
                <w:sz w:val="20"/>
                <w:szCs w:val="20"/>
              </w:rPr>
              <w:fldChar w:fldCharType="end"/>
            </w:r>
          </w:p>
        </w:tc>
      </w:tr>
      <w:tr w:rsidR="00827F91" w:rsidRPr="00445ABA" w14:paraId="22355C6A" w14:textId="77777777" w:rsidTr="001C1FB8">
        <w:tc>
          <w:tcPr>
            <w:tcW w:w="1896" w:type="dxa"/>
            <w:vAlign w:val="center"/>
          </w:tcPr>
          <w:p w14:paraId="73603540" w14:textId="77777777" w:rsidR="00827F91" w:rsidRPr="00445ABA" w:rsidRDefault="00827F91" w:rsidP="001C1FB8">
            <w:pPr>
              <w:keepNext/>
              <w:keepLines/>
              <w:pageBreakBefore/>
              <w:jc w:val="center"/>
              <w:rPr>
                <w:sz w:val="22"/>
                <w:szCs w:val="22"/>
              </w:rPr>
            </w:pPr>
            <w:r w:rsidRPr="004D1DC3">
              <w:rPr>
                <w:sz w:val="20"/>
                <w:szCs w:val="20"/>
              </w:rPr>
              <w:t>Ionotropic ATP receptor (P2X)</w:t>
            </w:r>
          </w:p>
        </w:tc>
        <w:tc>
          <w:tcPr>
            <w:tcW w:w="2594" w:type="dxa"/>
            <w:vAlign w:val="center"/>
          </w:tcPr>
          <w:p w14:paraId="4CE7BD41" w14:textId="5B4383BC" w:rsidR="00827F91" w:rsidRPr="00445ABA" w:rsidRDefault="00827F91" w:rsidP="001C1FB8">
            <w:pPr>
              <w:keepNext/>
              <w:keepLines/>
              <w:pageBreakBefore/>
              <w:jc w:val="center"/>
              <w:rPr>
                <w:sz w:val="22"/>
                <w:szCs w:val="22"/>
              </w:rPr>
            </w:pPr>
            <w:r w:rsidRPr="004D1DC3">
              <w:rPr>
                <w:sz w:val="20"/>
                <w:szCs w:val="20"/>
              </w:rPr>
              <w:fldChar w:fldCharType="begin"/>
            </w:r>
            <w:r>
              <w:rPr>
                <w:sz w:val="20"/>
                <w:szCs w:val="20"/>
              </w:rPr>
              <w:instrText xml:space="preserve"> ADDIN ZOTERO_ITEM CSL_CITATION {"citationID":"mlhDfCjR","properties":{"formattedCitation":"(Fountain et al. 2008; Fountain and Burnstock 2009; Cai 2012a)","plainCitation":"(Fountain et al. 2008; Fountain and Burnstock 2009; Cai 2012a)","noteIndex":0},"citationItems":[{"id":1445,"uris":["http://zotero.org/users/10320770/items/LKYW239N"],"itemData":{"id":1445,"type":"article-journal","abstract":"&lt;p&gt;We have cloned a P2X receptor (&lt;i&gt;Ot&lt;/i&gt;P2X) from the green algae &lt;i&gt;Ostreococcus tauri&lt;/i&gt;. The 42-kDa receptor shares </w:instrText>
            </w:r>
            <w:r>
              <w:rPr>
                <w:rFonts w:ascii="Cambria Math" w:hAnsi="Cambria Math" w:cs="Cambria Math"/>
                <w:sz w:val="20"/>
                <w:szCs w:val="20"/>
              </w:rPr>
              <w:instrText>∼</w:instrText>
            </w:r>
            <w:r>
              <w:rPr>
                <w:sz w:val="20"/>
                <w:szCs w:val="20"/>
              </w:rPr>
              <w:instrText xml:space="preserve">28% identity with human P2X receptors and 23% with the &lt;i&gt;Dictyostelium&lt;/i&gt; P2X receptor. ATP application evoked flickery single channel openings in outside-out membrane patches from human embryonic kidney 293 cells expressing &lt;i&gt;Ot&lt;/i&gt;P2X. Whole-cell recordings showed concentration-dependent cation currents reversing close to zero mV; ATP gave a half-maximal current at 250 μm. αβ-Methylene-ATP evoked only small currents in comparison to ATP (EC&lt;sub&gt;50&lt;/sub&gt; &gt; 5 mm). 2′,3′-&lt;i&gt;O&lt;/i&gt;-(4-Benzoylbenzoyl)-ATP, βγ-imido-ATP, ADP, and several other nucleotide triphosphates did not activate any current. The currents evoked by 300 μm ATP were not inhibited by 100 μm suramin, pyridoxal-phosphate-6-azophenyl-2′,4′-disulfonic acid, 2′,3′-&lt;i&gt;O&lt;/i&gt;-(2,4,6-trinitrophenol)-ATP, or copper. Ion substitution experiments indicated permeabilities relative to sodium with the rank order calcium &gt;choline &gt;Tris &gt;tetraethylammonium &gt;&lt;i&gt;N&lt;/i&gt;-methyl-d-glucosamine. However, &lt;i&gt;Ot&lt;/i&gt;P2X had a low relative calcium permeability (&lt;i&gt;P&lt;/i&gt;&lt;sub&gt;Ca&lt;/sub&gt;&lt;i&gt;/P&lt;/i&gt;&lt;sub&gt;Na&lt;/sub&gt; = 0.4) in comparison with other P2X receptors. This was due at least in part to the presence of an asparagine residue (Asn&lt;sup&gt;353&lt;/sup&gt;) at a position in the second transmembrane domain in place of the aspartate that is completely conserved in all other P2X receptor subunits, because replacement of Asn&lt;sup&gt;353&lt;/sup&gt; with aspartate increased calcium permeability by </w:instrText>
            </w:r>
            <w:r>
              <w:rPr>
                <w:rFonts w:ascii="Cambria Math" w:hAnsi="Cambria Math" w:cs="Cambria Math"/>
                <w:sz w:val="20"/>
                <w:szCs w:val="20"/>
              </w:rPr>
              <w:instrText>∼</w:instrText>
            </w:r>
            <w:r>
              <w:rPr>
                <w:sz w:val="20"/>
                <w:szCs w:val="20"/>
              </w:rPr>
              <w:instrText xml:space="preserve">50%. The results indicate that the ability of ATP to gate cation permeation across membranes exists in cells that diverged in evolutionary terms from animals about 1 billion years ago.&lt;/p&gt;","container-title":"Journal of Biological Chemistry","DOI":"10.1074/jbc.M801512200","ISSN":"0021-9258, 1083-351X","issue":"22","journalAbbreviation":"Journal of Biological Chemistry","language":"English","note":"publisher: Elsevier\nPMID: 18381285","page":"15122-15126","source":"www.jbc.org","title":"Permeation Properties of a P2X Receptor in the Green Algae Ostreococcus tauri*","volume":"283","author":[{"family":"Fountain","given":"Samuel J."},{"family":"Cao","given":"Lishuang"},{"family":"Young","given":"Mark T."},{"family":"North","given":"R. Alan"}],"issued":{"date-parts":[["2008",5,30]]}},"label":"page"},{"id":"K5g4I7TM/Q5BNAItw","uris":["http://zotero.org/groups/4638210/items/MRWKQNVA"],"itemData":{"id":1893,"type":"article-journal","abstract":"Adenosine triphosphate (ATP) is an ancient and fundamentally important biological molecule involved in both intracellular and extracellular activities. P2X ionotropic and P2Y metabotropic receptors have been cloned and characterised in mammals. ATP plays a central physiological role as a transmitter molecule in processes including the sensation of pain, taste, breathing and inflammation via the activation of P2X receptors. P2X receptors are structurally distinct from glutamate and Cys-loop/nicotinic receptors and form the third major class of ligand-gated ion channel. Yet, despite the importance of P2X receptors, both as physiological mediators and therapeutic targets, the evolutionary origins and phylogenicity of ATP signalling via P2X receptors remain unclear.","container-title":"Purinergic Signalling","DOI":"10.1007/s11302-008-9127-x","ISSN":"1573-9538","issue":"3","journalAbbreviation":"Purinergic Signal","note":"PMID: 19015952\nPMCID: PMC2717308","page":"269-272","source":"PubMed Central","title":"An evolutionary history of P2X receptors","volume":"5","author":[{"family":"Fountain","given":"Samuel J."},{"family":"Burnstock","given":"Geoffrey"}],"issued":{"date-parts":[["2009",9]]}}},{"id":"K5g4I7TM/Q6bH58O0","uris":["http://zotero.org/groups/4638210/items/9WGCMVTQ"],"itemData":{"id":1890,"type":"article-journal","container-title":"Purinergic Signalling","DOI":"10.1007/s11302-011-9261-8","ISSN":"1573-9538","issue":"1","journalAbbreviation":"Purinergic Signal","note":"PMID: 21887491\nPMCID: PMC3286542","page":"11-13","source":"PubMed Central","title":"P2X receptor homologs in basal fungi","volume":"8","author":[{"family":"Cai","given":"Xinjiang"}],"issued":{"date-parts":[["2012",3]]}}}],"schema":"https://github.com/citation-style-language/schema/raw/master/csl-citation.json"} </w:instrText>
            </w:r>
            <w:r w:rsidRPr="004D1DC3">
              <w:rPr>
                <w:sz w:val="20"/>
                <w:szCs w:val="20"/>
              </w:rPr>
              <w:fldChar w:fldCharType="separate"/>
            </w:r>
            <w:r>
              <w:rPr>
                <w:noProof/>
                <w:sz w:val="20"/>
                <w:szCs w:val="20"/>
              </w:rPr>
              <w:t>(Fountain et al. 2008; Fountain and Burnstock 2009; Cai 2012a)</w:t>
            </w:r>
            <w:r w:rsidRPr="004D1DC3">
              <w:rPr>
                <w:sz w:val="20"/>
                <w:szCs w:val="20"/>
              </w:rPr>
              <w:fldChar w:fldCharType="end"/>
            </w:r>
          </w:p>
        </w:tc>
        <w:tc>
          <w:tcPr>
            <w:tcW w:w="3150" w:type="dxa"/>
            <w:vAlign w:val="center"/>
          </w:tcPr>
          <w:p w14:paraId="71543AC1" w14:textId="77777777" w:rsidR="00827F91" w:rsidRPr="00445ABA" w:rsidRDefault="00827F91" w:rsidP="001C1FB8">
            <w:pPr>
              <w:keepNext/>
              <w:keepLines/>
              <w:pageBreakBefore/>
              <w:jc w:val="center"/>
              <w:rPr>
                <w:sz w:val="22"/>
                <w:szCs w:val="22"/>
              </w:rPr>
            </w:pPr>
            <w:r>
              <w:rPr>
                <w:sz w:val="20"/>
                <w:szCs w:val="20"/>
              </w:rPr>
              <w:t xml:space="preserve">Accession numbers in proteome: </w:t>
            </w:r>
            <w:r w:rsidRPr="004D1DC3">
              <w:rPr>
                <w:sz w:val="20"/>
                <w:szCs w:val="20"/>
              </w:rPr>
              <w:t>TRINITY_DN11075_c0_g1_i</w:t>
            </w:r>
            <w:proofErr w:type="gramStart"/>
            <w:r w:rsidRPr="004D1DC3">
              <w:rPr>
                <w:sz w:val="20"/>
                <w:szCs w:val="20"/>
              </w:rPr>
              <w:t>4.p</w:t>
            </w:r>
            <w:proofErr w:type="gramEnd"/>
            <w:r w:rsidRPr="004D1DC3">
              <w:rPr>
                <w:sz w:val="20"/>
                <w:szCs w:val="20"/>
              </w:rPr>
              <w:t>2, TRINITY_DN10750_c0_g1_i7.p1</w:t>
            </w:r>
          </w:p>
        </w:tc>
        <w:tc>
          <w:tcPr>
            <w:tcW w:w="2136" w:type="dxa"/>
            <w:vAlign w:val="center"/>
          </w:tcPr>
          <w:p w14:paraId="475EFDA4" w14:textId="4E916A0F" w:rsidR="00827F91" w:rsidRPr="00445ABA" w:rsidRDefault="00827F91" w:rsidP="001C1FB8">
            <w:pPr>
              <w:keepNext/>
              <w:keepLines/>
              <w:pageBreakBefore/>
              <w:jc w:val="center"/>
              <w:rPr>
                <w:sz w:val="22"/>
                <w:szCs w:val="22"/>
              </w:rPr>
            </w:pPr>
            <w:r w:rsidRPr="004D1DC3">
              <w:rPr>
                <w:sz w:val="20"/>
                <w:szCs w:val="20"/>
              </w:rPr>
              <w:fldChar w:fldCharType="begin"/>
            </w:r>
            <w:r>
              <w:rPr>
                <w:sz w:val="20"/>
                <w:szCs w:val="20"/>
              </w:rPr>
              <w:instrText xml:space="preserve"> ADDIN ZOTERO_ITEM CSL_CITATION {"citationID":"a2N4e4qt","properties":{"formattedCitation":"(Fountain et al. 2008; Fountain and Burnstock 2009; Cai 2012a)","plainCitation":"(Fountain et al. 2008; Fountain and Burnstock 2009; Cai 2012a)","noteIndex":0},"citationItems":[{"id":1445,"uris":["http://zotero.org/users/10320770/items/LKYW239N"],"itemData":{"id":1445,"type":"article-journal","abstract":"&lt;p&gt;We have cloned a P2X receptor (&lt;i&gt;Ot&lt;/i&gt;P2X) from the green algae &lt;i&gt;Ostreococcus tauri&lt;/i&gt;. The 42-kDa receptor shares </w:instrText>
            </w:r>
            <w:r>
              <w:rPr>
                <w:rFonts w:ascii="Cambria Math" w:hAnsi="Cambria Math" w:cs="Cambria Math"/>
                <w:sz w:val="20"/>
                <w:szCs w:val="20"/>
              </w:rPr>
              <w:instrText>∼</w:instrText>
            </w:r>
            <w:r>
              <w:rPr>
                <w:sz w:val="20"/>
                <w:szCs w:val="20"/>
              </w:rPr>
              <w:instrText xml:space="preserve">28% identity with human P2X receptors and 23% with the &lt;i&gt;Dictyostelium&lt;/i&gt; P2X receptor. ATP application evoked flickery single channel openings in outside-out membrane patches from human embryonic kidney 293 cells expressing &lt;i&gt;Ot&lt;/i&gt;P2X. Whole-cell recordings showed concentration-dependent cation currents reversing close to zero mV; ATP gave a half-maximal current at 250 μm. αβ-Methylene-ATP evoked only small currents in comparison to ATP (EC&lt;sub&gt;50&lt;/sub&gt; &gt; 5 mm). 2′,3′-&lt;i&gt;O&lt;/i&gt;-(4-Benzoylbenzoyl)-ATP, βγ-imido-ATP, ADP, and several other nucleotide triphosphates did not activate any current. The currents evoked by 300 μm ATP were not inhibited by 100 μm suramin, pyridoxal-phosphate-6-azophenyl-2′,4′-disulfonic acid, 2′,3′-&lt;i&gt;O&lt;/i&gt;-(2,4,6-trinitrophenol)-ATP, or copper. Ion substitution experiments indicated permeabilities relative to sodium with the rank order calcium &gt;choline &gt;Tris &gt;tetraethylammonium &gt;&lt;i&gt;N&lt;/i&gt;-methyl-d-glucosamine. However, &lt;i&gt;Ot&lt;/i&gt;P2X had a low relative calcium permeability (&lt;i&gt;P&lt;/i&gt;&lt;sub&gt;Ca&lt;/sub&gt;&lt;i&gt;/P&lt;/i&gt;&lt;sub&gt;Na&lt;/sub&gt; = 0.4) in comparison with other P2X receptors. This was due at least in part to the presence of an asparagine residue (Asn&lt;sup&gt;353&lt;/sup&gt;) at a position in the second transmembrane domain in place of the aspartate that is completely conserved in all other P2X receptor subunits, because replacement of Asn&lt;sup&gt;353&lt;/sup&gt; with aspartate increased calcium permeability by </w:instrText>
            </w:r>
            <w:r>
              <w:rPr>
                <w:rFonts w:ascii="Cambria Math" w:hAnsi="Cambria Math" w:cs="Cambria Math"/>
                <w:sz w:val="20"/>
                <w:szCs w:val="20"/>
              </w:rPr>
              <w:instrText>∼</w:instrText>
            </w:r>
            <w:r>
              <w:rPr>
                <w:sz w:val="20"/>
                <w:szCs w:val="20"/>
              </w:rPr>
              <w:instrText xml:space="preserve">50%. The results indicate that the ability of ATP to gate cation permeation across membranes exists in cells that diverged in evolutionary terms from animals about 1 billion years ago.&lt;/p&gt;","container-title":"Journal of Biological Chemistry","DOI":"10.1074/jbc.M801512200","ISSN":"0021-9258, 1083-351X","issue":"22","journalAbbreviation":"Journal of Biological Chemistry","language":"English","note":"publisher: Elsevier\nPMID: 18381285","page":"15122-15126","source":"www.jbc.org","title":"Permeation Properties of a P2X Receptor in the Green Algae Ostreococcus tauri*","volume":"283","author":[{"family":"Fountain","given":"Samuel J."},{"family":"Cao","given":"Lishuang"},{"family":"Young","given":"Mark T."},{"family":"North","given":"R. Alan"}],"issued":{"date-parts":[["2008",5,30]]}},"label":"page"},{"id":"K5g4I7TM/Q5BNAItw","uris":["http://zotero.org/groups/4638210/items/MRWKQNVA"],"itemData":{"id":1893,"type":"article-journal","abstract":"Adenosine triphosphate (ATP) is an ancient and fundamentally important biological molecule involved in both intracellular and extracellular activities. P2X ionotropic and P2Y metabotropic receptors have been cloned and characterised in mammals. ATP plays a central physiological role as a transmitter molecule in processes including the sensation of pain, taste, breathing and inflammation via the activation of P2X receptors. P2X receptors are structurally distinct from glutamate and Cys-loop/nicotinic receptors and form the third major class of ligand-gated ion channel. Yet, despite the importance of P2X receptors, both as physiological mediators and therapeutic targets, the evolutionary origins and phylogenicity of ATP signalling via P2X receptors remain unclear.","container-title":"Purinergic Signalling","DOI":"10.1007/s11302-008-9127-x","ISSN":"1573-9538","issue":"3","journalAbbreviation":"Purinergic Signal","note":"PMID: 19015952\nPMCID: PMC2717308","page":"269-272","source":"PubMed Central","title":"An evolutionary history of P2X receptors","volume":"5","author":[{"family":"Fountain","given":"Samuel J."},{"family":"Burnstock","given":"Geoffrey"}],"issued":{"date-parts":[["2009",9]]}}},{"id":"K5g4I7TM/Q6bH58O0","uris":["http://zotero.org/groups/4638210/items/9WGCMVTQ"],"itemData":{"id":1890,"type":"article-journal","container-title":"Purinergic Signalling","DOI":"10.1007/s11302-011-9261-8","ISSN":"1573-9538","issue":"1","journalAbbreviation":"Purinergic Signal","note":"PMID: 21887491\nPMCID: PMC3286542","page":"11-13","source":"PubMed Central","title":"P2X receptor homologs in basal fungi","volume":"8","author":[{"family":"Cai","given":"Xinjiang"}],"issued":{"date-parts":[["2012",3]]}}}],"schema":"https://github.com/citation-style-language/schema/raw/master/csl-citation.json"} </w:instrText>
            </w:r>
            <w:r w:rsidRPr="004D1DC3">
              <w:rPr>
                <w:sz w:val="20"/>
                <w:szCs w:val="20"/>
              </w:rPr>
              <w:fldChar w:fldCharType="separate"/>
            </w:r>
            <w:r>
              <w:rPr>
                <w:noProof/>
                <w:sz w:val="20"/>
                <w:szCs w:val="20"/>
              </w:rPr>
              <w:t>(Fountain et al. 2008; Fountain and Burnstock 2009; Cai 2012a)</w:t>
            </w:r>
            <w:r w:rsidRPr="004D1DC3">
              <w:rPr>
                <w:sz w:val="20"/>
                <w:szCs w:val="20"/>
              </w:rPr>
              <w:fldChar w:fldCharType="end"/>
            </w:r>
          </w:p>
        </w:tc>
      </w:tr>
      <w:tr w:rsidR="00827F91" w:rsidRPr="00445ABA" w14:paraId="2A28DC79" w14:textId="77777777" w:rsidTr="001C1FB8">
        <w:tc>
          <w:tcPr>
            <w:tcW w:w="1896" w:type="dxa"/>
            <w:vAlign w:val="center"/>
          </w:tcPr>
          <w:p w14:paraId="74270E32" w14:textId="77777777" w:rsidR="00827F91" w:rsidRPr="004D1DC3" w:rsidRDefault="00827F91" w:rsidP="001C1FB8">
            <w:pPr>
              <w:keepNext/>
              <w:keepLines/>
              <w:pageBreakBefore/>
              <w:jc w:val="center"/>
              <w:rPr>
                <w:sz w:val="20"/>
                <w:szCs w:val="20"/>
              </w:rPr>
            </w:pPr>
            <w:r w:rsidRPr="001074DB">
              <w:rPr>
                <w:sz w:val="20"/>
                <w:szCs w:val="20"/>
              </w:rPr>
              <w:t>Ionotropic glutamate/</w:t>
            </w:r>
            <w:r>
              <w:rPr>
                <w:sz w:val="20"/>
                <w:szCs w:val="20"/>
              </w:rPr>
              <w:t xml:space="preserve"> </w:t>
            </w:r>
            <w:r w:rsidRPr="001074DB">
              <w:rPr>
                <w:sz w:val="20"/>
                <w:szCs w:val="20"/>
              </w:rPr>
              <w:t>glycine/serotonin receptor</w:t>
            </w:r>
          </w:p>
        </w:tc>
        <w:tc>
          <w:tcPr>
            <w:tcW w:w="2594" w:type="dxa"/>
            <w:vAlign w:val="center"/>
          </w:tcPr>
          <w:p w14:paraId="19587D24" w14:textId="77777777" w:rsidR="00827F91" w:rsidRPr="001074DB" w:rsidRDefault="00827F91" w:rsidP="001C1FB8">
            <w:pPr>
              <w:keepNext/>
              <w:keepLines/>
              <w:pageBreakBefore/>
              <w:jc w:val="center"/>
              <w:rPr>
                <w:i/>
                <w:iCs/>
                <w:sz w:val="20"/>
                <w:szCs w:val="20"/>
              </w:rPr>
            </w:pPr>
            <w:r>
              <w:rPr>
                <w:i/>
                <w:iCs/>
                <w:sz w:val="20"/>
                <w:szCs w:val="20"/>
              </w:rPr>
              <w:t>Absent from genome</w:t>
            </w:r>
          </w:p>
        </w:tc>
        <w:tc>
          <w:tcPr>
            <w:tcW w:w="3150" w:type="dxa"/>
            <w:vAlign w:val="center"/>
          </w:tcPr>
          <w:p w14:paraId="72C593FC" w14:textId="77777777" w:rsidR="00827F91" w:rsidRDefault="00827F91" w:rsidP="001C1FB8">
            <w:pPr>
              <w:keepNext/>
              <w:keepLines/>
              <w:pageBreakBefore/>
              <w:jc w:val="center"/>
              <w:rPr>
                <w:sz w:val="20"/>
                <w:szCs w:val="20"/>
              </w:rPr>
            </w:pPr>
            <w:r w:rsidRPr="001074DB">
              <w:rPr>
                <w:sz w:val="20"/>
                <w:szCs w:val="20"/>
              </w:rPr>
              <w:fldChar w:fldCharType="begin"/>
            </w:r>
            <w:r w:rsidRPr="001074DB">
              <w:rPr>
                <w:sz w:val="20"/>
                <w:szCs w:val="20"/>
              </w:rPr>
              <w:instrText xml:space="preserve"> ADDIN ZOTERO_ITEM CSL_CITATION {"citationID":"nu9Lokz6","properties":{"formattedCitation":"(Brunet et al. 2019)","plainCitation":"(Brunet et al. 2019)","noteIndex":0},"citationItems":[{"id":1032,"uris":["http://zotero.org/users/10320770/items/FCIL4AB8"],"itemData":{"id":1032,"type":"article-journal","abstract":"Collective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Pr>
                <w:noProof/>
                <w:sz w:val="20"/>
                <w:szCs w:val="20"/>
              </w:rPr>
              <w:t>(Brunet et al. 2019)</w:t>
            </w:r>
            <w:r w:rsidRPr="001074DB">
              <w:rPr>
                <w:sz w:val="20"/>
                <w:szCs w:val="20"/>
              </w:rPr>
              <w:fldChar w:fldCharType="end"/>
            </w:r>
          </w:p>
        </w:tc>
        <w:tc>
          <w:tcPr>
            <w:tcW w:w="2136" w:type="dxa"/>
            <w:vAlign w:val="center"/>
          </w:tcPr>
          <w:p w14:paraId="20CB1672" w14:textId="77777777" w:rsidR="00827F91" w:rsidRPr="001074DB" w:rsidRDefault="00827F91" w:rsidP="001C1FB8">
            <w:pPr>
              <w:keepNext/>
              <w:keepLines/>
              <w:pageBreakBefore/>
              <w:jc w:val="center"/>
              <w:rPr>
                <w:i/>
                <w:iCs/>
                <w:sz w:val="20"/>
                <w:szCs w:val="20"/>
              </w:rPr>
            </w:pPr>
            <w:r>
              <w:rPr>
                <w:i/>
                <w:iCs/>
                <w:sz w:val="20"/>
                <w:szCs w:val="20"/>
              </w:rPr>
              <w:t>Absent from genome</w:t>
            </w:r>
          </w:p>
        </w:tc>
      </w:tr>
      <w:tr w:rsidR="00827F91" w:rsidRPr="00445ABA" w14:paraId="4B7814E6" w14:textId="77777777" w:rsidTr="001C1FB8">
        <w:tc>
          <w:tcPr>
            <w:tcW w:w="1896" w:type="dxa"/>
            <w:vAlign w:val="center"/>
          </w:tcPr>
          <w:p w14:paraId="7C9EC540" w14:textId="77777777" w:rsidR="00827F91" w:rsidRPr="008C1EA5" w:rsidRDefault="00827F91" w:rsidP="001C1FB8">
            <w:pPr>
              <w:keepNext/>
              <w:keepLines/>
              <w:pageBreakBefore/>
              <w:jc w:val="center"/>
              <w:rPr>
                <w:sz w:val="20"/>
                <w:szCs w:val="20"/>
              </w:rPr>
            </w:pPr>
            <w:r w:rsidRPr="008C1EA5">
              <w:rPr>
                <w:sz w:val="20"/>
                <w:szCs w:val="20"/>
              </w:rPr>
              <w:t>Tyrosine kinases</w:t>
            </w:r>
          </w:p>
        </w:tc>
        <w:tc>
          <w:tcPr>
            <w:tcW w:w="2594" w:type="dxa"/>
            <w:vAlign w:val="center"/>
          </w:tcPr>
          <w:p w14:paraId="72022A66" w14:textId="77777777" w:rsidR="00827F91" w:rsidRPr="004D1DC3" w:rsidRDefault="00827F91" w:rsidP="001C1FB8">
            <w:pPr>
              <w:keepNext/>
              <w:keepLines/>
              <w:pageBreakBefore/>
              <w:jc w:val="center"/>
              <w:rPr>
                <w:sz w:val="20"/>
                <w:szCs w:val="20"/>
              </w:rPr>
            </w:pPr>
            <w:r w:rsidRPr="001074DB">
              <w:rPr>
                <w:sz w:val="20"/>
                <w:szCs w:val="20"/>
              </w:rPr>
              <w:fldChar w:fldCharType="begin"/>
            </w:r>
            <w:r w:rsidRPr="001074DB">
              <w:rPr>
                <w:sz w:val="20"/>
                <w:szCs w:val="20"/>
              </w:rPr>
              <w:instrText xml:space="preserve"> ADDIN ZOTERO_ITEM CSL_CITATION {"citationID":"QqJDndrL","properties":{"formattedCitation":"(King et al. 2008; Manning et al. 2008)","plainCitation":"(King et al. 2008; Manning et al. 2008)","noteIndex":0},"citationItems":[{"id":183,"uris":["http://zotero.org/users/10320770/items/M84VSFUB"],"itemData":{"id":183,"type":"article-journal","abstract":"Choanoflagellates are the closest known relatives of metazoans. To discover potential molecular mechanisms underlying the evolution of metazoan multicellularity, we sequenced and analysed the genome of the unicellular choanoflagellate Monosiga brevicollis. The genome contains approximately 9,200 intron-rich genes, including a number that encode cell adhesion and signalling protein domains that are otherwise restricted to metazoans. Here we show that the physical linkages among protein domains often differ between M. brevicollis and metazoans, suggesting that abundant domain shuffling followed the separation of the choanoflagellate and metazoan lineages. The completion of the M. brevicollis genome allows us to reconstruct with increasing resolution the genomic changes that accompanied the origin of metazoans.","container-title":"Nature","DOI":"10.1038/nature06617","ISSN":"1476-4687","issue":"7180","journalAbbreviation":"Nature","language":"eng","note":"PMID: 18273011\nPMCID: PMC2562698","page":"783-788","source":"PubMed","title":"The genome of the choanoflagellate Monosiga brevicollis and the origin of metazoans","volume":"451","author":[{"family":"King","given":"Nicole"},{"family":"Westbrook","given":"M. Jody"},{"family":"Young","given":"Susan L."},{"family":"Kuo","given":"Alan"},{"family":"Abedin","given":"Monika"},{"family":"Chapman","given":"Jarrod"},{"family":"Fairclough","given":"Stephen"},{"family":"Hellsten","given":"Uffe"},{"family":"Isogai","given":"Yoh"},{"family":"Letunic","given":"Ivica"},{"family":"Marr","given":"Michael"},{"family":"Pincus","given":"David"},{"family":"Putnam","given":"Nicholas"},{"family":"Rokas","given":"Antonis"},{"family":"Wright","given":"Kevin J."},{"family":"Zuzow","given":"Richard"},{"family":"Dirks","given":"William"},{"family":"Good","given":"Matthew"},{"family":"Goodstein","given":"David"},{"family":"Lemons","given":"Derek"},{"family":"Li","given":"Wanqing"},{"family":"Lyons","given":"Jessica B."},{"family":"Morris","given":"Andrea"},{"family":"Nichols","given":"Scott"},{"family":"Richter","given":"Daniel J."},{"family":"Salamov","given":"Asaf"},{"family":"Sequencing","given":"J. G. I."},{"family":"Bork","given":"Peer"},{"family":"Lim","given":"Wendell A."},{"family":"Manning","given":"Gerard"},{"family":"Miller","given":"W. Todd"},{"family":"McGinnis","given":"William"},{"family":"Shapiro","given":"Harris"},{"family":"Tjian","given":"Robert"},{"family":"Grigoriev","given":"Igor V."},{"family":"Rokhsar","given":"Daniel"}],"issued":{"date-parts":[["2008",2,14]]}}},{"id":1493,"uris":["http://zotero.org/users/10320770/items/FKB6A8ZN"],"itemData":{"id":1493,"type":"article-journal","abstract":"Tyrosine kinase signaling has long been considered a hallmark of intercellular communication, unique to multicellular animals. Our genomic analysis of the unicellular choanoflagellate Monosiga brevicollis discovers a remarkable count of 128 tyrosine kinases, 38 tyrosine phosphatases, and 123 phosphotyrosine (pTyr)-binding SH2 proteins, all higher counts than seen in any metazoan. This elaborate signaling network shows little orthology to metazoan counterparts yet displays many innovations reminiscent of metazoans. These include extracellular domains structurally related to those of metazoan receptor kinases, alternative methods for membrane anchoring and phosphotyrosine interaction in cytoplasmic kinases, and domain combinations that link kinases to small GTPase signaling and transcription. These proteins also display a wealth of combinations of known signaling domains. This uniquely divergent and elaborate signaling network illuminates the early evolution of pTyr signaling, explores innovative ways to traverse the cellular signaling circuitry, and shows extensive convergent evolution, highlighting pervasive constraints on pTyr signaling.","container-title":"Proceedings of the National Academy of Sciences","DOI":"10.1073/pnas.0801314105","issue":"28","note":"publisher: Proceedings of the National Academy of Sciences","page":"9674-9679","source":"pnas.org (Atypon)","title":"The protist, Monosiga brevicollis, has a tyrosine kinase signaling network more elaborate and diverse than found in any known metazoan","volume":"105","author":[{"family":"Manning","given":"Gerard"},{"family":"Young","given":"Susan L."},{"family":"Miller","given":"W. Todd"},{"family":"Zhai","given":"Yufeng"}],"issued":{"date-parts":[["2008",7,15]]}}}],"schema":"https://github.com/citation-style-language/schema/raw/master/csl-citation.json"} </w:instrText>
            </w:r>
            <w:r w:rsidRPr="001074DB">
              <w:rPr>
                <w:sz w:val="20"/>
                <w:szCs w:val="20"/>
              </w:rPr>
              <w:fldChar w:fldCharType="separate"/>
            </w:r>
            <w:r>
              <w:rPr>
                <w:noProof/>
                <w:sz w:val="20"/>
                <w:szCs w:val="20"/>
              </w:rPr>
              <w:t>(King et al. 2008; Manning et al. 2008)</w:t>
            </w:r>
            <w:r w:rsidRPr="001074DB">
              <w:rPr>
                <w:sz w:val="20"/>
                <w:szCs w:val="20"/>
              </w:rPr>
              <w:fldChar w:fldCharType="end"/>
            </w:r>
          </w:p>
        </w:tc>
        <w:tc>
          <w:tcPr>
            <w:tcW w:w="3150" w:type="dxa"/>
            <w:vAlign w:val="center"/>
          </w:tcPr>
          <w:p w14:paraId="58217886" w14:textId="77777777" w:rsidR="00827F91" w:rsidRPr="00F1420C" w:rsidRDefault="00827F91" w:rsidP="001C1FB8">
            <w:pPr>
              <w:keepNext/>
              <w:keepLines/>
              <w:pageBreakBefore/>
              <w:jc w:val="center"/>
              <w:rPr>
                <w:i/>
                <w:iCs/>
                <w:sz w:val="20"/>
                <w:szCs w:val="20"/>
              </w:rPr>
            </w:pPr>
            <w:r>
              <w:rPr>
                <w:i/>
                <w:iCs/>
                <w:sz w:val="20"/>
                <w:szCs w:val="20"/>
              </w:rPr>
              <w:t>&gt;90 p</w:t>
            </w:r>
            <w:r w:rsidRPr="00F1420C">
              <w:rPr>
                <w:i/>
                <w:iCs/>
                <w:sz w:val="20"/>
                <w:szCs w:val="20"/>
              </w:rPr>
              <w:t>redicted in transcriptom</w:t>
            </w:r>
            <w:r>
              <w:rPr>
                <w:i/>
                <w:iCs/>
                <w:sz w:val="20"/>
                <w:szCs w:val="20"/>
              </w:rPr>
              <w:t>e</w:t>
            </w:r>
          </w:p>
        </w:tc>
        <w:tc>
          <w:tcPr>
            <w:tcW w:w="2136" w:type="dxa"/>
            <w:vAlign w:val="center"/>
          </w:tcPr>
          <w:p w14:paraId="1719950F" w14:textId="77777777" w:rsidR="00827F91" w:rsidRPr="004D1DC3"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{"citationID":"2fEomrMM","properties":{"formattedCitation":"(King et al. 2008; Manning et al. 2008)","plainCitation":"(King et al. 2008; Manning et al. 2008)","noteIndex":0},"citationItems":[{"id":183,"uris":["http://zotero.org/users/10320770/items/M84VSFUB"],"itemData":{"id":183,"type":"article-journal","abstract":"Choanoflagellates are the closest known relatives of metazoans. To discover potential molecular mechanisms underlying the evolution of metazoan multicellularity, we sequenced and analysed the genome of the unicellular choanoflagellate Monosiga brevicollis. The genome contains approximately 9,200 intron-rich genes, including a number that encode cell adhesion and signalling protein domains that are otherwise restricted to metazoans. Here we show that the physical linkages among protein domains often differ between M. brevicollis and metazoans, suggesting that abundant domain shuffling followed the separation of the choanoflagellate and metazoan lineages. The completion of the M. brevicollis genome allows us to reconstruct with increasing resolution the genomic changes that accompanied the origin of metazoans.","container-title":"Nature","DOI":"10.1038/nature06617","ISSN":"1476-4687","issue":"7180","journalAbbreviation":"Nature","language":"eng","note":"PMID: 18273011\nPMCID: PMC2562698","page":"783-788","source":"PubMed","title":"The genome of the choanoflagellate Monosiga brevicollis and the origin of metazoans","volume":"451","author":[{"family":"King","given":"Nicole"},{"family":"Westbrook","given":"M. Jody"},{"family":"Young","given":"Susan L."},{"family":"Kuo","given":"Alan"},{"family":"Abedin","given":"Monika"},{"family":"Chapman","given":"Jarrod"},{"family":"Fairclough","given":"Stephen"},{"family":"Hellsten","given":"Uffe"},{"family":"Isogai","given":"Yoh"},{"family":"Letunic","given":"Ivica"},{"family":"Marr","given":"Michael"},{"family":"Pincus","given":"David"},{"family":"Putnam","given":"Nicholas"},{"family":"Rokas","given":"Antonis"},{"family":"Wright","given":"Kevin J."},{"family":"Zuzow","given":"Richard"},{"family":"Dirks","given":"William"},{"family":"Good","given":"Matthew"},{"family":"Goodstein","given":"David"},{"family":"Lemons","given":"Derek"},{"family":"Li","given":"Wanqing"},{"family":"Lyons","given":"Jessica B."},{"family":"Morris","given":"Andrea"},{"family":"Nichols","given":"Scott"},{"family":"Richter","given":"Daniel J."},{"family":"Salamov","given":"Asaf"},{"family":"Sequencing","given":"J. G. I."},{"family":"Bork","given":"Peer"},{"family":"Lim","given":"Wendell A."},{"family":"Manning","given":"Gerard"},{"family":"Miller","given":"W. Todd"},{"family":"McGinnis","given":"William"},{"family":"Shapiro","given":"Harris"},{"family":"Tjian","given":"Robert"},{"family":"Grigoriev","given":"Igor V."},{"family":"Rokhsar","given":"Daniel"}],"issued":{"date-parts":[["2008",2,14]]}}},{"id":1493,"uris":["http://zotero.org/users/10320770/items/FKB6A8ZN"],"itemData":{"id":1493,"type":"article-journal","abstract":"Tyrosine kinase signaling has long been considered a hallmark of intercellular communication, unique to multicellular animals. Our genomic analysis of the unicellular choanoflagellate Monosiga brevicollis discovers a remarkable count of 128 tyrosine kinases, 38 tyrosine phosphatases, and 123 phosphotyrosine (pTyr)-binding SH2 proteins, all higher counts than seen in any metazoan. This elaborate signaling network shows little orthology to metazoan counterparts yet displays many innovations reminiscent of metazoans. These include extracellular domains structurally related to those of metazoan receptor kinases, alternative methods for membrane anchoring and phosphotyrosine interaction in cytoplasmic kinases, and domain combinations that link kinases to small GTPase signaling and transcription. These proteins also display a wealth of combinations of known signaling domains. This uniquely divergent and elaborate signaling network illuminates the early evolution of pTyr signaling, explores innovative ways to traverse the cellular signaling circuitry, and shows extensive convergent evolution, highlighting pervasive constraints on pTyr signaling.","container-title":"Proceedings of the National Academy of Sciences","DOI":"10.1073/pnas.0801314105","issue":"28","note":"publisher: Proceedings of the National Academy of Sciences","page":"9674-9679","source":"pnas.org (Atypon)","title":"The protist, Monosiga brevicollis, has a tyrosine kinase signaling network more elaborate and diverse than found in any known metazoan","volume":"105","author":[{"family":"Manning","given":"Gerard"},{"family":"Young","given":"Susan L."},{"family":"Miller","given":"W. Todd"},{"family":"Zhai","given":"Yufeng"}],"issued":{"date-parts":[["2008",7,15]]}}}],"schema":"https://github.com/citation-style-language/schema/raw/master/csl-citation.json"} </w:instrText>
            </w:r>
            <w:r w:rsidRPr="001074DB">
              <w:rPr>
                <w:sz w:val="20"/>
                <w:szCs w:val="20"/>
              </w:rPr>
              <w:fldChar w:fldCharType="separate"/>
            </w:r>
            <w:r>
              <w:rPr>
                <w:noProof/>
                <w:sz w:val="20"/>
                <w:szCs w:val="20"/>
              </w:rPr>
              <w:t>(King et al. 2008; Manning et al. 2008)</w:t>
            </w:r>
            <w:r w:rsidRPr="001074DB">
              <w:rPr>
                <w:sz w:val="20"/>
                <w:szCs w:val="20"/>
              </w:rPr>
              <w:fldChar w:fldCharType="end"/>
            </w:r>
          </w:p>
        </w:tc>
      </w:tr>
      <w:tr w:rsidR="00827F91" w:rsidRPr="00445ABA" w14:paraId="4F6FD933" w14:textId="77777777" w:rsidTr="001C1FB8">
        <w:tc>
          <w:tcPr>
            <w:tcW w:w="1896" w:type="dxa"/>
            <w:vAlign w:val="center"/>
          </w:tcPr>
          <w:p w14:paraId="58C69B16" w14:textId="77777777" w:rsidR="00827F91" w:rsidRPr="001074DB" w:rsidRDefault="00827F91" w:rsidP="001C1FB8">
            <w:pPr>
              <w:keepNext/>
              <w:keepLines/>
              <w:pageBreakBefore/>
              <w:jc w:val="center"/>
              <w:rPr>
                <w:sz w:val="20"/>
                <w:szCs w:val="20"/>
              </w:rPr>
            </w:pPr>
            <w:r w:rsidRPr="001074DB">
              <w:rPr>
                <w:sz w:val="20"/>
                <w:szCs w:val="20"/>
              </w:rPr>
              <w:t xml:space="preserve">Metazoan-type </w:t>
            </w:r>
            <w:proofErr w:type="spellStart"/>
            <w:r w:rsidRPr="001074DB">
              <w:rPr>
                <w:sz w:val="20"/>
                <w:szCs w:val="20"/>
              </w:rPr>
              <w:t>rhodopsins</w:t>
            </w:r>
            <w:proofErr w:type="spellEnd"/>
          </w:p>
        </w:tc>
        <w:tc>
          <w:tcPr>
            <w:tcW w:w="2594" w:type="dxa"/>
            <w:vAlign w:val="center"/>
          </w:tcPr>
          <w:p w14:paraId="56388B89" w14:textId="77777777" w:rsidR="00827F91" w:rsidRPr="004D1DC3" w:rsidRDefault="00827F91" w:rsidP="001C1FB8">
            <w:pPr>
              <w:keepNext/>
              <w:keepLines/>
              <w:pageBreakBefore/>
              <w:jc w:val="center"/>
              <w:rPr>
                <w:sz w:val="20"/>
                <w:szCs w:val="20"/>
              </w:rPr>
            </w:pPr>
            <w:r w:rsidRPr="005E5C29">
              <w:rPr>
                <w:i/>
                <w:iCs/>
                <w:sz w:val="20"/>
                <w:szCs w:val="20"/>
              </w:rPr>
              <w:t>Absent from genome</w:t>
            </w:r>
            <w:r>
              <w:rPr>
                <w:sz w:val="20"/>
                <w:szCs w:val="20"/>
              </w:rPr>
              <w:t xml:space="preserve"> </w:t>
            </w:r>
            <w:r w:rsidRPr="001074DB">
              <w:rPr>
                <w:sz w:val="20"/>
                <w:szCs w:val="20"/>
              </w:rPr>
              <w:fldChar w:fldCharType="begin"/>
            </w:r>
            <w:r w:rsidRPr="001074DB">
              <w:rPr>
                <w:sz w:val="20"/>
                <w:szCs w:val="20"/>
              </w:rPr>
              <w:instrText xml:space="preserve"> ADDIN ZOTERO_ITEM CSL_CITATION {"citationID":"BD79R4kg","properties":{"formattedCitation":"(Feuda et al. 2012)","plainCitation":"(Feuda et al. 2012)","noteIndex":0},"citationItems":[{"id":1656,"uris":["http://zotero.org/users/10320770/items/ZRB7Q9WM"],"itemData":{"id":1656,"type":"article-journal","abstract":"All known visual pigments in Neuralia (Cnidaria, Ctenophora, and Bilateria) are composed of an opsin (a seven-transmembrane G protein-coupled receptor), and a light-sensitive chromophore, generally retinal. Accordingly, opsins play a key role in vision. There is no agreement on the relationships of the neuralian opsin subfamilies, and clarifying their phylogeny is key to elucidating the origin of this protein family and of vision. We used improved methods and data to resolve the opsin phylogeny and explain the evolution of animal vision. We found that the Placozoa have opsins, and that the opsins share a common ancestor with the melatonin receptors. Further to this, we found that all known neuralian opsins can be classified into the same three subfamilies into which the bilaterian opsins are classified: the ciliary (C), rhabdomeric (R), and go-coupled plus retinochrome, retinal G protein-coupled receptor (Go/RGR) opsins. Our results entail a simple scenario of opsin evolution. The first opsin originated from the duplication of the common ancestor of the melatonin and opsin genes in a eumetazoan (Placozoa plus Neuralia) ancestor, and an inference of its amino acid sequence suggests that this protein might not have been light-sensitive. Two more gene duplications in the ancestral neuralian lineage resulted in the origin of the R, C, and Go/RGR opsins. Accordingly, the first animal with at least a C, an R, and a Go/RGR opsin was a neuralian progenitor.","container-title":"Proceedings of the National Academy of Sciences","DOI":"10.1073/pnas.1204609109","ISSN":"0027-8424, 1091-6490","issue":"46","journalAbbreviation":"Proc. Natl. Acad. Sci. U.S.A.","language":"en","page":"18868-18872","source":"DOI.org (Crossref)","title":"Metazoan opsin evolution reveals a simple route to animal vision","volume":"109","author":[{"family":"Feuda","given":"Roberto"},{"family":"Hamilton","given":"Sinead C."},{"family":"McInerney","given":"James O."},{"family":"Pisani","given":"Davide"}],"issued":{"date-parts":[["2012",11,13]]}}}],"schema":"https://github.com/citation-style-language/schema/raw/master/csl-citation.json"} </w:instrText>
            </w:r>
            <w:r w:rsidRPr="001074DB">
              <w:rPr>
                <w:sz w:val="20"/>
                <w:szCs w:val="20"/>
              </w:rPr>
              <w:fldChar w:fldCharType="separate"/>
            </w:r>
            <w:r>
              <w:rPr>
                <w:noProof/>
                <w:sz w:val="20"/>
                <w:szCs w:val="20"/>
              </w:rPr>
              <w:t>(Feuda et al. 2012)</w:t>
            </w:r>
            <w:r w:rsidRPr="001074DB">
              <w:rPr>
                <w:sz w:val="20"/>
                <w:szCs w:val="20"/>
              </w:rPr>
              <w:fldChar w:fldCharType="end"/>
            </w:r>
          </w:p>
        </w:tc>
        <w:tc>
          <w:tcPr>
            <w:tcW w:w="3150" w:type="dxa"/>
            <w:vAlign w:val="center"/>
          </w:tcPr>
          <w:p w14:paraId="524DD9DD" w14:textId="77777777" w:rsidR="00827F91" w:rsidRPr="005E5C29" w:rsidRDefault="00827F91" w:rsidP="001C1FB8">
            <w:pPr>
              <w:keepNext/>
              <w:keepLines/>
              <w:pageBreakBefore/>
              <w:jc w:val="center"/>
              <w:rPr>
                <w:i/>
                <w:iCs/>
                <w:sz w:val="20"/>
                <w:szCs w:val="20"/>
              </w:rPr>
            </w:pPr>
            <w:r w:rsidRPr="005E5C29">
              <w:rPr>
                <w:i/>
                <w:iCs/>
                <w:sz w:val="20"/>
                <w:szCs w:val="20"/>
              </w:rPr>
              <w:t>Absent from transcriptome</w:t>
            </w:r>
          </w:p>
        </w:tc>
        <w:tc>
          <w:tcPr>
            <w:tcW w:w="2136" w:type="dxa"/>
            <w:vAlign w:val="center"/>
          </w:tcPr>
          <w:p w14:paraId="0FABDDFC" w14:textId="77777777" w:rsidR="00827F91" w:rsidRPr="004D1DC3" w:rsidRDefault="00827F91" w:rsidP="001C1FB8">
            <w:pPr>
              <w:keepNext/>
              <w:keepLines/>
              <w:pageBreakBefore/>
              <w:jc w:val="center"/>
              <w:rPr>
                <w:sz w:val="20"/>
                <w:szCs w:val="20"/>
              </w:rPr>
            </w:pPr>
            <w:r w:rsidRPr="005E5C29">
              <w:rPr>
                <w:i/>
                <w:iCs/>
                <w:sz w:val="20"/>
                <w:szCs w:val="20"/>
              </w:rPr>
              <w:t>Absent from genome</w:t>
            </w:r>
            <w:r>
              <w:rPr>
                <w:sz w:val="20"/>
                <w:szCs w:val="20"/>
              </w:rPr>
              <w:t xml:space="preserve"> </w:t>
            </w:r>
            <w:r w:rsidRPr="001074DB">
              <w:rPr>
                <w:sz w:val="20"/>
                <w:szCs w:val="20"/>
              </w:rPr>
              <w:fldChar w:fldCharType="begin"/>
            </w:r>
            <w:r>
              <w:rPr>
                <w:sz w:val="20"/>
                <w:szCs w:val="20"/>
              </w:rPr>
              <w:instrText xml:space="preserve"> ADDIN ZOTERO_ITEM CSL_CITATION {"citationID":"gbLeLQCB","properties":{"formattedCitation":"(Feuda et al. 2012)","plainCitation":"(Feuda et al. 2012)","noteIndex":0},"citationItems":[{"id":1656,"uris":["http://zotero.org/users/10320770/items/ZRB7Q9WM"],"itemData":{"id":1656,"type":"article-journal","abstract":"All known visual pigments in Neuralia (Cnidaria, Ctenophora, and Bilateria) are composed of an opsin (a seven-transmembrane G protein-coupled receptor), and a light-sensitive chromophore, generally retinal. Accordingly, opsins play a key role in vision. There is no agreement on the relationships of the neuralian opsin subfamilies, and clarifying their phylogeny is key to elucidating the origin of this protein family and of vision. We used improved methods and data to resolve the opsin phylogeny and explain the evolution of animal vision. We found that the Placozoa have opsins, and that the opsins share a common ancestor with the melatonin receptors. Further to this, we found that all known neuralian opsins can be classified into the same three subfamilies into which the bilaterian opsins are classified: the ciliary (C), rhabdomeric (R), and go-coupled plus retinochrome, retinal G protein-coupled receptor (Go/RGR) opsins. Our results entail a simple scenario of opsin evolution. The first opsin originated from the duplication of the common ancestor of the melatonin and opsin genes in a eumetazoan (Placozoa plus Neuralia) ancestor, and an inference of its amino acid sequence suggests that this protein might not have been light-sensitive. Two more gene duplications in the ancestral neuralian lineage resulted in the origin of the R, C, and Go/RGR opsins. Accordingly, the first animal with at least a C, an R, and a Go/RGR opsin was a neuralian progenitor.","container-title":"Proceedings of the National Academy of Sciences","DOI":"10.1073/pnas.1204609109","ISSN":"0027-8424, 1091-6490","issue":"46","journalAbbreviation":"Proc. Natl. Acad. Sci. U.S.A.","language":"en","page":"18868-18872","source":"DOI.org (Crossref)","title":"Metazoan opsin evolution reveals a simple route to animal vision","volume":"109","author":[{"family":"Feuda","given":"Roberto"},{"family":"Hamilton","given":"Sinead C."},{"family":"McInerney","given":"James O."},{"family":"Pisani","given":"Davide"}],"issued":{"date-parts":[["2012",11,13]]}}}],"schema":"https://github.com/citation-style-language/schema/raw/master/csl-citation.json"} </w:instrText>
            </w:r>
            <w:r w:rsidRPr="001074DB">
              <w:rPr>
                <w:sz w:val="20"/>
                <w:szCs w:val="20"/>
              </w:rPr>
              <w:fldChar w:fldCharType="separate"/>
            </w:r>
            <w:r>
              <w:rPr>
                <w:noProof/>
                <w:sz w:val="20"/>
                <w:szCs w:val="20"/>
              </w:rPr>
              <w:t>(Feuda et al. 2012)</w:t>
            </w:r>
            <w:r w:rsidRPr="001074DB">
              <w:rPr>
                <w:sz w:val="20"/>
                <w:szCs w:val="20"/>
              </w:rPr>
              <w:fldChar w:fldCharType="end"/>
            </w:r>
          </w:p>
        </w:tc>
      </w:tr>
      <w:tr w:rsidR="00827F91" w:rsidRPr="00445ABA" w14:paraId="0920F321" w14:textId="77777777" w:rsidTr="001C1FB8">
        <w:tc>
          <w:tcPr>
            <w:tcW w:w="1896" w:type="dxa"/>
            <w:vAlign w:val="center"/>
          </w:tcPr>
          <w:p w14:paraId="10EC4C67" w14:textId="77777777" w:rsidR="00827F91" w:rsidRPr="001074DB" w:rsidRDefault="00827F91" w:rsidP="001C1FB8">
            <w:pPr>
              <w:keepNext/>
              <w:keepLines/>
              <w:pageBreakBefore/>
              <w:jc w:val="center"/>
              <w:rPr>
                <w:sz w:val="20"/>
                <w:szCs w:val="20"/>
              </w:rPr>
            </w:pPr>
            <w:proofErr w:type="gramStart"/>
            <w:r>
              <w:rPr>
                <w:sz w:val="20"/>
                <w:szCs w:val="20"/>
              </w:rPr>
              <w:t>M</w:t>
            </w:r>
            <w:r w:rsidRPr="001074DB">
              <w:rPr>
                <w:sz w:val="20"/>
                <w:szCs w:val="20"/>
              </w:rPr>
              <w:t>icrobial-type</w:t>
            </w:r>
            <w:proofErr w:type="gramEnd"/>
            <w:r w:rsidRPr="001074DB">
              <w:rPr>
                <w:sz w:val="20"/>
                <w:szCs w:val="20"/>
              </w:rPr>
              <w:t xml:space="preserve"> </w:t>
            </w:r>
            <w:proofErr w:type="spellStart"/>
            <w:r w:rsidRPr="001074DB">
              <w:rPr>
                <w:sz w:val="20"/>
                <w:szCs w:val="20"/>
              </w:rPr>
              <w:t>rhodopsins</w:t>
            </w:r>
            <w:proofErr w:type="spellEnd"/>
          </w:p>
        </w:tc>
        <w:tc>
          <w:tcPr>
            <w:tcW w:w="2594" w:type="dxa"/>
            <w:vAlign w:val="center"/>
          </w:tcPr>
          <w:p w14:paraId="543BBAD9" w14:textId="77777777" w:rsidR="00827F91" w:rsidRPr="005E5C29" w:rsidRDefault="00827F91" w:rsidP="001C1FB8">
            <w:pPr>
              <w:keepNext/>
              <w:keepLines/>
              <w:pageBreakBefore/>
              <w:jc w:val="center"/>
              <w:rPr>
                <w:i/>
                <w:iCs/>
                <w:sz w:val="20"/>
                <w:szCs w:val="20"/>
              </w:rPr>
            </w:pPr>
            <w:r w:rsidRPr="005E5C29">
              <w:rPr>
                <w:i/>
                <w:iCs/>
                <w:sz w:val="20"/>
                <w:szCs w:val="20"/>
              </w:rPr>
              <w:t>Absent from genome</w:t>
            </w:r>
          </w:p>
        </w:tc>
        <w:tc>
          <w:tcPr>
            <w:tcW w:w="3150" w:type="dxa"/>
            <w:vAlign w:val="center"/>
          </w:tcPr>
          <w:p w14:paraId="127BEFDA"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Pr>
                <w:sz w:val="20"/>
                <w:szCs w:val="20"/>
              </w:rPr>
              <w:instrText xml:space="preserve"> ADDIN ZOTERO_ITEM CSL_CITATION {"citationID":"eSUHQZQm","properties":{"formattedCitation":"(Brunet et al. 2019)","plainCitation":"(Brunet et al. 2019)","noteIndex":0},"citationItems":[{"id":1032,"uris":["http://zotero.org/users/10320770/items/FCIL4AB8"],"itemData":{"id":1032,"type":"article-journal","abstract":"Collective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Pr>
                <w:noProof/>
                <w:sz w:val="20"/>
                <w:szCs w:val="20"/>
              </w:rPr>
              <w:t>(Brunet et al. 2019)</w:t>
            </w:r>
            <w:r w:rsidRPr="001074DB">
              <w:rPr>
                <w:sz w:val="20"/>
                <w:szCs w:val="20"/>
              </w:rPr>
              <w:fldChar w:fldCharType="end"/>
            </w:r>
          </w:p>
        </w:tc>
        <w:tc>
          <w:tcPr>
            <w:tcW w:w="2136" w:type="dxa"/>
            <w:vAlign w:val="center"/>
          </w:tcPr>
          <w:p w14:paraId="37AD2994" w14:textId="77777777" w:rsidR="00827F91" w:rsidRPr="00F1420C" w:rsidRDefault="00827F91" w:rsidP="001C1FB8">
            <w:pPr>
              <w:keepNext/>
              <w:keepLines/>
              <w:pageBreakBefore/>
              <w:jc w:val="center"/>
              <w:rPr>
                <w:sz w:val="20"/>
                <w:szCs w:val="20"/>
              </w:rPr>
            </w:pPr>
            <w:r w:rsidRPr="001074DB">
              <w:rPr>
                <w:sz w:val="20"/>
                <w:szCs w:val="20"/>
              </w:rPr>
              <w:fldChar w:fldCharType="begin"/>
            </w:r>
            <w:r w:rsidRPr="001074DB">
              <w:rPr>
                <w:sz w:val="20"/>
                <w:szCs w:val="20"/>
              </w:rPr>
              <w:instrText xml:space="preserve"> ADDIN ZOTERO_ITEM CSL_CITATION {"citationID":"3Gbija2x","properties":{"formattedCitation":"(Spudich 2006; Avelar et al. 2014; Brunet et al. 2019; Galindo et al. 2022)","plainCitation":"(Spudich 2006; Avelar et al. 2014; Brunet et al. 2019; Galindo et al. 2022)","noteIndex":0},"citationItems":[{"id":1564,"uris":["http://zotero.org/users/10320770/items/XFZWEXWA"],"itemData":{"id":1564,"type":"article-journal","container-title":"Current Biology","DOI":"10.1016/j.cub.2014.04.009","ISSN":"09609822","issue":"11","journalAbbreviation":"Current Biology","language":"en","page":"1234-1240","source":"DOI.org (Crossref)","title":"A Rhodopsin-Guanylyl Cyclase Gene Fusion Functions in Visual Perception in a Fungus","volume":"24","author":[{"family":"Avelar","given":"Gabriela M."},{"family":"Schumacher","given":"Robert I."},{"family":"Zaini","given":"Paulo A."},{"family":"Leonard","given":"Guy"},{"family":"Richards","given":"Thomas A."},{"family":"Gomes","given":"Suely L."}],"issued":{"date-parts":[["2014",6]]}}},{"id":1032,"uris":["http://zotero.org/users/10320770/items/FCIL4AB8"],"itemData":{"id":1032,"type":"article-journal","abstract":"Collective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A."},{"family":"McDonald","given":"Kent"},{"family":"King","given":"Nicole"}],"issued":{"date-parts":[["2019"]],"season":"18"}}},{"id":1562,"uris":["http://zotero.org/users/10320770/items/4FGICHXY"],"itemData":{"id":1562,"type":"article-journal","container-title":"Current Biology","DOI":"10.1016/j.cub.2022.05.034","ISSN":"09609822","issue":"14","journalAbbreviation":"Current Biology","language":"en","page":"3146-3153.e3","source":"DOI.org (Crossref)","title":"A light-sensing system in the common ancestor of the fungi","volume":"32","author":[{"family":"Galindo","given":"Luis Javier"},{"family":"Milner","given":"David S."},{"family":"Gomes","given":"Suely Lopes"},{"family":"Richards","given":"Thomas A."}],"issued":{"date-parts":[["2022",7]]}}},{"id":1655,"uris":["http://zotero.org/users/10320770/items/MR9LNUR3"],"itemData":{"id":1655,"type":"article-journal","container-title":"Trends in Microbiology","DOI":"10.1016/j.tim.2006.09.005","ISSN":"0966842X","issue":"11","journalAbbreviation":"Trends in Microbiology","language":"en","page":"480-487","source":"DOI.org (Crossref)","title":"The multitalented microbial sensory rhodopsins","volume":"14","author":[{"family":"Spudich","given":"John L."}],"issued":{"date-parts":[["2006",11]]}}}],"schema":"https://github.com/citation-style-language/schema/raw/master/csl-citation.json"} </w:instrText>
            </w:r>
            <w:r w:rsidRPr="001074DB">
              <w:rPr>
                <w:sz w:val="20"/>
                <w:szCs w:val="20"/>
              </w:rPr>
              <w:fldChar w:fldCharType="separate"/>
            </w:r>
            <w:r>
              <w:rPr>
                <w:noProof/>
                <w:sz w:val="20"/>
                <w:szCs w:val="20"/>
              </w:rPr>
              <w:t>(Spudich 2006; Avelar et al. 2014; Brunet et al. 2019; Galindo et al. 2022)</w:t>
            </w:r>
            <w:r w:rsidRPr="001074DB">
              <w:rPr>
                <w:sz w:val="20"/>
                <w:szCs w:val="20"/>
              </w:rPr>
              <w:fldChar w:fldCharType="end"/>
            </w:r>
          </w:p>
        </w:tc>
      </w:tr>
      <w:tr w:rsidR="00827F91" w:rsidRPr="00445ABA" w14:paraId="45B3915C" w14:textId="77777777" w:rsidTr="001C1FB8">
        <w:tc>
          <w:tcPr>
            <w:tcW w:w="1896" w:type="dxa"/>
            <w:vAlign w:val="center"/>
          </w:tcPr>
          <w:p w14:paraId="501BDCBA" w14:textId="77777777" w:rsidR="00827F91" w:rsidRDefault="00827F91" w:rsidP="001C1FB8">
            <w:pPr>
              <w:keepNext/>
              <w:keepLines/>
              <w:pageBreakBefore/>
              <w:jc w:val="center"/>
              <w:rPr>
                <w:sz w:val="20"/>
                <w:szCs w:val="20"/>
              </w:rPr>
            </w:pPr>
            <w:r>
              <w:rPr>
                <w:sz w:val="20"/>
                <w:szCs w:val="20"/>
              </w:rPr>
              <w:t>Piezo</w:t>
            </w:r>
          </w:p>
        </w:tc>
        <w:tc>
          <w:tcPr>
            <w:tcW w:w="2594" w:type="dxa"/>
            <w:vAlign w:val="center"/>
          </w:tcPr>
          <w:p w14:paraId="57EFBE0F" w14:textId="1BDCBC7F" w:rsidR="00827F91" w:rsidRPr="005E5C29" w:rsidRDefault="00827F91" w:rsidP="001C1FB8">
            <w:pPr>
              <w:keepNext/>
              <w:keepLines/>
              <w:pageBreakBefore/>
              <w:jc w:val="center"/>
              <w:rPr>
                <w:i/>
                <w:iCs/>
                <w:sz w:val="20"/>
                <w:szCs w:val="20"/>
              </w:rPr>
            </w:pPr>
            <w:r w:rsidRPr="001074DB">
              <w:rPr>
                <w:sz w:val="20"/>
                <w:szCs w:val="20"/>
              </w:rPr>
              <w:fldChar w:fldCharType="begin"/>
            </w:r>
            <w:r>
              <w:rPr>
                <w:sz w:val="20"/>
                <w:szCs w:val="20"/>
              </w:rPr>
              <w:instrText xml:space="preserve"> ADDIN ZOTERO_ITEM CSL_CITATION {"citationID":"zl2pIpef","properties":{"formattedCitation":"(Fairclough et al. 2013; Prole and Taylor 2013)","plainCitation":"(Fairclough et al. 2013; Prole and Taylor 2013)","noteIndex":0},"citationItems":[{"id":129,"uris":["http://zotero.org/users/10320770/items/KD6JM3B3"],"itemData":{"id":129,"type":"article-journal","abstract":"BACKGROUND: Metazoan multicellularity is rooted in mechanisms of cell adhesion, signaling, and differentiation that first evolved in the progenitors of metazoans. To reconstruct the genome composition of metazoan ancestors, we sequenced the genome and transcriptome of the choanoflagellate Salpingoeca rosetta, a close relative of metazoans that forms rosette-shaped colonies of cells.\nRESULTS: A comparison of the 55 Mb S. rosetta genome with genomes from diverse opisthokonts suggests that the origin of metazoans was preceded by a period of dynamic gene gain and loss. The S. rosetta genome encodes homologs of cell adhesion, neuropeptide, and glycosphingolipid metabolism genes previously found only in metazoans and expands the repertoire of genes inferred to have been present in the progenitors of metazoans and choanoflagellates. Transcriptome analysis revealed that all four S. rosetta septins are upregulated in colonies relative to single cells, suggesting that these conserved cytokinesis proteins may regulate incomplete cytokinesis during colony development. Furthermore, genes shared exclusively by metazoans and choanoflagellates were disproportionately upregulated in colonies and the single cells from which they develop.\nCONCLUSIONS: The S. rosetta genome sequence refines the catalog of metazoan-specific genes while also extending the evolutionary history of certain gene families that are central to metazoan biology. Transcriptome data suggest that conserved cytokinesis genes, including septins, may contribute to S. rosetta colony formation and indicate that the initiation of colony development may preferentially draw upon genes shared with metazoans, while later stages of colony maturation are likely regulated by genes unique to S. rosetta.","container-title":"Genome Biology","DOI":"10.1186/gb-2013-14-2-r15","ISSN":"1474-760X","issue":"2","journalAbbreviation":"Genome Biol.","language":"eng","note":"PMID: 23419129\nPMCID: PMC4054682","page":"R15","source":"PubMed","title":"Premetazoan genome evolution and the regulation of cell differentiation in the choanoflagellate Salpingoeca rosetta","volume":"14","author":[{"family":"Fairclough","given":"Stephen R."},{"family":"Chen","given":"Zehua"},{"family":"Kramer","given":"Eric"},{"family":"Zeng","given":"Qiandong"},{"family":"Young","given":"Sarah"},{"family":"Robertson","given":"Hugh M."},{"family":"Begovic","given":"Emina"},{"family":"Richter","given":"Daniel J."},{"family":"Russ","given":"Carsten"},{"family":"Westbrook","given":"M. Jody"},{"family":"Manning","given":"Gerard"},{"family":"Lang","given":"B. Franz"},{"family":"Haas","given":"Brian"},{"family":"Nusbaum","given":"Chad"},{"family":"King","given":"Nicole"}],"issued":{"date-parts":[["2013",2,18]]}}},{"id":"K5g4I7TM/gNflKJQ1","uris":["http://zotero.org/groups/4638210/items/9JVM3XXZ"],"itemData":{"id":1898,"type":"article-journal","abstract":"Mechanosensitive channels play important roles in the physiology of many organisms, and their dysfunction can affect cell survival. This suggests that they might be therapeutic targets in pathogenic organisms. Pathogenic protozoa lead to diseases such as malaria, dysentery, leishmaniasis and trypanosomiasis that are responsible for millions of deaths each year worldwide. We analyzed the genomes of pathogenic protozoa and show the existence within them of genes encoding putative homologues of mechanosensitive channels. Entamoeba histolytica, Leishmania spp., Trypanosoma cruzi and Trichomonas vaginalis have genes encoding homologues of Piezo channels, while most pathogenic protozoa have genes encoding homologues of mechanosensitive small-conductance (MscS) and K+-dependent (MscK) channels. In contrast, all parasites examined lack genes encoding mechanosensitive large-conductance (MscL), mini-conductance (MscM) and degenerin/epithelial Na+ (DEG/ENaC) channels. Multiple sequence alignments of evolutionarily distant protozoan, amoeban, plant, insect and vertebrate Piezo channel subunits define an absolutely conserved motif that may be involved in channel conductance or gating. MscS channels are not present in humans, and the sequences of protozoan and human homologues of Piezo channels differ substantially. This suggests the possibility for specific targeting of mechanosensitive channels of pathogens by therapeutic drugs.","container-title":"PLoS ONE","DOI":"10.1371/journal.pone.0066068","ISSN":"1932-6203","issue":"6","journalAbbreviation":"PLoS One","note":"PMID: 23785469\nPMCID: PMC3681921","page":"e66068","source":"PubMed Central","title":"Identification and Analysis of Putative Homologues of Mechanosensitive Channels in Pathogenic Protozoa","volume":"8","author":[{"family":"Prole","given":"David L."},{"family":"Taylor","given":"Colin W."}],"issued":{"date-parts":[["2013",6,13]]}}}],"schema":"https://github.com/citation-style-language/schema/raw/master/csl-citation.json"} </w:instrText>
            </w:r>
            <w:r w:rsidRPr="001074DB">
              <w:rPr>
                <w:sz w:val="20"/>
                <w:szCs w:val="20"/>
              </w:rPr>
              <w:fldChar w:fldCharType="separate"/>
            </w:r>
            <w:r>
              <w:rPr>
                <w:noProof/>
                <w:sz w:val="20"/>
                <w:szCs w:val="20"/>
              </w:rPr>
              <w:t>(Fairclough et al. 2013; Prole and Taylor 2013)</w:t>
            </w:r>
            <w:r w:rsidRPr="001074DB">
              <w:rPr>
                <w:sz w:val="20"/>
                <w:szCs w:val="20"/>
              </w:rPr>
              <w:fldChar w:fldCharType="end"/>
            </w:r>
          </w:p>
        </w:tc>
        <w:tc>
          <w:tcPr>
            <w:tcW w:w="3150" w:type="dxa"/>
            <w:vAlign w:val="center"/>
          </w:tcPr>
          <w:p w14:paraId="235B3445" w14:textId="77777777" w:rsidR="00827F91" w:rsidRPr="001074DB" w:rsidRDefault="00827F91" w:rsidP="001C1FB8">
            <w:pPr>
              <w:keepNext/>
              <w:keepLines/>
              <w:pageBreakBefore/>
              <w:jc w:val="center"/>
              <w:rPr>
                <w:sz w:val="20"/>
                <w:szCs w:val="20"/>
              </w:rPr>
            </w:pPr>
            <w:r w:rsidRPr="001074DB">
              <w:rPr>
                <w:sz w:val="20"/>
                <w:szCs w:val="20"/>
              </w:rPr>
              <w:t>accession number in proteome</w:t>
            </w:r>
            <w:r>
              <w:rPr>
                <w:sz w:val="20"/>
                <w:szCs w:val="20"/>
              </w:rPr>
              <w:t>:</w:t>
            </w:r>
            <w:r w:rsidRPr="001074DB">
              <w:rPr>
                <w:sz w:val="20"/>
                <w:szCs w:val="20"/>
              </w:rPr>
              <w:t xml:space="preserve"> TRINITY_DN9110_c0_g1_i</w:t>
            </w:r>
            <w:proofErr w:type="gramStart"/>
            <w:r w:rsidRPr="001074DB">
              <w:rPr>
                <w:sz w:val="20"/>
                <w:szCs w:val="20"/>
              </w:rPr>
              <w:t>1.p</w:t>
            </w:r>
            <w:proofErr w:type="gramEnd"/>
            <w:r w:rsidRPr="001074DB">
              <w:rPr>
                <w:sz w:val="20"/>
                <w:szCs w:val="20"/>
              </w:rPr>
              <w:t>1</w:t>
            </w:r>
          </w:p>
        </w:tc>
        <w:tc>
          <w:tcPr>
            <w:tcW w:w="2136" w:type="dxa"/>
            <w:vAlign w:val="center"/>
          </w:tcPr>
          <w:p w14:paraId="7CF10757" w14:textId="79D624C2"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{"citationID":"Xxh1nTcI","properties":{"formattedCitation":"(Fairclough et al. 2013; Prole and Taylor 2013)","plainCitation":"(Fairclough et al. 2013; Prole and Taylor 2013)","noteIndex":0},"citationItems":[{"id":129,"uris":["http://zotero.org/users/10320770/items/KD6JM3B3"],"itemData":{"id":129,"type":"article-journal","abstract":"BACKGROUND: Metazoan multicellularity is rooted in mechanisms of cell adhesion, signaling, and differentiation that first evolved in the progenitors of metazoans. To reconstruct the genome composition of metazoan ancestors, we sequenced the genome and transcriptome of the choanoflagellate Salpingoeca rosetta, a close relative of metazoans that forms rosette-shaped colonies of cells.\nRESULTS: A comparison of the 55 Mb S. rosetta genome with genomes from diverse opisthokonts suggests that the origin of metazoans was preceded by a period of dynamic gene gain and loss. The S. rosetta genome encodes homologs of cell adhesion, neuropeptide, and glycosphingolipid metabolism genes previously found only in metazoans and expands the repertoire of genes inferred to have been present in the progenitors of metazoans and choanoflagellates. Transcriptome analysis revealed that all four S. rosetta septins are upregulated in colonies relative to single cells, suggesting that these conserved cytokinesis proteins may regulate incomplete cytokinesis during colony development. Furthermore, genes shared exclusively by metazoans and choanoflagellates were disproportionately upregulated in colonies and the single cells from which they develop.\nCONCLUSIONS: The S. rosetta genome sequence refines the catalog of metazoan-specific genes while also extending the evolutionary history of certain gene families that are central to metazoan biology. Transcriptome data suggest that conserved cytokinesis genes, including septins, may contribute to S. rosetta colony formation and indicate that the initiation of colony development may preferentially draw upon genes shared with metazoans, while later stages of colony maturation are likely regulated by genes unique to S. rosetta.","container-title":"Genome Biology","DOI":"10.1186/gb-2013-14-2-r15","ISSN":"1474-760X","issue":"2","journalAbbreviation":"Genome Biol.","language":"eng","note":"PMID: 23419129\nPMCID: PMC4054682","page":"R15","source":"PubMed","title":"Premetazoan genome evolution and the regulation of cell differentiation in the choanoflagellate Salpingoeca rosetta","volume":"14","author":[{"family":"Fairclough","given":"Stephen R."},{"family":"Chen","given":"Zehua"},{"family":"Kramer","given":"Eric"},{"family":"Zeng","given":"Qiandong"},{"family":"Young","given":"Sarah"},{"family":"Robertson","given":"Hugh M."},{"family":"Begovic","given":"Emina"},{"family":"Richter","given":"Daniel J."},{"family":"Russ","given":"Carsten"},{"family":"Westbrook","given":"M. Jody"},{"family":"Manning","given":"Gerard"},{"family":"Lang","given":"B. Franz"},{"family":"Haas","given":"Brian"},{"family":"Nusbaum","given":"Chad"},{"family":"King","given":"Nicole"}],"issued":{"date-parts":[["2013",2,18]]}}},{"id":"K5g4I7TM/gNflKJQ1","uris":["http://zotero.org/groups/4638210/items/9JVM3XXZ"],"itemData":{"id":1898,"type":"article-journal","abstract":"Mechanosensitive channels play important roles in the physiology of many organisms, and their dysfunction can affect cell survival. This suggests that they might be therapeutic targets in pathogenic organisms. Pathogenic protozoa lead to diseases such as malaria, dysentery, leishmaniasis and trypanosomiasis that are responsible for millions of deaths each year worldwide. We analyzed the genomes of pathogenic protozoa and show the existence within them of genes encoding putative homologues of mechanosensitive channels. Entamoeba histolytica, Leishmania spp., Trypanosoma cruzi and Trichomonas vaginalis have genes encoding homologues of Piezo channels, while most pathogenic protozoa have genes encoding homologues of mechanosensitive small-conductance (MscS) and K+-dependent (MscK) channels. In contrast, all parasites examined lack genes encoding mechanosensitive large-conductance (MscL), mini-conductance (MscM) and degenerin/epithelial Na+ (DEG/ENaC) channels. Multiple sequence alignments of evolutionarily distant protozoan, amoeban, plant, insect and vertebrate Piezo channel subunits define an absolutely conserved motif that may be involved in channel conductance or gating. MscS channels are not present in humans, and the sequences of protozoan and human homologues of Piezo channels differ substantially. This suggests the possibility for specific targeting of mechanosensitive channels of pathogens by therapeutic drugs.","container-title":"PLoS ONE","DOI":"10.1371/journal.pone.0066068","ISSN":"1932-6203","issue":"6","journalAbbreviation":"PLoS One","note":"PMID: 23785469\nPMCID: PMC3681921","page":"e66068","source":"PubMed Central","title":"Identification and Analysis of Putative Homologues of Mechanosensitive Channels in Pathogenic Protozoa","volume":"8","author":[{"family":"Prole","given":"David L."},{"family":"Taylor","given":"Colin W."}],"issued":{"date-parts":[["2013",6,13]]}}}],"schema":"https://github.com/citation-style-language/schema/raw/master/csl-citation.json"} </w:instrText>
            </w:r>
            <w:r w:rsidRPr="001074DB">
              <w:rPr>
                <w:sz w:val="20"/>
                <w:szCs w:val="20"/>
              </w:rPr>
              <w:fldChar w:fldCharType="separate"/>
            </w:r>
            <w:r>
              <w:rPr>
                <w:noProof/>
                <w:sz w:val="20"/>
                <w:szCs w:val="20"/>
              </w:rPr>
              <w:t>(Fairclough et al. 2013; Prole and Taylor 2013)</w:t>
            </w:r>
            <w:r w:rsidRPr="001074DB">
              <w:rPr>
                <w:sz w:val="20"/>
                <w:szCs w:val="20"/>
              </w:rPr>
              <w:fldChar w:fldCharType="end"/>
            </w:r>
          </w:p>
        </w:tc>
      </w:tr>
      <w:tr w:rsidR="00827F91" w:rsidRPr="00445ABA" w14:paraId="7DD78E50" w14:textId="77777777" w:rsidTr="001C1FB8">
        <w:tc>
          <w:tcPr>
            <w:tcW w:w="1896" w:type="dxa"/>
            <w:vAlign w:val="center"/>
          </w:tcPr>
          <w:p w14:paraId="14DC60E6" w14:textId="77777777" w:rsidR="00827F91" w:rsidRDefault="00827F91" w:rsidP="001C1FB8">
            <w:pPr>
              <w:keepNext/>
              <w:keepLines/>
              <w:pageBreakBefore/>
              <w:jc w:val="center"/>
              <w:rPr>
                <w:sz w:val="20"/>
                <w:szCs w:val="20"/>
              </w:rPr>
            </w:pPr>
            <w:r w:rsidRPr="001074DB">
              <w:rPr>
                <w:sz w:val="20"/>
                <w:szCs w:val="20"/>
              </w:rPr>
              <w:t>DEG/ENaC</w:t>
            </w:r>
          </w:p>
        </w:tc>
        <w:tc>
          <w:tcPr>
            <w:tcW w:w="2594" w:type="dxa"/>
            <w:vAlign w:val="center"/>
          </w:tcPr>
          <w:p w14:paraId="657E0F4D" w14:textId="77777777" w:rsidR="00827F91" w:rsidRPr="005E5C29" w:rsidRDefault="00827F91" w:rsidP="001C1FB8">
            <w:pPr>
              <w:keepNext/>
              <w:keepLines/>
              <w:pageBreakBefore/>
              <w:jc w:val="center"/>
              <w:rPr>
                <w:i/>
                <w:iCs/>
                <w:sz w:val="20"/>
                <w:szCs w:val="20"/>
              </w:rPr>
            </w:pPr>
            <w:r w:rsidRPr="005E5C29">
              <w:rPr>
                <w:i/>
                <w:iCs/>
                <w:sz w:val="20"/>
                <w:szCs w:val="20"/>
              </w:rPr>
              <w:t>Absent from genome</w:t>
            </w:r>
          </w:p>
        </w:tc>
        <w:tc>
          <w:tcPr>
            <w:tcW w:w="3150" w:type="dxa"/>
            <w:vAlign w:val="center"/>
          </w:tcPr>
          <w:p w14:paraId="301DDC35" w14:textId="77777777" w:rsidR="00827F91" w:rsidRPr="001074DB" w:rsidRDefault="00827F91" w:rsidP="001C1FB8">
            <w:pPr>
              <w:keepNext/>
              <w:keepLines/>
              <w:pageBreakBefore/>
              <w:jc w:val="center"/>
              <w:rPr>
                <w:sz w:val="20"/>
                <w:szCs w:val="20"/>
              </w:rPr>
            </w:pPr>
            <w:r w:rsidRPr="001074DB">
              <w:rPr>
                <w:sz w:val="20"/>
                <w:szCs w:val="20"/>
              </w:rPr>
              <w:fldChar w:fldCharType="begin"/>
            </w:r>
            <w:r w:rsidRPr="001074DB">
              <w:rPr>
                <w:sz w:val="20"/>
                <w:szCs w:val="20"/>
              </w:rPr>
              <w:instrText xml:space="preserve"> ADDIN ZOTERO_ITEM CSL_CITATION {"citationID":"alIH4hsw","properties":{"formattedCitation":"(Brunet et al. 2019)","plainCitation":"(Brunet et al. 2019)","noteIndex":0},"citationItems":[{"id":1032,"uris":["http://zotero.org/users/10320770/items/FCIL4AB8"],"itemData":{"id":1032,"type":"article-journal","abstract":"Collective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Pr>
                <w:noProof/>
                <w:sz w:val="20"/>
                <w:szCs w:val="20"/>
              </w:rPr>
              <w:t>(Brunet et al. 2019)</w:t>
            </w:r>
            <w:r w:rsidRPr="001074DB">
              <w:rPr>
                <w:sz w:val="20"/>
                <w:szCs w:val="20"/>
              </w:rPr>
              <w:fldChar w:fldCharType="end"/>
            </w:r>
          </w:p>
        </w:tc>
        <w:tc>
          <w:tcPr>
            <w:tcW w:w="2136" w:type="dxa"/>
            <w:vAlign w:val="center"/>
          </w:tcPr>
          <w:p w14:paraId="0495B1ED" w14:textId="77777777" w:rsidR="00827F91" w:rsidRPr="001074DB" w:rsidRDefault="00827F91" w:rsidP="001C1FB8">
            <w:pPr>
              <w:keepNext/>
              <w:keepLines/>
              <w:pageBreakBefore/>
              <w:jc w:val="center"/>
              <w:rPr>
                <w:sz w:val="20"/>
                <w:szCs w:val="20"/>
              </w:rPr>
            </w:pPr>
            <w:r w:rsidRPr="005E5C29">
              <w:rPr>
                <w:i/>
                <w:iCs/>
                <w:sz w:val="20"/>
                <w:szCs w:val="20"/>
              </w:rPr>
              <w:t>Absent from genome</w:t>
            </w:r>
          </w:p>
        </w:tc>
      </w:tr>
      <w:tr w:rsidR="00827F91" w:rsidRPr="00445ABA" w14:paraId="56159EEF" w14:textId="77777777" w:rsidTr="001C1FB8">
        <w:tc>
          <w:tcPr>
            <w:tcW w:w="1896" w:type="dxa"/>
            <w:vAlign w:val="center"/>
          </w:tcPr>
          <w:p w14:paraId="517B7C43" w14:textId="77777777" w:rsidR="00827F91" w:rsidRPr="001074DB" w:rsidRDefault="00827F91" w:rsidP="001C1FB8">
            <w:pPr>
              <w:keepNext/>
              <w:keepLines/>
              <w:pageBreakBefore/>
              <w:jc w:val="center"/>
              <w:rPr>
                <w:sz w:val="20"/>
                <w:szCs w:val="20"/>
              </w:rPr>
            </w:pPr>
            <w:r>
              <w:rPr>
                <w:sz w:val="20"/>
                <w:szCs w:val="20"/>
              </w:rPr>
              <w:lastRenderedPageBreak/>
              <w:t>TMC</w:t>
            </w:r>
          </w:p>
        </w:tc>
        <w:tc>
          <w:tcPr>
            <w:tcW w:w="2594" w:type="dxa"/>
            <w:vAlign w:val="center"/>
          </w:tcPr>
          <w:p w14:paraId="095AF115"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{"citationID":"TTVQ6cVs","properties":{"formattedCitation":"(Erives and Fritzsch 2020)","plainCitation":"(Erives and Fritzsch 2020)","noteIndex":0},"citationItems":[{"id":1406,"uris":["http://zotero.org/users/10320770/items/P8G9J4GI"],"itemData":{"id":1406,"type":"article-journal","abstract":"The evolutionary diversification of animals is one of Earth’s greatest marvels, yet its earliest steps are shrouded in mystery. Animals, the monophyletic clade known as Metazoa, evolved wildly divergent multicellular life strategies featuring ciliated sensory epithelia. In many lineages epithelial sensoria became coupled to increasingly complex nervous systems. Currently, different phylogenetic analyses of single-copy genes support mutually-exclusive possibilities that either Porifera or Ctenophora is sister to all other animals. Resolving this dilemma would advance the ecological and evolutionary understanding of the first animals and the evolution of nervous systems. Here we describe a comparative phylogenetic approach based on gene duplications. We computationally identify and analyze gene families with early metazoan duplications using an approach that mitigates apparent gene loss resulting from the miscalling of paralogs. In the transmembrane channel-like (TMC) family of mechano-transducing channels, we find ancient duplications that define separate clades for Eumetazoa (Placozoa + Cnidaria + Bilateria) vs. Ctenophora, and one duplication that is shared only by Eumetazoa and Porifera. In the Max-like protein X (MLX and MLXIP) family of bHLH-ZIP regulators of metabolism, we find that all major lineages from Eumetazoa and Porifera (sponges) share a duplicated gene pair that is sister to the single-copy gene maintained in Ctenophora. These results suggest a new avenue for deducing deep phylogeny by choosing rather than avoiding ancient gene paralogies.","container-title":"G3 Genes|Genomes|Genetics","DOI":"10.1534/g3.119.400951","ISSN":"2160-1836","issue":"2","journalAbbreviation":"G3 Genes|Genomes|Genetics","page":"811-826","source":"Silverchair","title":"A Screen for Gene Paralogies Delineating Evolutionary Branching Order of Early Metazoa","volume":"10","author":[{"family":"Erives","given":"Albert"},{"family":"Fritzsch","given":"Bernd"}],"issued":{"date-parts":[["2020",2,1]]}}}],"schema":"https://github.com/citation-style-language/schema/raw/master/csl-citation.json"} </w:instrText>
            </w:r>
            <w:r w:rsidRPr="001074DB">
              <w:rPr>
                <w:sz w:val="20"/>
                <w:szCs w:val="20"/>
              </w:rPr>
              <w:fldChar w:fldCharType="separate"/>
            </w:r>
            <w:r>
              <w:rPr>
                <w:noProof/>
                <w:sz w:val="20"/>
                <w:szCs w:val="20"/>
              </w:rPr>
              <w:t>(Erives and Fritzsch 2020)</w:t>
            </w:r>
            <w:r w:rsidRPr="001074DB">
              <w:rPr>
                <w:sz w:val="20"/>
                <w:szCs w:val="20"/>
              </w:rPr>
              <w:fldChar w:fldCharType="end"/>
            </w:r>
          </w:p>
        </w:tc>
        <w:tc>
          <w:tcPr>
            <w:tcW w:w="3150" w:type="dxa"/>
            <w:vAlign w:val="center"/>
          </w:tcPr>
          <w:p w14:paraId="00DF64D6" w14:textId="77777777" w:rsidR="00827F91" w:rsidRPr="001074DB" w:rsidRDefault="00827F91" w:rsidP="001C1FB8">
            <w:pPr>
              <w:keepNext/>
              <w:keepLines/>
              <w:pageBreakBefore/>
              <w:jc w:val="center"/>
              <w:rPr>
                <w:sz w:val="20"/>
                <w:szCs w:val="20"/>
              </w:rPr>
            </w:pPr>
            <w:r w:rsidRPr="001074DB">
              <w:rPr>
                <w:iCs/>
                <w:sz w:val="20"/>
                <w:szCs w:val="20"/>
              </w:rPr>
              <w:t>accession numbers in proteome</w:t>
            </w:r>
            <w:r>
              <w:rPr>
                <w:iCs/>
                <w:sz w:val="20"/>
                <w:szCs w:val="20"/>
              </w:rPr>
              <w:t xml:space="preserve">: </w:t>
            </w:r>
            <w:r w:rsidRPr="001074DB">
              <w:rPr>
                <w:iCs/>
                <w:sz w:val="20"/>
                <w:szCs w:val="20"/>
              </w:rPr>
              <w:t>TRINITY_DN10991_c0_g2_i</w:t>
            </w:r>
            <w:proofErr w:type="gramStart"/>
            <w:r w:rsidRPr="001074DB">
              <w:rPr>
                <w:iCs/>
                <w:sz w:val="20"/>
                <w:szCs w:val="20"/>
              </w:rPr>
              <w:t>1.p</w:t>
            </w:r>
            <w:proofErr w:type="gramEnd"/>
            <w:r w:rsidRPr="001074DB">
              <w:rPr>
                <w:iCs/>
                <w:sz w:val="20"/>
                <w:szCs w:val="20"/>
              </w:rPr>
              <w:t>1, TRINITY_DN6580_c0_g1_i2.p1</w:t>
            </w:r>
          </w:p>
        </w:tc>
        <w:tc>
          <w:tcPr>
            <w:tcW w:w="2136" w:type="dxa"/>
            <w:vAlign w:val="center"/>
          </w:tcPr>
          <w:p w14:paraId="152C0DAF"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{"citationID":"MonoyG17","properties":{"formattedCitation":"(Erives and Fritzsch 2020)","plainCitation":"(Erives and Fritzsch 2020)","noteIndex":0},"citationItems":[{"id":1406,"uris":["http://zotero.org/users/10320770/items/P8G9J4GI"],"itemData":{"id":1406,"type":"article-journal","abstract":"The evolutionary diversification of animals is one of Earth’s greatest marvels, yet its earliest steps are shrouded in mystery. Animals, the monophyletic clade known as Metazoa, evolved wildly divergent multicellular life strategies featuring ciliated sensory epithelia. In many lineages epithelial sensoria became coupled to increasingly complex nervous systems. Currently, different phylogenetic analyses of single-copy genes support mutually-exclusive possibilities that either Porifera or Ctenophora is sister to all other animals. Resolving this dilemma would advance the ecological and evolutionary understanding of the first animals and the evolution of nervous systems. Here we describe a comparative phylogenetic approach based on gene duplications. We computationally identify and analyze gene families with early metazoan duplications using an approach that mitigates apparent gene loss resulting from the miscalling of paralogs. In the transmembrane channel-like (TMC) family of mechano-transducing channels, we find ancient duplications that define separate clades for Eumetazoa (Placozoa + Cnidaria + Bilateria) vs. Ctenophora, and one duplication that is shared only by Eumetazoa and Porifera. In the Max-like protein X (MLX and MLXIP) family of bHLH-ZIP regulators of metabolism, we find that all major lineages from Eumetazoa and Porifera (sponges) share a duplicated gene pair that is sister to the single-copy gene maintained in Ctenophora. These results suggest a new avenue for deducing deep phylogeny by choosing rather than avoiding ancient gene paralogies.","container-title":"G3 Genes|Genomes|Genetics","DOI":"10.1534/g3.119.400951","ISSN":"2160-1836","issue":"2","journalAbbreviation":"G3 Genes|Genomes|Genetics","page":"811-826","source":"Silverchair","title":"A Screen for Gene Paralogies Delineating Evolutionary Branching Order of Early Metazoa","volume":"10","author":[{"family":"Erives","given":"Albert"},{"family":"Fritzsch","given":"Bernd"}],"issued":{"date-parts":[["2020",2,1]]}}}],"schema":"https://github.com/citation-style-language/schema/raw/master/csl-citation.json"} </w:instrText>
            </w:r>
            <w:r w:rsidRPr="001074DB">
              <w:rPr>
                <w:sz w:val="20"/>
                <w:szCs w:val="20"/>
              </w:rPr>
              <w:fldChar w:fldCharType="separate"/>
            </w:r>
            <w:r>
              <w:rPr>
                <w:noProof/>
                <w:sz w:val="20"/>
                <w:szCs w:val="20"/>
              </w:rPr>
              <w:t>(Erives and Fritzsch 2020)</w:t>
            </w:r>
            <w:r w:rsidRPr="001074DB">
              <w:rPr>
                <w:sz w:val="20"/>
                <w:szCs w:val="20"/>
              </w:rPr>
              <w:fldChar w:fldCharType="end"/>
            </w:r>
          </w:p>
        </w:tc>
      </w:tr>
      <w:tr w:rsidR="00827F91" w:rsidRPr="00445ABA" w14:paraId="7C52B22B" w14:textId="77777777" w:rsidTr="001C1FB8">
        <w:tc>
          <w:tcPr>
            <w:tcW w:w="1896" w:type="dxa"/>
            <w:vAlign w:val="center"/>
          </w:tcPr>
          <w:p w14:paraId="167F0A2F" w14:textId="77777777" w:rsidR="00827F91" w:rsidRPr="001074DB" w:rsidRDefault="00827F91" w:rsidP="001C1FB8">
            <w:pPr>
              <w:keepNext/>
              <w:keepLines/>
              <w:pageBreakBefore/>
              <w:jc w:val="center"/>
              <w:rPr>
                <w:sz w:val="20"/>
                <w:szCs w:val="20"/>
              </w:rPr>
            </w:pPr>
            <w:r>
              <w:rPr>
                <w:sz w:val="20"/>
                <w:szCs w:val="20"/>
              </w:rPr>
              <w:t>GPCRs</w:t>
            </w:r>
          </w:p>
        </w:tc>
        <w:tc>
          <w:tcPr>
            <w:tcW w:w="2594" w:type="dxa"/>
            <w:vAlign w:val="center"/>
          </w:tcPr>
          <w:p w14:paraId="22B676A8"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{"citationID":"TuiUEF21","properties":{"formattedCitation":"(de Mendoza et al. 2014)","plainCitation":"(de Mendoza et al. 2014)","noteIndex":0},"citationItems":[{"id":1409,"uris":["http://zotero.org/users/10320770/items/2D7FM24Y"],"itemData":{"id":1409,"type":"article-journal","abstract":"The G-protein-coupled receptor (GPCR) signaling system is one of the main signaling pathways in eukaryotes. Here, we analyze the evolutionary history of all its components, from receptors to regulators, to gain a broad picture of its system-level evolution. Using eukaryotic genomes covering most lineages sampled to date, we find that the various components of the GPCR signaling pathway evolved independently, highlighting the modular nature of this system. Our data show that some GPCR families, G proteins, and regulators of G proteins diversified through lineage-specific diversifications and recurrent domain shuffling. Moreover, most of the gene families involved in the GPCR signaling system were already present in the last common ancestor of eukaryotes. Furthermore, we show that the unicellular ancestor of Metazoa already had most of the cytoplasmic components of the GPCR signaling system, including, remarkably, all the G protein alpha subunits, which are typical of metazoans. Thus, we show how the transition to multicellularity involved conservation of the signaling transduction machinery, as well as a burst of receptor diversification to cope with the new multicellular necessities.","container-title":"Genome Biology and Evolution","DOI":"10.1093/gbe/evu038","ISSN":"1759-6653","issue":"3","journalAbbreviation":"Genome Biology and Evolution","page":"606-619","source":"Silverchair","title":"The Evolution of the GPCR Signaling System in Eukaryotes: Modularity, Conservation, and the Transition to Metazoan Multicellularity","title-short":"The Evolution of the GPCR Signaling System in Eukaryotes","volume":"6","author":[{"family":"Mendoza","given":"Alex","non-dropping-particle":"de"},{"family":"Sebé-Pedrós","given":"Arnau"},{"family":"Ruiz-Trillo","given":"Iñaki"}],"issued":{"date-parts":[["2014",3,1]]}}}],"schema":"https://github.com/citation-style-language/schema/raw/master/csl-citation.json"} </w:instrText>
            </w:r>
            <w:r w:rsidRPr="001074DB">
              <w:rPr>
                <w:sz w:val="20"/>
                <w:szCs w:val="20"/>
              </w:rPr>
              <w:fldChar w:fldCharType="separate"/>
            </w:r>
            <w:r>
              <w:rPr>
                <w:noProof/>
                <w:sz w:val="20"/>
                <w:szCs w:val="20"/>
              </w:rPr>
              <w:t>(de Mendoza et al. 2014)</w:t>
            </w:r>
            <w:r w:rsidRPr="001074DB">
              <w:rPr>
                <w:sz w:val="20"/>
                <w:szCs w:val="20"/>
              </w:rPr>
              <w:fldChar w:fldCharType="end"/>
            </w:r>
          </w:p>
        </w:tc>
        <w:tc>
          <w:tcPr>
            <w:tcW w:w="3150" w:type="dxa"/>
            <w:vAlign w:val="center"/>
          </w:tcPr>
          <w:p w14:paraId="4CF2CCBE" w14:textId="77777777" w:rsidR="00827F91" w:rsidRPr="001074DB" w:rsidRDefault="00827F91" w:rsidP="001C1FB8">
            <w:pPr>
              <w:keepNext/>
              <w:keepLines/>
              <w:pageBreakBefore/>
              <w:jc w:val="center"/>
              <w:rPr>
                <w:sz w:val="20"/>
                <w:szCs w:val="20"/>
              </w:rPr>
            </w:pPr>
            <w:r w:rsidRPr="001074DB">
              <w:rPr>
                <w:sz w:val="20"/>
                <w:szCs w:val="20"/>
              </w:rPr>
              <w:t>accession numbers in proteome</w:t>
            </w:r>
            <w:r>
              <w:rPr>
                <w:sz w:val="20"/>
                <w:szCs w:val="20"/>
              </w:rPr>
              <w:t xml:space="preserve">: </w:t>
            </w:r>
            <w:r w:rsidRPr="001074DB">
              <w:rPr>
                <w:sz w:val="20"/>
                <w:szCs w:val="20"/>
              </w:rPr>
              <w:t>TRINITY_DN11241_c1_g2_i</w:t>
            </w:r>
            <w:proofErr w:type="gramStart"/>
            <w:r w:rsidRPr="001074DB">
              <w:rPr>
                <w:sz w:val="20"/>
                <w:szCs w:val="20"/>
              </w:rPr>
              <w:t>2.p</w:t>
            </w:r>
            <w:proofErr w:type="gramEnd"/>
            <w:r w:rsidRPr="001074DB">
              <w:rPr>
                <w:sz w:val="20"/>
                <w:szCs w:val="20"/>
              </w:rPr>
              <w:t>1, TRINITY_DN11246_c0_g1_i3.p1, TRINITY_DN18375_c0_g1_i1.p1, TRINITY_DN11989_c0_g1_i23.p1, TRINITY_DN11695_c0_g1_i3.p1, TRINITY_DN10894_c0_g1_i1.p1</w:t>
            </w:r>
          </w:p>
        </w:tc>
        <w:tc>
          <w:tcPr>
            <w:tcW w:w="2136" w:type="dxa"/>
            <w:vAlign w:val="center"/>
          </w:tcPr>
          <w:p w14:paraId="19A57A54"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{"citationID":"VfxclPth","properties":{"formattedCitation":"(de Mendoza et al. 2014)","plainCitation":"(de Mendoza et al. 2014)","noteIndex":0},"citationItems":[{"id":1409,"uris":["http://zotero.org/users/10320770/items/2D7FM24Y"],"itemData":{"id":1409,"type":"article-journal","abstract":"The G-protein-coupled receptor (GPCR) signaling system is one of the main signaling pathways in eukaryotes. Here, we analyze the evolutionary history of all its components, from receptors to regulators, to gain a broad picture of its system-level evolution. Using eukaryotic genomes covering most lineages sampled to date, we find that the various components of the GPCR signaling pathway evolved independently, highlighting the modular nature of this system. Our data show that some GPCR families, G proteins, and regulators of G proteins diversified through lineage-specific diversifications and recurrent domain shuffling. Moreover, most of the gene families involved in the GPCR signaling system were already present in the last common ancestor of eukaryotes. Furthermore, we show that the unicellular ancestor of Metazoa already had most of the cytoplasmic components of the GPCR signaling system, including, remarkably, all the G protein alpha subunits, which are typical of metazoans. Thus, we show how the transition to multicellularity involved conservation of the signaling transduction machinery, as well as a burst of receptor diversification to cope with the new multicellular necessities.","container-title":"Genome Biology and Evolution","DOI":"10.1093/gbe/evu038","ISSN":"1759-6653","issue":"3","journalAbbreviation":"Genome Biology and Evolution","page":"606-619","source":"Silverchair","title":"The Evolution of the GPCR Signaling System in Eukaryotes: Modularity, Conservation, and the Transition to Metazoan Multicellularity","title-short":"The Evolution of the GPCR Signaling System in Eukaryotes","volume":"6","author":[{"family":"Mendoza","given":"Alex","non-dropping-particle":"de"},{"family":"Sebé-Pedrós","given":"Arnau"},{"family":"Ruiz-Trillo","given":"Iñaki"}],"issued":{"date-parts":[["2014",3,1]]}}}],"schema":"https://github.com/citation-style-language/schema/raw/master/csl-citation.json"} </w:instrText>
            </w:r>
            <w:r w:rsidRPr="001074DB">
              <w:rPr>
                <w:sz w:val="20"/>
                <w:szCs w:val="20"/>
              </w:rPr>
              <w:fldChar w:fldCharType="separate"/>
            </w:r>
            <w:r>
              <w:rPr>
                <w:noProof/>
                <w:sz w:val="20"/>
                <w:szCs w:val="20"/>
              </w:rPr>
              <w:t>(de Mendoza et al. 2014)</w:t>
            </w:r>
            <w:r w:rsidRPr="001074DB">
              <w:rPr>
                <w:sz w:val="20"/>
                <w:szCs w:val="20"/>
              </w:rPr>
              <w:fldChar w:fldCharType="end"/>
            </w:r>
          </w:p>
        </w:tc>
      </w:tr>
      <w:tr w:rsidR="00827F91" w:rsidRPr="00445ABA" w14:paraId="61DEE3DD" w14:textId="77777777" w:rsidTr="001C1FB8">
        <w:tc>
          <w:tcPr>
            <w:tcW w:w="1896" w:type="dxa"/>
            <w:vAlign w:val="center"/>
          </w:tcPr>
          <w:p w14:paraId="0B8A0AAB" w14:textId="77777777" w:rsidR="00827F91" w:rsidRDefault="00827F91" w:rsidP="001C1FB8">
            <w:pPr>
              <w:keepNext/>
              <w:keepLines/>
              <w:pageBreakBefore/>
              <w:jc w:val="center"/>
              <w:rPr>
                <w:sz w:val="20"/>
                <w:szCs w:val="20"/>
              </w:rPr>
            </w:pPr>
            <w:r w:rsidRPr="001074DB">
              <w:rPr>
                <w:sz w:val="20"/>
                <w:szCs w:val="20"/>
              </w:rPr>
              <w:t>Heterotrimeric G proteins</w:t>
            </w:r>
          </w:p>
        </w:tc>
        <w:tc>
          <w:tcPr>
            <w:tcW w:w="2594" w:type="dxa"/>
            <w:vAlign w:val="center"/>
          </w:tcPr>
          <w:p w14:paraId="49C7FD17"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Pr>
                <w:sz w:val="20"/>
                <w:szCs w:val="20"/>
              </w:rPr>
              <w:instrText xml:space="preserve"> ADDIN ZOTERO_ITEM CSL_CITATION {"citationID":"LVbsIJsW","properties":{"formattedCitation":"(de Mendoza et al. 2014)","plainCitation":"(de Mendoza et al. 2014)","noteIndex":0},"citationItems":[{"id":1409,"uris":["http://zotero.org/users/10320770/items/2D7FM24Y"],"itemData":{"id":1409,"type":"article-journal","abstract":"The G-protein-coupled receptor (GPCR) signaling system is one of the main signaling pathways in eukaryotes. Here, we analyze the evolutionary history of all its components, from receptors to regulators, to gain a broad picture of its system-level evolution. Using eukaryotic genomes covering most lineages sampled to date, we find that the various components of the GPCR signaling pathway evolved independently, highlighting the modular nature of this system. Our data show that some GPCR families, G proteins, and regulators of G proteins diversified through lineage-specific diversifications and recurrent domain shuffling. Moreover, most of the gene families involved in the GPCR signaling system were already present in the last common ancestor of eukaryotes. Furthermore, we show that the unicellular ancestor of Metazoa already had most of the cytoplasmic components of the GPCR signaling system, including, remarkably, all the G protein alpha subunits, which are typical of metazoans. Thus, we show how the transition to multicellularity involved conservation of the signaling transduction machinery, as well as a burst of receptor diversification to cope with the new multicellular necessities.","container-title":"Genome Biology and Evolution","DOI":"10.1093/gbe/evu038","ISSN":"1759-6653","issue":"3","journalAbbreviation":"Genome Biology and Evolution","page":"606-619","source":"Silverchair","title":"The Evolution of the GPCR Signaling System in Eukaryotes: Modularity, Conservation, and the Transition to Metazoan Multicellularity","title-short":"The Evolution of the GPCR Signaling System in Eukaryotes","volume":"6","author":[{"family":"Mendoza","given":"Alex","non-dropping-particle":"de"},{"family":"Sebé-Pedrós","given":"Arnau"},{"family":"Ruiz-Trillo","given":"Iñaki"}],"issued":{"date-parts":[["2014",3,1]]}}}],"schema":"https://github.com/citation-style-language/schema/raw/master/csl-citation.json"} </w:instrText>
            </w:r>
            <w:r w:rsidRPr="001074DB">
              <w:rPr>
                <w:sz w:val="20"/>
                <w:szCs w:val="20"/>
              </w:rPr>
              <w:fldChar w:fldCharType="separate"/>
            </w:r>
            <w:r>
              <w:rPr>
                <w:noProof/>
                <w:sz w:val="20"/>
                <w:szCs w:val="20"/>
              </w:rPr>
              <w:t>(de Mendoza et al. 2014)</w:t>
            </w:r>
            <w:r w:rsidRPr="001074DB">
              <w:rPr>
                <w:sz w:val="20"/>
                <w:szCs w:val="20"/>
              </w:rPr>
              <w:fldChar w:fldCharType="end"/>
            </w:r>
          </w:p>
        </w:tc>
        <w:tc>
          <w:tcPr>
            <w:tcW w:w="3150" w:type="dxa"/>
            <w:vAlign w:val="center"/>
          </w:tcPr>
          <w:p w14:paraId="18453353" w14:textId="77777777" w:rsidR="00827F91" w:rsidRPr="001074DB" w:rsidRDefault="00827F91" w:rsidP="001C1FB8">
            <w:pPr>
              <w:keepNext/>
              <w:keepLines/>
              <w:pageBreakBefore/>
              <w:jc w:val="center"/>
              <w:rPr>
                <w:sz w:val="20"/>
                <w:szCs w:val="20"/>
              </w:rPr>
            </w:pPr>
            <w:r w:rsidRPr="001074DB">
              <w:rPr>
                <w:sz w:val="20"/>
                <w:szCs w:val="20"/>
              </w:rPr>
              <w:t>accession number in proteome</w:t>
            </w:r>
            <w:r>
              <w:rPr>
                <w:sz w:val="20"/>
                <w:szCs w:val="20"/>
              </w:rPr>
              <w:t xml:space="preserve">: </w:t>
            </w:r>
            <w:r w:rsidRPr="001074DB">
              <w:rPr>
                <w:sz w:val="20"/>
                <w:szCs w:val="20"/>
              </w:rPr>
              <w:t>TRINITY_DN7384_c0_g1_i</w:t>
            </w:r>
            <w:proofErr w:type="gramStart"/>
            <w:r w:rsidRPr="001074DB">
              <w:rPr>
                <w:sz w:val="20"/>
                <w:szCs w:val="20"/>
              </w:rPr>
              <w:t>1.p</w:t>
            </w:r>
            <w:proofErr w:type="gramEnd"/>
            <w:r w:rsidRPr="001074DB">
              <w:rPr>
                <w:sz w:val="20"/>
                <w:szCs w:val="20"/>
              </w:rPr>
              <w:t>1, TRINITY_DN7759_c0_g1_i1.p1, TRINITY_DN9679_c0_g2_i7.p1, TRINITY_DN12400_c0_g1_i3.p</w:t>
            </w:r>
            <w:r>
              <w:rPr>
                <w:sz w:val="20"/>
                <w:szCs w:val="20"/>
              </w:rPr>
              <w:t>1</w:t>
            </w:r>
          </w:p>
        </w:tc>
        <w:tc>
          <w:tcPr>
            <w:tcW w:w="2136" w:type="dxa"/>
            <w:vAlign w:val="center"/>
          </w:tcPr>
          <w:p w14:paraId="31CEB412"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{"citationID":"iKNlKmob","properties":{"formattedCitation":"(de Mendoza et al. 2014)","plainCitation":"(de Mendoza et al. 2014)","noteIndex":0},"citationItems":[{"id":1409,"uris":["http://zotero.org/users/10320770/items/2D7FM24Y"],"itemData":{"id":1409,"type":"article-journal","abstract":"The G-protein-coupled receptor (GPCR) signaling system is one of the main signaling pathways in eukaryotes. Here, we analyze the evolutionary history of all its components, from receptors to regulators, to gain a broad picture of its system-level evolution. Using eukaryotic genomes covering most lineages sampled to date, we find that the various components of the GPCR signaling pathway evolved independently, highlighting the modular nature of this system. Our data show that some GPCR families, G proteins, and regulators of G proteins diversified through lineage-specific diversifications and recurrent domain shuffling. Moreover, most of the gene families involved in the GPCR signaling system were already present in the last common ancestor of eukaryotes. Furthermore, we show that the unicellular ancestor of Metazoa already had most of the cytoplasmic components of the GPCR signaling system, including, remarkably, all the G protein alpha subunits, which are typical of metazoans. Thus, we show how the transition to multicellularity involved conservation of the signaling transduction machinery, as well as a burst of receptor diversification to cope with the new multicellular necessities.","container-title":"Genome Biology and Evolution","DOI":"10.1093/gbe/evu038","ISSN":"1759-6653","issue":"3","journalAbbreviation":"Genome Biology and Evolution","page":"606-619","source":"Silverchair","title":"The Evolution of the GPCR Signaling System in Eukaryotes: Modularity, Conservation, and the Transition to Metazoan Multicellularity","title-short":"The Evolution of the GPCR Signaling System in Eukaryotes","volume":"6","author":[{"family":"Mendoza","given":"Alex","non-dropping-particle":"de"},{"family":"Sebé-Pedrós","given":"Arnau"},{"family":"Ruiz-Trillo","given":"Iñaki"}],"issued":{"date-parts":[["2014",3,1]]}}}],"schema":"https://github.com/citation-style-language/schema/raw/master/csl-citation.json"} </w:instrText>
            </w:r>
            <w:r w:rsidRPr="001074DB">
              <w:rPr>
                <w:sz w:val="20"/>
                <w:szCs w:val="20"/>
              </w:rPr>
              <w:fldChar w:fldCharType="separate"/>
            </w:r>
            <w:r>
              <w:rPr>
                <w:noProof/>
                <w:sz w:val="20"/>
                <w:szCs w:val="20"/>
              </w:rPr>
              <w:t>(de Mendoza et al. 2014)</w:t>
            </w:r>
            <w:r w:rsidRPr="001074DB">
              <w:rPr>
                <w:sz w:val="20"/>
                <w:szCs w:val="20"/>
              </w:rPr>
              <w:fldChar w:fldCharType="end"/>
            </w:r>
          </w:p>
        </w:tc>
      </w:tr>
      <w:tr w:rsidR="00827F91" w:rsidRPr="00445ABA" w14:paraId="7980156D" w14:textId="77777777" w:rsidTr="001C1FB8">
        <w:tc>
          <w:tcPr>
            <w:tcW w:w="1896" w:type="dxa"/>
            <w:vAlign w:val="center"/>
          </w:tcPr>
          <w:p w14:paraId="3ED88082" w14:textId="77777777" w:rsidR="00827F91" w:rsidRDefault="00827F91" w:rsidP="001C1FB8">
            <w:pPr>
              <w:keepNext/>
              <w:keepLines/>
              <w:pageBreakBefore/>
              <w:jc w:val="center"/>
              <w:rPr>
                <w:sz w:val="20"/>
                <w:szCs w:val="20"/>
              </w:rPr>
            </w:pPr>
            <w:proofErr w:type="spellStart"/>
            <w:r w:rsidRPr="001074DB">
              <w:rPr>
                <w:sz w:val="20"/>
                <w:szCs w:val="20"/>
              </w:rPr>
              <w:t>Trp</w:t>
            </w:r>
            <w:proofErr w:type="spellEnd"/>
            <w:r w:rsidRPr="001074DB">
              <w:rPr>
                <w:sz w:val="20"/>
                <w:szCs w:val="20"/>
              </w:rPr>
              <w:t xml:space="preserve"> channels</w:t>
            </w:r>
          </w:p>
        </w:tc>
        <w:tc>
          <w:tcPr>
            <w:tcW w:w="2594" w:type="dxa"/>
            <w:vAlign w:val="center"/>
          </w:tcPr>
          <w:p w14:paraId="12C6D24C"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{"citationID":"O4OYL2lN","properties":{"formattedCitation":"(Cai 2008; Peng et al. 2015; Himmel and Cox 2020)","plainCitation":"(Cai 2008; Peng et al. 2015; Himmel and Cox 2020)","noteIndex":0},"citationItems":[{"id":1403,"uris":["http://zotero.org/users/10320770/items/BQ4MJG88"],"itemData":{"id":1403,"type":"article-journal","abstract":"Ca2+ signaling pathways control many physiological processes in almost all types of animal cells such as fertilization, muscle contraction, hormone release, and learning and memory. Each animal cell type expresses a unique group of molecules from the Ca2+ signaling ‘toolkit’ to control spatiotemporal patterns of Ca2+ signaling. It is generally believed that the complex Ca2+ signaling ‘toolkit’ has arisen from the ancestral multicellular organisms to fit unique physiological roles of specialized cell types. Here, we demonstrate for the first time the presence of an extensive Ca2+ signaling ‘toolkit’ in the unicellular choanoflagellate Monosiga brevicollis. Choanoflagellates possess homologues of various types of animal plasma membrane Ca2+ channels including the store-operated channel, ligand-operated channels, voltage-operated channels, second messenger-operated channels, and 5 out of 6 animal transient receptor potential channel families. Choanoflagellates also contain homologues of inositol 1,4,5-trisphosphate receptors. Furthermore, choanoflagellates master a complete set of Ca2+ removal systems including plasma membrane and sarco/endoplasmic reticulum Ca2+ ATPases and homologues of 3 animal cation/Ca2+ exchanger families. Therefore, a complex Ca2+ signaling ‘toolkit’ might have evolved before the emergence of multicellular animals.","container-title":"Molecular Biology and Evolution","DOI":"10.1093/molbev/msn077","ISSN":"0737-4038","issue":"7","journalAbbreviation":"Molecular Biology and Evolution","page":"1357-1361","source":"Silverchair","title":"Unicellular Ca2+ Signaling ‘Toolkit’ at the Origin of Metazoa","volume":"25","author":[{"family":"Cai","given":"Xinjiang"}],"issued":{"date-parts":[["2008",7,1]]}}},{"id":1401,"uris":["http://zotero.org/users/10320770/items/GCLE9TWR"],"itemData":{"id":1401,"type":"article-journal","abstract":"The transient receptor potential superfamily of ion channels (TRP channels) is widely recognized for the roles its members play in sensory nervous systems. However, the incredible diversity within the TRP superfamily, and the wide range of sensory capacities found therein, has also allowed TRP channels to function beyond sensing an organism's external environment, and TRP channels have thus become broadly critical to (at least) animal life. TRP channels were originally discovered in Drosophila and have since been broadly studied in animals; however, thanks to a boom in genomic and transcriptomic data, we now know that TRP channels are present in the genomes of a variety of creatures, including green algae, fungi, choanoflagellates and a number of other eukaryotes. As a result, the organization of the TRP superfamily has changed radically from its original description. Moreover, modern comprehensive phylogenetic analyses have brought to light the vertebrate-centricity of much of the TRP literature; much of the nomenclature has been grounded in vertebrate TRP subfamilies, resulting in a glossing over of TRP channels in other taxa. Here, we provide a comprehensive review of the function, structure and evolutionary history of TRP channels, and put forth a more complete set of non-vertebrate-centric TRP family, subfamily and other subgroup nomenclature.","container-title":"Proceedings of the Royal Society B: Biological Sciences","DOI":"10.1098/rspb.2020.1309","issue":"1933","note":"publisher: Royal Society","page":"20201309","source":"royalsocietypublishing.org (Atypon)","title":"Transient receptor potential channels: current perspectives on evolution, structure, function and nomenclature","title-short":"Transient receptor potential channels","volume":"287","author":[{"family":"Himmel","given":"Nathaniel J."},{"family":"Cox","given":"Daniel N."}],"issued":{"date-parts":[["2020",8,26]]}}},{"id":1265,"uris":["http://zotero.org/groups/4811481/items/7SLV9BMI"],"itemData":{"id":1265,"type":"article-journal","abstract":"The functions of TRP channels have primarily been characterized in model organisms within a limited evolutionary context. We thus characterize the TRP channels in choanoflagellate, sponge, Cnidaria, Lophotrochozoa, and arthropods to understand how they emerged during early evolution of animals and have changed during diversification of various species. As previously reported, five metazoan TRP subfamily members (TRPA, TRPC, TRPM, TRPML, and TRPV) were identified in choanoflagellates, demonstrating that they evolved before the emergence of multicellular animals. TRPN was identified in Hydra magnipapillata, and therefore emerged in the last common ancestor of Cnidaria–Bilateria. A novel subfamily member (TRPVL) was identified in Cnidaria and Capitella teleta, indicating that it was present in the last common ancestor of Cnidaria–Bilateria but has since been lost in most bilaterians. The characterization of arthropod TRP channels revealed that Daphnia pulex and insects have specifically expanded the TRPA subfamily, which diverged from the ancient TRPA1 channel gene. The diversity of TRPA channels except TRPA1 was detectable even within a single insect family, namely the ant lineage. The present study demonstrates the evolutionary history of TRP channel genes, which may have diverged in conjunction with the specific habitats and life histories of individual species.","container-title":"Molecular Phylogenetics and Evolution","DOI":"10.1016/j.ympev.2014.06.016","ISSN":"1055-7903","journalAbbreviation":"Molecular Phylogenetics and Evolution","language":"en","page":"145-157","source":"ScienceDirect","title":"Evolution of TRP channels inferred by their classification in diverse animal species","volume":"84","author":[{"family":"Peng","given":"Guangda"},{"family":"Shi","given":"Xiao"},{"family":"Kadowaki","given":"Tatsuhiko"}],"issued":{"date-parts":[["2015",3,1]]}}}],"schema":"https://github.com/citation-style-language/schema/raw/master/csl-citation.json"} </w:instrText>
            </w:r>
            <w:r w:rsidRPr="001074DB">
              <w:rPr>
                <w:sz w:val="20"/>
                <w:szCs w:val="20"/>
              </w:rPr>
              <w:fldChar w:fldCharType="separate"/>
            </w:r>
            <w:r>
              <w:rPr>
                <w:noProof/>
                <w:sz w:val="20"/>
                <w:szCs w:val="20"/>
              </w:rPr>
              <w:t>(Cai 2008; Peng et al. 2015; Himmel and Cox 2020)</w:t>
            </w:r>
            <w:r w:rsidRPr="001074DB">
              <w:rPr>
                <w:sz w:val="20"/>
                <w:szCs w:val="20"/>
              </w:rPr>
              <w:fldChar w:fldCharType="end"/>
            </w:r>
          </w:p>
        </w:tc>
        <w:tc>
          <w:tcPr>
            <w:tcW w:w="3150" w:type="dxa"/>
            <w:vAlign w:val="center"/>
          </w:tcPr>
          <w:p w14:paraId="707E63A1" w14:textId="77777777" w:rsidR="00827F91" w:rsidRPr="001074DB" w:rsidRDefault="00827F91" w:rsidP="001C1FB8">
            <w:pPr>
              <w:keepNext/>
              <w:keepLines/>
              <w:pageBreakBefore/>
              <w:jc w:val="center"/>
              <w:rPr>
                <w:sz w:val="20"/>
                <w:szCs w:val="20"/>
              </w:rPr>
            </w:pPr>
            <w:r w:rsidRPr="001074DB">
              <w:rPr>
                <w:iCs/>
                <w:sz w:val="20"/>
                <w:szCs w:val="20"/>
              </w:rPr>
              <w:t>accession numbers in proteome</w:t>
            </w:r>
            <w:r>
              <w:rPr>
                <w:iCs/>
                <w:sz w:val="20"/>
                <w:szCs w:val="20"/>
              </w:rPr>
              <w:t xml:space="preserve">: </w:t>
            </w:r>
            <w:r w:rsidRPr="001074DB">
              <w:rPr>
                <w:iCs/>
                <w:sz w:val="20"/>
                <w:szCs w:val="20"/>
              </w:rPr>
              <w:t>TRINITY_DN7699_c0_g1_i</w:t>
            </w:r>
            <w:proofErr w:type="gramStart"/>
            <w:r w:rsidRPr="001074DB">
              <w:rPr>
                <w:iCs/>
                <w:sz w:val="20"/>
                <w:szCs w:val="20"/>
              </w:rPr>
              <w:t>3.p</w:t>
            </w:r>
            <w:proofErr w:type="gramEnd"/>
            <w:r w:rsidRPr="001074DB">
              <w:rPr>
                <w:iCs/>
                <w:sz w:val="20"/>
                <w:szCs w:val="20"/>
              </w:rPr>
              <w:t>1</w:t>
            </w:r>
            <w:r>
              <w:rPr>
                <w:iCs/>
                <w:sz w:val="20"/>
                <w:szCs w:val="20"/>
              </w:rPr>
              <w:t xml:space="preserve">, </w:t>
            </w:r>
            <w:r w:rsidRPr="001074DB">
              <w:rPr>
                <w:iCs/>
                <w:sz w:val="20"/>
                <w:szCs w:val="20"/>
              </w:rPr>
              <w:t>TRINITY_DN12084_c3_g3_i1.p1</w:t>
            </w:r>
          </w:p>
        </w:tc>
        <w:tc>
          <w:tcPr>
            <w:tcW w:w="2136" w:type="dxa"/>
            <w:vAlign w:val="center"/>
          </w:tcPr>
          <w:p w14:paraId="3BC11644"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{"citationID":"UcmNWOFv","properties":{"formattedCitation":"(Cai 2008; Peng et al. 2015; Himmel and Cox 2020)","plainCitation":"(Cai 2008; Peng et al. 2015; Himmel and Cox 2020)","noteIndex":0},"citationItems":[{"id":1403,"uris":["http://zotero.org/users/10320770/items/BQ4MJG88"],"itemData":{"id":1403,"type":"article-journal","abstract":"Ca2+ signaling pathways control many physiological processes in almost all types of animal cells such as fertilization, muscle contraction, hormone release, and learning and memory. Each animal cell type expresses a unique group of molecules from the Ca2+ signaling ‘toolkit’ to control spatiotemporal patterns of Ca2+ signaling. It is generally believed that the complex Ca2+ signaling ‘toolkit’ has arisen from the ancestral multicellular organisms to fit unique physiological roles of specialized cell types. Here, we demonstrate for the first time the presence of an extensive Ca2+ signaling ‘toolkit’ in the unicellular choanoflagellate Monosiga brevicollis. Choanoflagellates possess homologues of various types of animal plasma membrane Ca2+ channels including the store-operated channel, ligand-operated channels, voltage-operated channels, second messenger-operated channels, and 5 out of 6 animal transient receptor potential channel families. Choanoflagellates also contain homologues of inositol 1,4,5-trisphosphate receptors. Furthermore, choanoflagellates master a complete set of Ca2+ removal systems including plasma membrane and sarco/endoplasmic reticulum Ca2+ ATPases and homologues of 3 animal cation/Ca2+ exchanger families. Therefore, a complex Ca2+ signaling ‘toolkit’ might have evolved before the emergence of multicellular animals.","container-title":"Molecular Biology and Evolution","DOI":"10.1093/molbev/msn077","ISSN":"0737-4038","issue":"7","journalAbbreviation":"Molecular Biology and Evolution","page":"1357-1361","source":"Silverchair","title":"Unicellular Ca2+ Signaling ‘Toolkit’ at the Origin of Metazoa","volume":"25","author":[{"family":"Cai","given":"Xinjiang"}],"issued":{"date-parts":[["2008",7,1]]}}},{"id":1401,"uris":["http://zotero.org/users/10320770/items/GCLE9TWR"],"itemData":{"id":1401,"type":"article-journal","abstract":"The transient receptor potential superfamily of ion channels (TRP channels) is widely recognized for the roles its members play in sensory nervous systems. However, the incredible diversity within the TRP superfamily, and the wide range of sensory capacities found therein, has also allowed TRP channels to function beyond sensing an organism's external environment, and TRP channels have thus become broadly critical to (at least) animal life. TRP channels were originally discovered in Drosophila and have since been broadly studied in animals; however, thanks to a boom in genomic and transcriptomic data, we now know that TRP channels are present in the genomes of a variety of creatures, including green algae, fungi, choanoflagellates and a number of other eukaryotes. As a result, the organization of the TRP superfamily has changed radically from its original description. Moreover, modern comprehensive phylogenetic analyses have brought to light the vertebrate-centricity of much of the TRP literature; much of the nomenclature has been grounded in vertebrate TRP subfamilies, resulting in a glossing over of TRP channels in other taxa. Here, we provide a comprehensive review of the function, structure and evolutionary history of TRP channels, and put forth a more complete set of non-vertebrate-centric TRP family, subfamily and other subgroup nomenclature.","container-title":"Proceedings of the Royal Society B: Biological Sciences","DOI":"10.1098/rspb.2020.1309","issue":"1933","note":"publisher: Royal Society","page":"20201309","source":"royalsocietypublishing.org (Atypon)","title":"Transient receptor potential channels: current perspectives on evolution, structure, function and nomenclature","title-short":"Transient receptor potential channels","volume":"287","author":[{"family":"Himmel","given":"Nathaniel J."},{"family":"Cox","given":"Daniel N."}],"issued":{"date-parts":[["2020",8,26]]}}},{"id":1265,"uris":["http://zotero.org/groups/4811481/items/7SLV9BMI"],"itemData":{"id":1265,"type":"article-journal","abstract":"The functions of TRP channels have primarily been characterized in model organisms within a limited evolutionary context. We thus characterize the TRP channels in choanoflagellate, sponge, Cnidaria, Lophotrochozoa, and arthropods to understand how they emerged during early evolution of animals and have changed during diversification of various species. As previously reported, five metazoan TRP subfamily members (TRPA, TRPC, TRPM, TRPML, and TRPV) were identified in choanoflagellates, demonstrating that they evolved before the emergence of multicellular animals. TRPN was identified in Hydra magnipapillata, and therefore emerged in the last common ancestor of Cnidaria–Bilateria. A novel subfamily member (TRPVL) was identified in Cnidaria and Capitella teleta, indicating that it was present in the last common ancestor of Cnidaria–Bilateria but has since been lost in most bilaterians. The characterization of arthropod TRP channels revealed that Daphnia pulex and insects have specifically expanded the TRPA subfamily, which diverged from the ancient TRPA1 channel gene. The diversity of TRPA channels except TRPA1 was detectable even within a single insect family, namely the ant lineage. The present study demonstrates the evolutionary history of TRP channel genes, which may have diverged in conjunction with the specific habitats and life histories of individual species.","container-title":"Molecular Phylogenetics and Evolution","DOI":"10.1016/j.ympev.2014.06.016","ISSN":"1055-7903","journalAbbreviation":"Molecular Phylogenetics and Evolution","language":"en","page":"145-157","source":"ScienceDirect","title":"Evolution of TRP channels inferred by their classification in diverse animal species","volume":"84","author":[{"family":"Peng","given":"Guangda"},{"family":"Shi","given":"Xiao"},{"family":"Kadowaki","given":"Tatsuhiko"}],"issued":{"date-parts":[["2015",3,1]]}}}],"schema":"https://github.com/citation-style-language/schema/raw/master/csl-citation.json"} </w:instrText>
            </w:r>
            <w:r w:rsidRPr="001074DB">
              <w:rPr>
                <w:sz w:val="20"/>
                <w:szCs w:val="20"/>
              </w:rPr>
              <w:fldChar w:fldCharType="separate"/>
            </w:r>
            <w:r>
              <w:rPr>
                <w:noProof/>
                <w:sz w:val="20"/>
                <w:szCs w:val="20"/>
              </w:rPr>
              <w:t>(Cai 2008; Peng et al. 2015; Himmel and Cox 2020)</w:t>
            </w:r>
            <w:r w:rsidRPr="001074DB">
              <w:rPr>
                <w:sz w:val="20"/>
                <w:szCs w:val="20"/>
              </w:rPr>
              <w:fldChar w:fldCharType="end"/>
            </w:r>
          </w:p>
        </w:tc>
      </w:tr>
      <w:tr w:rsidR="00827F91" w:rsidRPr="00445ABA" w14:paraId="23F745BF" w14:textId="77777777" w:rsidTr="001C1FB8">
        <w:tc>
          <w:tcPr>
            <w:tcW w:w="1896" w:type="dxa"/>
            <w:vAlign w:val="center"/>
          </w:tcPr>
          <w:p w14:paraId="41C2F7ED" w14:textId="77777777" w:rsidR="00827F91" w:rsidRPr="001074DB" w:rsidRDefault="00827F91" w:rsidP="001C1FB8">
            <w:pPr>
              <w:keepNext/>
              <w:keepLines/>
              <w:pageBreakBefore/>
              <w:jc w:val="center"/>
              <w:rPr>
                <w:sz w:val="20"/>
                <w:szCs w:val="20"/>
              </w:rPr>
            </w:pPr>
            <w:r w:rsidRPr="001074DB">
              <w:rPr>
                <w:sz w:val="20"/>
                <w:szCs w:val="20"/>
              </w:rPr>
              <w:t xml:space="preserve">Potassium </w:t>
            </w:r>
            <w:proofErr w:type="gramStart"/>
            <w:r w:rsidRPr="001074DB">
              <w:rPr>
                <w:sz w:val="20"/>
                <w:szCs w:val="20"/>
              </w:rPr>
              <w:t>voltage-gated</w:t>
            </w:r>
            <w:proofErr w:type="gramEnd"/>
            <w:r w:rsidRPr="001074DB">
              <w:rPr>
                <w:sz w:val="20"/>
                <w:szCs w:val="20"/>
              </w:rPr>
              <w:t xml:space="preserve"> (KV) channels</w:t>
            </w:r>
          </w:p>
        </w:tc>
        <w:tc>
          <w:tcPr>
            <w:tcW w:w="2594" w:type="dxa"/>
            <w:vAlign w:val="center"/>
          </w:tcPr>
          <w:p w14:paraId="6FAE065A"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{"citationID":"vGLx1aC8","properties":{"formattedCitation":"(Moran et al. 2015)","plainCitation":"(Moran et al. 2015)","noteIndex":0},"citationItems":[{"id":1449,"uris":["http://zotero.org/users/10320770/items/TDE334FH"],"itemData":{"id":1449,"type":"article-journal","abstract":"Voltage-gated ion channels are large transmembrane proteins that enable the passage of ions through their pore across the cell membrane. These channels belong to one superfamily and carry pivotal roles such as the propagation of neuronal and muscular action potentials and the promotion of neurotransmitter secretion in synapses. In this review, we describe in detail the current state of knowledge regarding the evolution of these channels with a special emphasis on the metazoan lineage. We highlight the contribution of the genomic revolution to the understanding of ion channel evolution and for revealing that these channels appeared long before the appearance of the first animal. We also explain how the elucidation of channel selectivity properties and function in non-bilaterian animals such as cnidarians (sea anemones, corals, jellyfish and hydroids) can contribute to the study of channel evolution. Finally, we point to open questions and future directions in this field of research.","container-title":"Journal of Experimental Biology","DOI":"10.1242/jeb.110270","ISSN":"0022-0949","issue":"4","journalAbbreviation":"Journal of Experimental Biology","page":"515-525","source":"Silverchair","title":"Evolution of voltage-gated ion channels at the emergence of Metazoa","volume":"218","author":[{"family":"Moran","given":"Yehu"},{"family":"Barzilai","given":"Maya Gur"},{"family":"Liebeskind","given":"Benjamin J."},{"family":"Zakon","given":"Harold H."}],"editor":[{"family":"Anderson","given":"Peter A. V."}],"issued":{"date-parts":[["2015",2,15]]}}}],"schema":"https://github.com/citation-style-language/schema/raw/master/csl-citation.json"} </w:instrText>
            </w:r>
            <w:r w:rsidRPr="001074DB">
              <w:rPr>
                <w:sz w:val="20"/>
                <w:szCs w:val="20"/>
              </w:rPr>
              <w:fldChar w:fldCharType="separate"/>
            </w:r>
            <w:r>
              <w:rPr>
                <w:noProof/>
                <w:sz w:val="20"/>
                <w:szCs w:val="20"/>
              </w:rPr>
              <w:t>(Moran et al. 2015)</w:t>
            </w:r>
            <w:r w:rsidRPr="001074DB">
              <w:rPr>
                <w:sz w:val="20"/>
                <w:szCs w:val="20"/>
              </w:rPr>
              <w:fldChar w:fldCharType="end"/>
            </w:r>
          </w:p>
        </w:tc>
        <w:tc>
          <w:tcPr>
            <w:tcW w:w="3150" w:type="dxa"/>
            <w:vAlign w:val="center"/>
          </w:tcPr>
          <w:p w14:paraId="0236A0F0" w14:textId="77777777" w:rsidR="00827F91" w:rsidRPr="001074DB" w:rsidRDefault="00827F91" w:rsidP="001C1FB8">
            <w:pPr>
              <w:keepNext/>
              <w:keepLines/>
              <w:pageBreakBefore/>
              <w:jc w:val="center"/>
              <w:rPr>
                <w:sz w:val="20"/>
                <w:szCs w:val="20"/>
              </w:rPr>
            </w:pPr>
            <w:r w:rsidRPr="001074DB">
              <w:rPr>
                <w:sz w:val="20"/>
                <w:szCs w:val="20"/>
              </w:rPr>
              <w:t>accession numbers in proteome</w:t>
            </w:r>
            <w:r>
              <w:rPr>
                <w:sz w:val="20"/>
                <w:szCs w:val="20"/>
              </w:rPr>
              <w:t xml:space="preserve">: </w:t>
            </w:r>
            <w:r w:rsidRPr="001074DB">
              <w:rPr>
                <w:sz w:val="20"/>
                <w:szCs w:val="20"/>
              </w:rPr>
              <w:t>TRINITY_DN7967_c0_g2_i</w:t>
            </w:r>
            <w:proofErr w:type="gramStart"/>
            <w:r w:rsidRPr="001074DB">
              <w:rPr>
                <w:sz w:val="20"/>
                <w:szCs w:val="20"/>
              </w:rPr>
              <w:t>2.p</w:t>
            </w:r>
            <w:proofErr w:type="gramEnd"/>
            <w:r w:rsidRPr="001074DB">
              <w:rPr>
                <w:sz w:val="20"/>
                <w:szCs w:val="20"/>
              </w:rPr>
              <w:t>2, TRINITY_DN9681_c0_g1_i2.p1, TRINITY_DN11869_c4_g1_i1.p1</w:t>
            </w:r>
          </w:p>
        </w:tc>
        <w:tc>
          <w:tcPr>
            <w:tcW w:w="2136" w:type="dxa"/>
            <w:vAlign w:val="center"/>
          </w:tcPr>
          <w:p w14:paraId="04C8BC95" w14:textId="77777777" w:rsidR="00827F91" w:rsidRPr="001074DB" w:rsidRDefault="00827F91" w:rsidP="001C1FB8">
            <w:pPr>
              <w:keepNext/>
              <w:keepLines/>
              <w:pageBreakBefore/>
              <w:jc w:val="center"/>
              <w:rPr>
                <w:sz w:val="20"/>
                <w:szCs w:val="20"/>
              </w:rPr>
            </w:pPr>
            <w:r w:rsidRPr="005E5C29">
              <w:rPr>
                <w:i/>
                <w:iCs/>
                <w:sz w:val="20"/>
                <w:szCs w:val="20"/>
              </w:rPr>
              <w:t>Absent from genome</w:t>
            </w:r>
          </w:p>
        </w:tc>
      </w:tr>
      <w:tr w:rsidR="00827F91" w:rsidRPr="00445ABA" w14:paraId="52825640" w14:textId="77777777" w:rsidTr="001C1FB8">
        <w:tc>
          <w:tcPr>
            <w:tcW w:w="1896" w:type="dxa"/>
            <w:vAlign w:val="center"/>
          </w:tcPr>
          <w:p w14:paraId="603B81E6" w14:textId="77777777" w:rsidR="00827F91" w:rsidRPr="001074DB" w:rsidRDefault="00827F91" w:rsidP="001C1FB8">
            <w:pPr>
              <w:keepNext/>
              <w:keepLines/>
              <w:pageBreakBefore/>
              <w:jc w:val="center"/>
              <w:rPr>
                <w:sz w:val="20"/>
                <w:szCs w:val="20"/>
              </w:rPr>
            </w:pPr>
            <w:r w:rsidRPr="001074DB">
              <w:rPr>
                <w:sz w:val="20"/>
                <w:szCs w:val="20"/>
              </w:rPr>
              <w:t xml:space="preserve">Calcium </w:t>
            </w:r>
            <w:proofErr w:type="gramStart"/>
            <w:r w:rsidRPr="001074DB">
              <w:rPr>
                <w:sz w:val="20"/>
                <w:szCs w:val="20"/>
              </w:rPr>
              <w:t>voltage-gated</w:t>
            </w:r>
            <w:proofErr w:type="gramEnd"/>
            <w:r w:rsidRPr="001074DB">
              <w:rPr>
                <w:sz w:val="20"/>
                <w:szCs w:val="20"/>
              </w:rPr>
              <w:t xml:space="preserve"> (</w:t>
            </w:r>
            <w:proofErr w:type="spellStart"/>
            <w:r w:rsidRPr="001074DB">
              <w:rPr>
                <w:sz w:val="20"/>
                <w:szCs w:val="20"/>
              </w:rPr>
              <w:t>CaV</w:t>
            </w:r>
            <w:proofErr w:type="spellEnd"/>
            <w:r w:rsidRPr="001074DB">
              <w:rPr>
                <w:sz w:val="20"/>
                <w:szCs w:val="20"/>
              </w:rPr>
              <w:t>)</w:t>
            </w:r>
            <w:r>
              <w:rPr>
                <w:sz w:val="20"/>
                <w:szCs w:val="20"/>
              </w:rPr>
              <w:t xml:space="preserve"> channels</w:t>
            </w:r>
          </w:p>
        </w:tc>
        <w:tc>
          <w:tcPr>
            <w:tcW w:w="2594" w:type="dxa"/>
            <w:vAlign w:val="center"/>
          </w:tcPr>
          <w:p w14:paraId="65F3371F"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{"citationID":"MNs8ePSh","properties":{"formattedCitation":"(Liebeskind et al. 2011; Moran et al. 2015)","plainCitation":"(Liebeskind et al. 2011; Moran et al. 2015)","noteIndex":0},"citationItems":[{"id":1452,"uris":["http://zotero.org/users/10320770/items/4SJ2CA5U"],"itemData":{"id":1452,"type":"article-journal","abstract":"Voltage-dependent sodium channels are believed to have evolved from calcium channels at the origin of the nervous system. A search of the genome of a single-celled choanoflagellate (the sister group of animals) identified a gene that is homologous to animal sodium channels and has a putative ion selectivity filter intermediate between calcium and sodium channels. Searches of a wide variety of animal genomes, including representatives of each basal lineage, revealed that similar homologs were retained in most lineages. One of these, the Placozoa, does not possess a nervous system. We cloned and sequenced the full choanoflagellate channel and parts of two placozoan channels from mRNA, showing that they are expressed. Phylogenetic analysis clusters the genes for these channels with other known sodium channels. From this phylogeny we infer ancestral states of the ion selectivity filter and show that this state has been retained in the choanoflagellate and placozoan channels. We also identify key gene duplications and losses and show convergent amino acid replacements at important points along the animal lineage.","container-title":"Proceedings of the National Academy of Sciences","DOI":"10.1073/pnas.1106363108","issue":"22","note":"publisher: Proceedings of the National Academy of Sciences","page":"9154-9159","source":"pnas.org (Atypon)","title":"Evolution of sodium channels predates the origin of nervous systems in animals","volume":"108","author":[{"family":"Liebeskind","given":"Benjamin J."},{"family":"Hillis","given":"David M."},{"family":"Zakon","given":"Harold H."}],"issued":{"date-parts":[["2011",5,31]]}}},{"id":1449,"uris":["http://zotero.org/users/10320770/items/TDE334FH"],"itemData":{"id":1449,"type":"article-journal","abstract":"Voltage-gated ion channels are large transmembrane proteins that enable the passage of ions through their pore across the cell membrane. These channels belong to one superfamily and carry pivotal roles such as the propagation of neuronal and muscular action potentials and the promotion of neurotransmitter secretion in synapses. In this review, we describe in detail the current state of knowledge regarding the evolution of these channels with a special emphasis on the metazoan lineage. We highlight the contribution of the genomic revolution to the understanding of ion channel evolution and for revealing that these channels appeared long before the appearance of the first animal. We also explain how the elucidation of channel selectivity properties and function in non-bilaterian animals such as cnidarians (sea anemones, corals, jellyfish and hydroids) can contribute to the study of channel evolution. Finally, we point to open questions and future directions in this field of research.","container-title":"Journal of Experimental Biology","DOI":"10.1242/jeb.110270","ISSN":"0022-0949","issue":"4","journalAbbreviation":"Journal of Experimental Biology","page":"515-525","source":"Silverchair","title":"Evolution of voltage-gated ion channels at the emergence of Metazoa","volume":"218","author":[{"family":"Moran","given":"Yehu"},{"family":"Barzilai","given":"Maya Gur"},{"family":"Liebeskind","given":"Benjamin J."},{"family":"Zakon","given":"Harold H."}],"editor":[{"family":"Anderson","given":"Peter A. V."}],"issued":{"date-parts":[["2015",2,15]]}}}],"schema":"https://github.com/citation-style-language/schema/raw/master/csl-citation.json"} </w:instrText>
            </w:r>
            <w:r w:rsidRPr="001074DB">
              <w:rPr>
                <w:sz w:val="20"/>
                <w:szCs w:val="20"/>
              </w:rPr>
              <w:fldChar w:fldCharType="separate"/>
            </w:r>
            <w:r>
              <w:rPr>
                <w:noProof/>
                <w:sz w:val="20"/>
                <w:szCs w:val="20"/>
              </w:rPr>
              <w:t>(Liebeskind et al. 2011; Moran et al. 2015)</w:t>
            </w:r>
            <w:r w:rsidRPr="001074DB">
              <w:rPr>
                <w:sz w:val="20"/>
                <w:szCs w:val="20"/>
              </w:rPr>
              <w:fldChar w:fldCharType="end"/>
            </w:r>
          </w:p>
        </w:tc>
        <w:tc>
          <w:tcPr>
            <w:tcW w:w="3150" w:type="dxa"/>
            <w:vAlign w:val="center"/>
          </w:tcPr>
          <w:p w14:paraId="3E968B42" w14:textId="77777777" w:rsidR="00827F91" w:rsidRPr="001074DB" w:rsidRDefault="00827F91" w:rsidP="001C1FB8">
            <w:pPr>
              <w:keepNext/>
              <w:keepLines/>
              <w:pageBreakBefore/>
              <w:jc w:val="center"/>
              <w:rPr>
                <w:sz w:val="20"/>
                <w:szCs w:val="20"/>
              </w:rPr>
            </w:pPr>
            <w:r w:rsidRPr="001074DB">
              <w:rPr>
                <w:sz w:val="20"/>
                <w:szCs w:val="20"/>
              </w:rPr>
              <w:t>accession numbers in proteome</w:t>
            </w:r>
            <w:r>
              <w:rPr>
                <w:sz w:val="20"/>
                <w:szCs w:val="20"/>
              </w:rPr>
              <w:t>:</w:t>
            </w:r>
            <w:r w:rsidRPr="001074DB">
              <w:rPr>
                <w:sz w:val="20"/>
                <w:szCs w:val="20"/>
              </w:rPr>
              <w:t xml:space="preserve"> TRINITY_DN11215_c0_g1_i</w:t>
            </w:r>
            <w:proofErr w:type="gramStart"/>
            <w:r w:rsidRPr="001074DB">
              <w:rPr>
                <w:sz w:val="20"/>
                <w:szCs w:val="20"/>
              </w:rPr>
              <w:t>3.p</w:t>
            </w:r>
            <w:proofErr w:type="gramEnd"/>
            <w:r w:rsidRPr="001074DB">
              <w:rPr>
                <w:sz w:val="20"/>
                <w:szCs w:val="20"/>
              </w:rPr>
              <w:t>1, TRINITY_DN11905_c0_g1_i8.p1</w:t>
            </w:r>
          </w:p>
        </w:tc>
        <w:tc>
          <w:tcPr>
            <w:tcW w:w="2136" w:type="dxa"/>
            <w:vAlign w:val="center"/>
          </w:tcPr>
          <w:p w14:paraId="30694B81"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{"citationID":"ZQK2jSDO","properties":{"formattedCitation":"(Liebeskind et al. 2011; Moran et al. 2015)","plainCitation":"(Liebeskind et al. 2011; Moran et al. 2015)","noteIndex":0},"citationItems":[{"id":1452,"uris":["http://zotero.org/users/10320770/items/4SJ2CA5U"],"itemData":{"id":1452,"type":"article-journal","abstract":"Voltage-dependent sodium channels are believed to have evolved from calcium channels at the origin of the nervous system. A search of the genome of a single-celled choanoflagellate (the sister group of animals) identified a gene that is homologous to animal sodium channels and has a putative ion selectivity filter intermediate between calcium and sodium channels. Searches of a wide variety of animal genomes, including representatives of each basal lineage, revealed that similar homologs were retained in most lineages. One of these, the Placozoa, does not possess a nervous system. We cloned and sequenced the full choanoflagellate channel and parts of two placozoan channels from mRNA, showing that they are expressed. Phylogenetic analysis clusters the genes for these channels with other known sodium channels. From this phylogeny we infer ancestral states of the ion selectivity filter and show that this state has been retained in the choanoflagellate and placozoan channels. We also identify key gene duplications and losses and show convergent amino acid replacements at important points along the animal lineage.","container-title":"Proceedings of the National Academy of Sciences","DOI":"10.1073/pnas.1106363108","issue":"22","note":"publisher: Proceedings of the National Academy of Sciences","page":"9154-9159","source":"pnas.org (Atypon)","title":"Evolution of sodium channels predates the origin of nervous systems in animals","volume":"108","author":[{"family":"Liebeskind","given":"Benjamin J."},{"family":"Hillis","given":"David M."},{"family":"Zakon","given":"Harold H."}],"issued":{"date-parts":[["2011",5,31]]}}},{"id":1449,"uris":["http://zotero.org/users/10320770/items/TDE334FH"],"itemData":{"id":1449,"type":"article-journal","abstract":"Voltage-gated ion channels are large transmembrane proteins that enable the passage of ions through their pore across the cell membrane. These channels belong to one superfamily and carry pivotal roles such as the propagation of neuronal and muscular action potentials and the promotion of neurotransmitter secretion in synapses. In this review, we describe in detail the current state of knowledge regarding the evolution of these channels with a special emphasis on the metazoan lineage. We highlight the contribution of the genomic revolution to the understanding of ion channel evolution and for revealing that these channels appeared long before the appearance of the first animal. We also explain how the elucidation of channel selectivity properties and function in non-bilaterian animals such as cnidarians (sea anemones, corals, jellyfish and hydroids) can contribute to the study of channel evolution. Finally, we point to open questions and future directions in this field of research.","container-title":"Journal of Experimental Biology","DOI":"10.1242/jeb.110270","ISSN":"0022-0949","issue":"4","journalAbbreviation":"Journal of Experimental Biology","page":"515-525","source":"Silverchair","title":"Evolution of voltage-gated ion channels at the emergence of Metazoa","volume":"218","author":[{"family":"Moran","given":"Yehu"},{"family":"Barzilai","given":"Maya Gur"},{"family":"Liebeskind","given":"Benjamin J."},{"family":"Zakon","given":"Harold H."}],"editor":[{"family":"Anderson","given":"Peter A. V."}],"issued":{"date-parts":[["2015",2,15]]}}}],"schema":"https://github.com/citation-style-language/schema/raw/master/csl-citation.json"} </w:instrText>
            </w:r>
            <w:r w:rsidRPr="001074DB">
              <w:rPr>
                <w:sz w:val="20"/>
                <w:szCs w:val="20"/>
              </w:rPr>
              <w:fldChar w:fldCharType="separate"/>
            </w:r>
            <w:r>
              <w:rPr>
                <w:noProof/>
                <w:sz w:val="20"/>
                <w:szCs w:val="20"/>
              </w:rPr>
              <w:t>(Liebeskind et al. 2011; Moran et al. 2015)</w:t>
            </w:r>
            <w:r w:rsidRPr="001074DB">
              <w:rPr>
                <w:sz w:val="20"/>
                <w:szCs w:val="20"/>
              </w:rPr>
              <w:fldChar w:fldCharType="end"/>
            </w:r>
          </w:p>
        </w:tc>
      </w:tr>
      <w:tr w:rsidR="00827F91" w:rsidRPr="00445ABA" w14:paraId="47FEC6CD" w14:textId="77777777" w:rsidTr="001C1FB8">
        <w:tc>
          <w:tcPr>
            <w:tcW w:w="1896" w:type="dxa"/>
            <w:vAlign w:val="center"/>
          </w:tcPr>
          <w:p w14:paraId="6D33AC8A" w14:textId="77777777" w:rsidR="00827F91" w:rsidRPr="001074DB" w:rsidRDefault="00827F91" w:rsidP="001C1FB8">
            <w:pPr>
              <w:keepNext/>
              <w:keepLines/>
              <w:pageBreakBefore/>
              <w:jc w:val="center"/>
              <w:rPr>
                <w:sz w:val="20"/>
                <w:szCs w:val="20"/>
              </w:rPr>
            </w:pPr>
            <w:r w:rsidRPr="001074DB">
              <w:rPr>
                <w:sz w:val="20"/>
                <w:szCs w:val="20"/>
              </w:rPr>
              <w:t xml:space="preserve">Sodium </w:t>
            </w:r>
            <w:proofErr w:type="gramStart"/>
            <w:r w:rsidRPr="001074DB">
              <w:rPr>
                <w:sz w:val="20"/>
                <w:szCs w:val="20"/>
              </w:rPr>
              <w:t>voltage-gated</w:t>
            </w:r>
            <w:proofErr w:type="gramEnd"/>
            <w:r w:rsidRPr="001074DB">
              <w:rPr>
                <w:sz w:val="20"/>
                <w:szCs w:val="20"/>
              </w:rPr>
              <w:t xml:space="preserve"> (</w:t>
            </w:r>
            <w:proofErr w:type="spellStart"/>
            <w:r w:rsidRPr="001074DB">
              <w:rPr>
                <w:sz w:val="20"/>
                <w:szCs w:val="20"/>
              </w:rPr>
              <w:t>NaV</w:t>
            </w:r>
            <w:proofErr w:type="spellEnd"/>
            <w:r w:rsidRPr="001074DB">
              <w:rPr>
                <w:sz w:val="20"/>
                <w:szCs w:val="20"/>
              </w:rPr>
              <w:t>) channels</w:t>
            </w:r>
          </w:p>
        </w:tc>
        <w:tc>
          <w:tcPr>
            <w:tcW w:w="2594" w:type="dxa"/>
            <w:vAlign w:val="center"/>
          </w:tcPr>
          <w:p w14:paraId="726F1B6C" w14:textId="77777777" w:rsidR="00827F91" w:rsidRPr="005E5C29" w:rsidRDefault="00827F91" w:rsidP="001C1FB8">
            <w:pPr>
              <w:keepNext/>
              <w:keepLines/>
              <w:pageBreakBefore/>
              <w:jc w:val="center"/>
              <w:rPr>
                <w:i/>
                <w:iCs/>
                <w:sz w:val="20"/>
                <w:szCs w:val="20"/>
              </w:rPr>
            </w:pPr>
            <w:r w:rsidRPr="001074DB">
              <w:rPr>
                <w:sz w:val="20"/>
                <w:szCs w:val="20"/>
              </w:rPr>
              <w:fldChar w:fldCharType="begin"/>
            </w:r>
            <w:r w:rsidRPr="001074DB">
              <w:rPr>
                <w:sz w:val="20"/>
                <w:szCs w:val="20"/>
              </w:rPr>
              <w:instrText xml:space="preserve"> ADDIN ZOTERO_ITEM CSL_CITATION {"citationID":"g6sJZBSx","properties":{"formattedCitation":"(Liebeskind et al. 2011; Moran et al. 2015)","plainCitation":"(Liebeskind et al. 2011; Moran et al. 2015)","noteIndex":0},"citationItems":[{"id":1452,"uris":["http://zotero.org/users/10320770/items/4SJ2CA5U"],"itemData":{"id":1452,"type":"article-journal","abstract":"Voltage-dependent sodium channels are believed to have evolved from calcium channels at the origin of the nervous system. A search of the genome of a single-celled choanoflagellate (the sister group of animals) identified a gene that is homologous to animal sodium channels and has a putative ion selectivity filter intermediate between calcium and sodium channels. Searches of a wide variety of animal genomes, including representatives of each basal lineage, revealed that similar homologs were retained in most lineages. One of these, the Placozoa, does not possess a nervous system. We cloned and sequenced the full choanoflagellate channel and parts of two placozoan channels from mRNA, showing that they are expressed. Phylogenetic analysis clusters the genes for these channels with other known sodium channels. From this phylogeny we infer ancestral states of the ion selectivity filter and show that this state has been retained in the choanoflagellate and placozoan channels. We also identify key gene duplications and losses and show convergent amino acid replacements at important points along the animal lineage.","container-title":"Proceedings of the National Academy of Sciences","DOI":"10.1073/pnas.1106363108","issue":"22","note":"publisher: Proceedings of the National Academy of Sciences","page":"9154-9159","source":"pnas.org (Atypon)","title":"Evolution of sodium channels predates the origin of nervous systems in animals","volume":"108","author":[{"family":"Liebeskind","given":"Benjamin J."},{"family":"Hillis","given":"David M."},{"family":"Zakon","given":"Harold H."}],"issued":{"date-parts":[["2011",5,31]]}}},{"id":1449,"uris":["http://zotero.org/users/10320770/items/TDE334FH"],"itemData":{"id":1449,"type":"article-journal","abstract":"Voltage-gated ion channels are large transmembrane proteins that enable the passage of ions through their pore across the cell membrane. These channels belong to one superfamily and carry pivotal roles such as the propagation of neuronal and muscular action potentials and the promotion of neurotransmitter secretion in synapses. In this review, we describe in detail the current state of knowledge regarding the evolution of these channels with a special emphasis on the metazoan lineage. We highlight the contribution of the genomic revolution to the understanding of ion channel evolution and for revealing that these channels appeared long before the appearance of the first animal. We also explain how the elucidation of channel selectivity properties and function in non-bilaterian animals such as cnidarians (sea anemones, corals, jellyfish and hydroids) can contribute to the study of channel evolution. Finally, we point to open questions and future directions in this field of research.","container-title":"Journal of Experimental Biology","DOI":"10.1242/jeb.110270","ISSN":"0022-0949","issue":"4","journalAbbreviation":"Journal of Experimental Biology","page":"515-525","source":"Silverchair","title":"Evolution of voltage-gated ion channels at the emergence of Metazoa","volume":"218","author":[{"family":"Moran","given":"Yehu"},{"family":"Barzilai","given":"Maya Gur"},{"family":"Liebeskind","given":"Benjamin J."},{"family":"Zakon","given":"Harold H."}],"editor":[{"family":"Anderson","given":"Peter A. V."}],"issued":{"date-parts":[["2015",2,15]]}}}],"schema":"https://github.com/citation-style-language/schema/raw/master/csl-citation.json"} </w:instrText>
            </w:r>
            <w:r w:rsidRPr="001074DB">
              <w:rPr>
                <w:sz w:val="20"/>
                <w:szCs w:val="20"/>
              </w:rPr>
              <w:fldChar w:fldCharType="separate"/>
            </w:r>
            <w:r>
              <w:rPr>
                <w:noProof/>
                <w:sz w:val="20"/>
                <w:szCs w:val="20"/>
              </w:rPr>
              <w:t>(Liebeskind et al. 2011; Moran et al. 2015)</w:t>
            </w:r>
            <w:r w:rsidRPr="001074DB">
              <w:rPr>
                <w:sz w:val="20"/>
                <w:szCs w:val="20"/>
              </w:rPr>
              <w:fldChar w:fldCharType="end"/>
            </w:r>
          </w:p>
        </w:tc>
        <w:tc>
          <w:tcPr>
            <w:tcW w:w="3150" w:type="dxa"/>
            <w:vAlign w:val="center"/>
          </w:tcPr>
          <w:p w14:paraId="2B7BF0A7" w14:textId="77777777" w:rsidR="00827F91" w:rsidRPr="001074DB" w:rsidRDefault="00827F91" w:rsidP="001C1FB8">
            <w:pPr>
              <w:keepNext/>
              <w:keepLines/>
              <w:pageBreakBefore/>
              <w:jc w:val="center"/>
              <w:rPr>
                <w:sz w:val="20"/>
                <w:szCs w:val="20"/>
              </w:rPr>
            </w:pPr>
            <w:r w:rsidRPr="001074DB">
              <w:rPr>
                <w:sz w:val="20"/>
                <w:szCs w:val="20"/>
              </w:rPr>
              <w:t>accession number in proteome</w:t>
            </w:r>
            <w:r>
              <w:rPr>
                <w:sz w:val="20"/>
                <w:szCs w:val="20"/>
              </w:rPr>
              <w:t>:</w:t>
            </w:r>
            <w:r w:rsidRPr="001074DB">
              <w:rPr>
                <w:sz w:val="20"/>
                <w:szCs w:val="20"/>
              </w:rPr>
              <w:t xml:space="preserve"> TRINITY_DN11905_c0_g1_i</w:t>
            </w:r>
            <w:proofErr w:type="gramStart"/>
            <w:r w:rsidRPr="001074DB">
              <w:rPr>
                <w:sz w:val="20"/>
                <w:szCs w:val="20"/>
              </w:rPr>
              <w:t>8.p</w:t>
            </w:r>
            <w:proofErr w:type="gramEnd"/>
            <w:r w:rsidRPr="001074DB">
              <w:rPr>
                <w:sz w:val="20"/>
                <w:szCs w:val="20"/>
              </w:rPr>
              <w:t>1</w:t>
            </w:r>
          </w:p>
        </w:tc>
        <w:tc>
          <w:tcPr>
            <w:tcW w:w="2136" w:type="dxa"/>
            <w:vAlign w:val="center"/>
          </w:tcPr>
          <w:p w14:paraId="4CCBF83B" w14:textId="77777777" w:rsidR="00827F91" w:rsidRPr="001074DB" w:rsidRDefault="00827F91" w:rsidP="001C1FB8">
            <w:pPr>
              <w:keepNext/>
              <w:keepLines/>
              <w:pageBreakBefore/>
              <w:jc w:val="center"/>
              <w:rPr>
                <w:sz w:val="20"/>
                <w:szCs w:val="20"/>
              </w:rPr>
            </w:pPr>
            <w:r w:rsidRPr="005E5C29">
              <w:rPr>
                <w:i/>
                <w:iCs/>
                <w:sz w:val="20"/>
                <w:szCs w:val="20"/>
              </w:rPr>
              <w:t>Absent from genome</w:t>
            </w:r>
          </w:p>
        </w:tc>
      </w:tr>
      <w:tr w:rsidR="00827F91" w:rsidRPr="00445ABA" w14:paraId="5E7112E5" w14:textId="77777777" w:rsidTr="001C1FB8">
        <w:tc>
          <w:tcPr>
            <w:tcW w:w="1896" w:type="dxa"/>
            <w:vAlign w:val="center"/>
          </w:tcPr>
          <w:p w14:paraId="141D785F" w14:textId="77777777" w:rsidR="00827F91" w:rsidRPr="001074DB" w:rsidRDefault="00827F91" w:rsidP="001C1FB8">
            <w:pPr>
              <w:keepNext/>
              <w:keepLines/>
              <w:pageBreakBefore/>
              <w:jc w:val="center"/>
              <w:rPr>
                <w:sz w:val="20"/>
                <w:szCs w:val="20"/>
              </w:rPr>
            </w:pPr>
            <w:r w:rsidRPr="001074DB">
              <w:rPr>
                <w:sz w:val="20"/>
                <w:szCs w:val="20"/>
              </w:rPr>
              <w:t xml:space="preserve">Cyclic </w:t>
            </w:r>
            <w:proofErr w:type="gramStart"/>
            <w:r w:rsidRPr="001074DB">
              <w:rPr>
                <w:sz w:val="20"/>
                <w:szCs w:val="20"/>
              </w:rPr>
              <w:t>nucleotide-gated</w:t>
            </w:r>
            <w:proofErr w:type="gramEnd"/>
            <w:r w:rsidRPr="001074DB">
              <w:rPr>
                <w:sz w:val="20"/>
                <w:szCs w:val="20"/>
              </w:rPr>
              <w:t xml:space="preserve"> (CNG) channels</w:t>
            </w:r>
          </w:p>
        </w:tc>
        <w:tc>
          <w:tcPr>
            <w:tcW w:w="2594" w:type="dxa"/>
            <w:vAlign w:val="center"/>
          </w:tcPr>
          <w:p w14:paraId="499F9C71" w14:textId="19731035" w:rsidR="00827F91" w:rsidRPr="005E5C29" w:rsidRDefault="00827F91" w:rsidP="001C1FB8">
            <w:pPr>
              <w:keepNext/>
              <w:keepLines/>
              <w:pageBreakBefore/>
              <w:jc w:val="center"/>
              <w:rPr>
                <w:i/>
                <w:iCs/>
                <w:sz w:val="20"/>
                <w:szCs w:val="20"/>
              </w:rPr>
            </w:pPr>
            <w:r w:rsidRPr="001074DB">
              <w:rPr>
                <w:sz w:val="20"/>
                <w:szCs w:val="20"/>
              </w:rPr>
              <w:fldChar w:fldCharType="begin"/>
            </w:r>
            <w:r>
              <w:rPr>
                <w:sz w:val="20"/>
                <w:szCs w:val="20"/>
              </w:rPr>
              <w:instrText xml:space="preserve"> ADDIN ZOTERO_ITEM CSL_CITATION {"citationID":"nzHigWEH","properties":{"formattedCitation":"(Cai 2012b; Reyes-Rivera et al. 2022)","plainCitation":"(Cai 2012b; Reyes-Rivera et al. 2022)","noteIndex":0},"citationItems":[{"id":1427,"uris":["http://zotero.org/users/10320770/items/W2JGX6YN"],"itemData":{"id":1427,"type":"article-journal","abstract":"Electrical signaling in animals ensures the rapid and accurate transmission of information, often carried by voltage-gated Na+, Ca2+ and K+ channels that are activated by membrane depolarization. In heart and neurons, a distinct type of ion channel called the hyperpolarization-activated, cyclic nucleotide-regulated (HCN) channel is activated by membrane hyperpolarization. Recent genomic studies have revealed that animal-type voltage-gated Na+ channels (Liebeskind BJ, et al. 2011. Proc Natl Acad Sci U S A. 108:9154) had evolved in choanoflagellates, one of the unicellular relatives of animals. To date, HCN channels have been considered to be animal-specific. Here, we demonstrate the presence of an HCN channel homolog (SroHCN) in the choanoflagellate protist Salpingoeca rosetta. SroHCN contains highly conserved functional domains and sequence motifs that are correlated with the unique biophysical activities of HCN channels. These findings provide novel genomic insights into the evolution of complex electrical signaling before the emergence of multicellular animals.","container-title":"Genomics","DOI":"10.1016/j.ygeno.2012.01.007","ISSN":"0888-7543","issue":"4","journalAbbreviation":"Genomics","language":"en","page":"241-245","source":"ScienceDirect","title":"Evolutionary genomics reveals the premetazoan origin of opposite gating polarity in animal-type voltage-gated ion channels","volume":"99","author":[{"family":"Cai","given":"Xinjiang"}],"issued":{"date-parts":[["2012",4,1]]}}},{"id":1509,"uris":["http://zotero.org/users/10320770/items/D6BUXZHP"],"itemData":{"id":1509,"type":"article-journal","abstract":"Although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1074DB">
              <w:rPr>
                <w:sz w:val="20"/>
                <w:szCs w:val="20"/>
              </w:rPr>
              <w:fldChar w:fldCharType="separate"/>
            </w:r>
            <w:r>
              <w:rPr>
                <w:noProof/>
                <w:sz w:val="20"/>
                <w:szCs w:val="20"/>
              </w:rPr>
              <w:t>(Cai 2012b; Reyes-Rivera et al. 2022)</w:t>
            </w:r>
            <w:r w:rsidRPr="001074DB">
              <w:rPr>
                <w:sz w:val="20"/>
                <w:szCs w:val="20"/>
              </w:rPr>
              <w:fldChar w:fldCharType="end"/>
            </w:r>
          </w:p>
        </w:tc>
        <w:tc>
          <w:tcPr>
            <w:tcW w:w="3150" w:type="dxa"/>
            <w:vAlign w:val="center"/>
          </w:tcPr>
          <w:p w14:paraId="0B418348" w14:textId="6513609E"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{"citationID":"65cVrgHB","properties":{"formattedCitation":"(Cai 2012b; Reyes-Rivera et al. 2022)","plainCitation":"(Cai 2012b; Reyes-Rivera et al. 2022)","noteIndex":0},"citationItems":[{"id":1427,"uris":["http://zotero.org/users/10320770/items/W2JGX6YN"],"itemData":{"id":1427,"type":"article-journal","abstract":"Electrical signaling in animals ensures the rapid and accurate transmission of information, often carried by voltage-gated Na+, Ca2+ and K+ channels that are activated by membrane depolarization. In heart and neurons, a distinct type of ion channel called the hyperpolarization-activated, cyclic nucleotide-regulated (HCN) channel is activated by membrane hyperpolarization. Recent genomic studies have revealed that animal-type voltage-gated Na+ channels (Liebeskind BJ, et al. 2011. Proc Natl Acad Sci U S A. 108:9154) had evolved in choanoflagellates, one of the unicellular relatives of animals. To date, HCN channels have been considered to be animal-specific. Here, we demonstrate the presence of an HCN channel homolog (SroHCN) in the choanoflagellate protist Salpingoeca rosetta. SroHCN contains highly conserved functional domains and sequence motifs that are correlated with the unique biophysical activities of HCN channels. These findings provide novel genomic insights into the evolution of complex electrical signaling before the emergence of multicellular animals.","container-title":"Genomics","DOI":"10.1016/j.ygeno.2012.01.007","ISSN":"0888-7543","issue":"4","journalAbbreviation":"Genomics","language":"en","page":"241-245","source":"ScienceDirect","title":"Evolutionary genomics reveals the premetazoan origin of opposite gating polarity in animal-type voltage-gated ion channels","volume":"99","author":[{"family":"Cai","given":"Xinjiang"}],"issued":{"date-parts":[["2012",4,1]]}}},{"id":1509,"uris":["http://zotero.org/users/10320770/items/D6BUXZHP"],"itemData":{"id":1509,"type":"article-journal","abstract":"Although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1074DB">
              <w:rPr>
                <w:sz w:val="20"/>
                <w:szCs w:val="20"/>
              </w:rPr>
              <w:fldChar w:fldCharType="separate"/>
            </w:r>
            <w:r>
              <w:rPr>
                <w:noProof/>
                <w:sz w:val="20"/>
                <w:szCs w:val="20"/>
              </w:rPr>
              <w:t>(Cai 2012b; Reyes-Rivera et al. 2022)</w:t>
            </w:r>
            <w:r w:rsidRPr="001074DB">
              <w:rPr>
                <w:sz w:val="20"/>
                <w:szCs w:val="20"/>
              </w:rPr>
              <w:fldChar w:fldCharType="end"/>
            </w:r>
          </w:p>
        </w:tc>
        <w:tc>
          <w:tcPr>
            <w:tcW w:w="2136" w:type="dxa"/>
            <w:vAlign w:val="center"/>
          </w:tcPr>
          <w:p w14:paraId="6B5607AB" w14:textId="4612CCBF"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{"citationID":"wdG18V9s","properties":{"formattedCitation":"(Cai 2012b; Reyes-Rivera et al. 2022)","plainCitation":"(Cai 2012b; Reyes-Rivera et al. 2022)","noteIndex":0},"citationItems":[{"id":1427,"uris":["http://zotero.org/users/10320770/items/W2JGX6YN"],"itemData":{"id":1427,"type":"article-journal","abstract":"Electrical signaling in animals ensures the rapid and accurate transmission of information, often carried by voltage-gated Na+, Ca2+ and K+ channels that are activated by membrane depolarization. In heart and neurons, a distinct type of ion channel called the hyperpolarization-activated, cyclic nucleotide-regulated (HCN) channel is activated by membrane hyperpolarization. Recent genomic studies have revealed that animal-type voltage-gated Na+ channels (Liebeskind BJ, et al. 2011. Proc Natl Acad Sci U S A. 108:9154) had evolved in choanoflagellates, one of the unicellular relatives of animals. To date, HCN channels have been considered to be animal-specific. Here, we demonstrate the presence of an HCN channel homolog (SroHCN) in the choanoflagellate protist Salpingoeca rosetta. SroHCN contains highly conserved functional domains and sequence motifs that are correlated with the unique biophysical activities of HCN channels. These findings provide novel genomic insights into the evolution of complex electrical signaling before the emergence of multicellular animals.","container-title":"Genomics","DOI":"10.1016/j.ygeno.2012.01.007","ISSN":"0888-7543","issue":"4","journalAbbreviation":"Genomics","language":"en","page":"241-245","source":"ScienceDirect","title":"Evolutionary genomics reveals the premetazoan origin of opposite gating polarity in animal-type voltage-gated ion channels","volume":"99","author":[{"family":"Cai","given":"Xinjiang"}],"issued":{"date-parts":[["2012",4,1]]}}},{"id":1509,"uris":["http://zotero.org/users/10320770/items/D6BUXZHP"],"itemData":{"id":1509,"type":"article-journal","abstract":"Although signaling by the gaseous molecule nitric oxide (NO) regulates key physiological processes in animals, including contractility,1, 2, 3 immunity,4,5 development,6, 7, 8, 9 and locomotion,10,11 the early evolution of animal NO signaling remains unclear. To reconstruct the role of NO in the animal stem lineage, we set out to study NO signaling in choanoflagellates, the closest living relatives of animals.12 In animals, NO produced by the nitric oxide synthase (NOS) canonically signals through cGMP by activating soluble guanylate cyclases (sGCs).13,14 We surveyed the distribution of the NO signaling pathway components across the diversity of choanoflagellates and found three species that express NOS (of either bacterial or eukaryotic origin), sGCs, and downstream genes previously shown to be involved in the NO/cGMP pathway. One of the species coexpressing sGCs and a bacterial-type NOS, Choanoeca flexa, forms multicellular sheets that undergo collective contractions controlled by cGMP.15 We found that treatment with NO induces cGMP synthesis and contraction in C. flexa. Biochemical assays show that NO directly binds C. flexa sGC1 and stimulates its cyclase activity. The NO/cGMP pathway acts independently from other inducers of C. flexa contraction, including mechanical stimuli and heat, but sGC activity is required for contractions induced by light-to-dark transitions. The output of NO signaling in C. flexa—contractions resulting in a switch from feeding to swimming—resembles the effect of NO in sponges1, 2, 3 and cnidarians,11,16,17 where it interrupts feeding and activates contractility. These data provide insights into the biology of the first animals and the evolution of NO signaling.","container-title":"Current Biology","DOI":"10.1016/j.cub.2022.04.017","ISSN":"0960-9822","issue":"11","journalAbbreviation":"Current Biology","language":"en","page":"2539-2547.e5","source":"ScienceDirect","title":"Nitric oxide signaling controls collective contractions in a colonial choanoflagellate","volume":"32","author":[{"family":"Reyes-Rivera","given":"Josean"},{"family":"Wu","given":"Yang"},{"family":"Guthrie","given":"Benjamin G. H."},{"family":"Marletta","given":"Michael A."},{"family":"King","given":"Nicole"},{"family":"Brunet","given":"Thibaut"}],"issued":{"date-parts":[["2022",6,6]]}}}],"schema":"https://github.com/citation-style-language/schema/raw/master/csl-citation.json"} </w:instrText>
            </w:r>
            <w:r w:rsidRPr="001074DB">
              <w:rPr>
                <w:sz w:val="20"/>
                <w:szCs w:val="20"/>
              </w:rPr>
              <w:fldChar w:fldCharType="separate"/>
            </w:r>
            <w:r>
              <w:rPr>
                <w:noProof/>
                <w:sz w:val="20"/>
                <w:szCs w:val="20"/>
              </w:rPr>
              <w:t>(Cai 2012b; Reyes-Rivera et al. 2022)</w:t>
            </w:r>
            <w:r w:rsidRPr="001074DB">
              <w:rPr>
                <w:sz w:val="20"/>
                <w:szCs w:val="20"/>
              </w:rPr>
              <w:fldChar w:fldCharType="end"/>
            </w:r>
          </w:p>
        </w:tc>
      </w:tr>
      <w:tr w:rsidR="00827F91" w:rsidRPr="00445ABA" w14:paraId="41C3A8DD" w14:textId="77777777" w:rsidTr="001C1FB8">
        <w:tc>
          <w:tcPr>
            <w:tcW w:w="1896" w:type="dxa"/>
            <w:vAlign w:val="center"/>
          </w:tcPr>
          <w:p w14:paraId="32EECB0F" w14:textId="77777777" w:rsidR="00827F91" w:rsidRPr="001074DB" w:rsidRDefault="00827F91" w:rsidP="001C1FB8">
            <w:pPr>
              <w:keepNext/>
              <w:keepLines/>
              <w:pageBreakBefore/>
              <w:jc w:val="center"/>
              <w:rPr>
                <w:sz w:val="20"/>
                <w:szCs w:val="20"/>
              </w:rPr>
            </w:pPr>
            <w:r w:rsidRPr="001074DB">
              <w:rPr>
                <w:sz w:val="20"/>
                <w:szCs w:val="20"/>
              </w:rPr>
              <w:t>Phosphodiesterase</w:t>
            </w:r>
          </w:p>
        </w:tc>
        <w:tc>
          <w:tcPr>
            <w:tcW w:w="2594" w:type="dxa"/>
            <w:vAlign w:val="center"/>
          </w:tcPr>
          <w:p w14:paraId="0DF0DF8F" w14:textId="77777777" w:rsidR="00827F91" w:rsidRPr="005E5C29" w:rsidRDefault="00827F91" w:rsidP="001C1FB8">
            <w:pPr>
              <w:keepNext/>
              <w:keepLines/>
              <w:pageBreakBefore/>
              <w:jc w:val="center"/>
              <w:rPr>
                <w:i/>
                <w:iCs/>
                <w:sz w:val="20"/>
                <w:szCs w:val="20"/>
              </w:rPr>
            </w:pPr>
            <w:r w:rsidRPr="001074DB">
              <w:rPr>
                <w:iCs/>
                <w:sz w:val="20"/>
                <w:szCs w:val="20"/>
              </w:rPr>
              <w:t>accession number</w:t>
            </w:r>
            <w:r>
              <w:rPr>
                <w:iCs/>
                <w:sz w:val="20"/>
                <w:szCs w:val="20"/>
              </w:rPr>
              <w:t>:</w:t>
            </w:r>
            <w:r w:rsidRPr="001074DB">
              <w:rPr>
                <w:iCs/>
                <w:sz w:val="20"/>
                <w:szCs w:val="20"/>
              </w:rPr>
              <w:t xml:space="preserve"> MONBRDRAFT_9955</w:t>
            </w:r>
          </w:p>
        </w:tc>
        <w:tc>
          <w:tcPr>
            <w:tcW w:w="3150" w:type="dxa"/>
            <w:vAlign w:val="center"/>
          </w:tcPr>
          <w:p w14:paraId="6CBD3402"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{"citationID":"7ZHrWP6o","properties":{"formattedCitation":"(Brunet et al. 2019)","plainCitation":"(Brunet et al. 2019)","noteIndex":0},"citationItems":[{"id":1032,"uris":["http://zotero.org/users/10320770/items/FCIL4AB8"],"itemData":{"id":1032,"type":"article-journal","abstract":"Collective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Pr>
                <w:noProof/>
                <w:sz w:val="20"/>
                <w:szCs w:val="20"/>
              </w:rPr>
              <w:t>(Brunet et al. 2019)</w:t>
            </w:r>
            <w:r w:rsidRPr="001074DB">
              <w:rPr>
                <w:sz w:val="20"/>
                <w:szCs w:val="20"/>
              </w:rPr>
              <w:fldChar w:fldCharType="end"/>
            </w:r>
          </w:p>
        </w:tc>
        <w:tc>
          <w:tcPr>
            <w:tcW w:w="2136" w:type="dxa"/>
            <w:vAlign w:val="center"/>
          </w:tcPr>
          <w:p w14:paraId="3181205F"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{"citationID":"NHVpKZMq","properties":{"formattedCitation":"(Fairclough et al. 2013; Brunet et al. 2019)","plainCitation":"(Fairclough et al. 2013; Brunet et al. 2019)","dontUpdate":true,"noteIndex":0},"citationItems":[{"id":129,"uris":["http://zotero.org/users/10320770/items/KD6JM3B3"],"itemData":{"id":129,"type":"article-journal","abstract":"BACKGROUND: Metazoan multicellularity is rooted in mechanisms of cell adhesion, signaling, and differentiation that first evolved in the progenitors of metazoans. To reconstruct the genome composition of metazoan ancestors, we sequenced the genome and transcriptome of the choanoflagellate Salpingoeca rosetta, a close relative of metazoans that forms rosette-shaped colonies of cells.\nRESULTS: A comparison of the 55 Mb S. rosetta genome with genomes from diverse opisthokonts suggests that the origin of metazoans was preceded by a period of dynamic gene gain and loss. The S. rosetta genome encodes homologs of cell adhesion, neuropeptide, and glycosphingolipid metabolism genes previously found only in metazoans and expands the repertoire of genes inferred to have been present in the progenitors of metazoans and choanoflagellates. Transcriptome analysis revealed that all four S. rosetta septins are upregulated in colonies relative to single cells, suggesting that these conserved cytokinesis proteins may regulate incomplete cytokinesis during colony development. Furthermore, genes shared exclusively by metazoans and choanoflagellates were disproportionately upregulated in colonies and the single cells from which they develop.\nCONCLUSIONS: The S. rosetta genome sequence refines the catalog of metazoan-specific genes while also extending the evolutionary history of certain gene families that are central to metazoan biology. Transcriptome data suggest that conserved cytokinesis genes, including septins, may contribute to S. rosetta colony formation and indicate that the initiation of colony development may preferentially draw upon genes shared with metazoans, while later stages of colony maturation are likely regulated by genes unique to S. rosetta.","container-title":"Genome Biology","DOI":"10.1186/gb-2013-14-2-r15","ISSN":"1474-760X","issue":"2","journalAbbreviation":"Genome Biol.","language":"eng","note":"PMID: 23419129\nPMCID: PMC4054682","page":"R15","source":"PubMed","title":"Premetazoan genome evolution and the regulation of cell differentiation in the choanoflagellate Salpingoeca rosetta","volume":"14","author":[{"family":"Fairclough","given":"Stephen R."},{"family":"Chen","given":"Zehua"},{"family":"Kramer","given":"Eric"},{"family":"Zeng","given":"Qiandong"},{"family":"Young","given":"Sarah"},{"family":"Robertson","given":"Hugh M."},{"family":"Begovic","given":"Emina"},{"family":"Richter","given":"Daniel J."},{"family":"Russ","given":"Carsten"},{"family":"Westbrook","given":"M. Jody"},{"family":"Manning","given":"Gerard"},{"family":"Lang","given":"B. Franz"},{"family":"Haas","given":"Brian"},{"family":"Nusbaum","given":"Chad"},{"family":"King","given":"Nicole"}],"issued":{"date-parts":[["2013",2,18]]}}},{"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sidRPr="001074DB">
              <w:rPr>
                <w:noProof/>
                <w:sz w:val="20"/>
                <w:szCs w:val="20"/>
              </w:rPr>
              <w:t>(Fairclough et al. 2013)</w:t>
            </w:r>
            <w:r w:rsidRPr="001074DB">
              <w:rPr>
                <w:sz w:val="20"/>
                <w:szCs w:val="20"/>
              </w:rPr>
              <w:fldChar w:fldCharType="end"/>
            </w:r>
          </w:p>
        </w:tc>
      </w:tr>
      <w:tr w:rsidR="00827F91" w:rsidRPr="00445ABA" w14:paraId="5CBAD32A" w14:textId="77777777" w:rsidTr="001C1FB8">
        <w:tc>
          <w:tcPr>
            <w:tcW w:w="1896" w:type="dxa"/>
            <w:vAlign w:val="center"/>
          </w:tcPr>
          <w:p w14:paraId="0A3203A6" w14:textId="77777777" w:rsidR="00827F91" w:rsidRPr="001074DB" w:rsidRDefault="00827F91" w:rsidP="001C1FB8">
            <w:pPr>
              <w:keepNext/>
              <w:keepLines/>
              <w:pageBreakBefore/>
              <w:jc w:val="center"/>
              <w:rPr>
                <w:sz w:val="20"/>
                <w:szCs w:val="20"/>
              </w:rPr>
            </w:pPr>
            <w:r w:rsidRPr="001074DB">
              <w:rPr>
                <w:sz w:val="20"/>
                <w:szCs w:val="20"/>
              </w:rPr>
              <w:t>Phospholipase C (PLC)</w:t>
            </w:r>
          </w:p>
        </w:tc>
        <w:tc>
          <w:tcPr>
            <w:tcW w:w="2594" w:type="dxa"/>
            <w:vAlign w:val="center"/>
          </w:tcPr>
          <w:p w14:paraId="3BC2B738" w14:textId="77777777" w:rsidR="00827F91" w:rsidRPr="001074DB" w:rsidRDefault="00827F91" w:rsidP="001C1FB8">
            <w:pPr>
              <w:keepNext/>
              <w:keepLines/>
              <w:pageBreakBefore/>
              <w:jc w:val="center"/>
              <w:rPr>
                <w:iCs/>
                <w:sz w:val="20"/>
                <w:szCs w:val="20"/>
              </w:rPr>
            </w:pPr>
            <w:r>
              <w:rPr>
                <w:iCs/>
                <w:sz w:val="20"/>
                <w:szCs w:val="20"/>
              </w:rPr>
              <w:t>See NCBI database</w:t>
            </w:r>
          </w:p>
        </w:tc>
        <w:tc>
          <w:tcPr>
            <w:tcW w:w="3150" w:type="dxa"/>
            <w:vAlign w:val="center"/>
          </w:tcPr>
          <w:p w14:paraId="37FBB6DC" w14:textId="77777777" w:rsidR="00827F91" w:rsidRPr="001074DB" w:rsidRDefault="00827F91" w:rsidP="001C1FB8">
            <w:pPr>
              <w:keepNext/>
              <w:keepLines/>
              <w:pageBreakBefore/>
              <w:jc w:val="center"/>
              <w:rPr>
                <w:sz w:val="20"/>
                <w:szCs w:val="20"/>
              </w:rPr>
            </w:pPr>
            <w:r w:rsidRPr="001074DB">
              <w:rPr>
                <w:iCs/>
                <w:sz w:val="20"/>
                <w:szCs w:val="20"/>
              </w:rPr>
              <w:t>accession numbers in proteome</w:t>
            </w:r>
            <w:r>
              <w:rPr>
                <w:iCs/>
                <w:sz w:val="20"/>
                <w:szCs w:val="20"/>
              </w:rPr>
              <w:t xml:space="preserve">: </w:t>
            </w:r>
            <w:r w:rsidRPr="001074DB">
              <w:rPr>
                <w:sz w:val="20"/>
                <w:szCs w:val="20"/>
              </w:rPr>
              <w:t>TRINITY_DN10872_c0_g1_i3.p1,</w:t>
            </w:r>
            <w:r w:rsidRPr="001074DB">
              <w:rPr>
                <w:iCs/>
                <w:sz w:val="20"/>
                <w:szCs w:val="20"/>
              </w:rPr>
              <w:t xml:space="preserve"> </w:t>
            </w:r>
            <w:r w:rsidRPr="001074DB">
              <w:rPr>
                <w:sz w:val="20"/>
                <w:szCs w:val="20"/>
              </w:rPr>
              <w:t>TRINITY_DN10890_c0_g1_i2.p1,</w:t>
            </w:r>
            <w:r w:rsidRPr="001074DB">
              <w:rPr>
                <w:iCs/>
                <w:sz w:val="20"/>
                <w:szCs w:val="20"/>
              </w:rPr>
              <w:t xml:space="preserve"> </w:t>
            </w:r>
            <w:r w:rsidRPr="001074DB">
              <w:rPr>
                <w:sz w:val="20"/>
                <w:szCs w:val="20"/>
              </w:rPr>
              <w:t>TRINITY_DN11963_c0_g1_i1.p1</w:t>
            </w:r>
            <w:r w:rsidRPr="001074DB">
              <w:rPr>
                <w:iCs/>
                <w:sz w:val="20"/>
                <w:szCs w:val="20"/>
              </w:rPr>
              <w:t xml:space="preserve">, </w:t>
            </w:r>
            <w:r w:rsidRPr="001074DB">
              <w:rPr>
                <w:sz w:val="20"/>
                <w:szCs w:val="20"/>
              </w:rPr>
              <w:t>TRINITY_DN7664_c1_g1_i1.p1,</w:t>
            </w:r>
            <w:r w:rsidRPr="001074DB">
              <w:rPr>
                <w:iCs/>
                <w:sz w:val="20"/>
                <w:szCs w:val="20"/>
              </w:rPr>
              <w:t xml:space="preserve"> </w:t>
            </w:r>
            <w:r w:rsidRPr="001074DB">
              <w:rPr>
                <w:sz w:val="20"/>
                <w:szCs w:val="20"/>
              </w:rPr>
              <w:t>TRINITY_DN5227_c1_g1_i1.p1,</w:t>
            </w:r>
            <w:r w:rsidRPr="001074DB">
              <w:rPr>
                <w:iCs/>
                <w:sz w:val="20"/>
                <w:szCs w:val="20"/>
              </w:rPr>
              <w:t xml:space="preserve"> </w:t>
            </w:r>
            <w:r w:rsidRPr="001074DB">
              <w:rPr>
                <w:sz w:val="20"/>
                <w:szCs w:val="20"/>
              </w:rPr>
              <w:t>TRINITY_DN8394_c0_g2_i2.p1,</w:t>
            </w:r>
            <w:r w:rsidRPr="001074DB">
              <w:rPr>
                <w:iCs/>
                <w:sz w:val="20"/>
                <w:szCs w:val="20"/>
              </w:rPr>
              <w:t xml:space="preserve"> </w:t>
            </w:r>
            <w:r w:rsidRPr="001074DB">
              <w:rPr>
                <w:sz w:val="20"/>
                <w:szCs w:val="20"/>
              </w:rPr>
              <w:t>TRINITY_DN9983_c0_g1_i1.p1,</w:t>
            </w:r>
            <w:r w:rsidRPr="001074DB">
              <w:rPr>
                <w:iCs/>
                <w:sz w:val="20"/>
                <w:szCs w:val="20"/>
              </w:rPr>
              <w:t xml:space="preserve"> </w:t>
            </w:r>
            <w:r w:rsidRPr="001074DB">
              <w:rPr>
                <w:sz w:val="20"/>
                <w:szCs w:val="20"/>
              </w:rPr>
              <w:t>TRINITY_DN9728_c0_g2_i2.p1,</w:t>
            </w:r>
            <w:r w:rsidRPr="001074DB">
              <w:rPr>
                <w:iCs/>
                <w:sz w:val="20"/>
                <w:szCs w:val="20"/>
              </w:rPr>
              <w:t xml:space="preserve"> </w:t>
            </w:r>
            <w:r w:rsidRPr="001074DB">
              <w:rPr>
                <w:sz w:val="20"/>
                <w:szCs w:val="20"/>
              </w:rPr>
              <w:t>TRINITY_DN8399_c0_g1_i1.p1</w:t>
            </w:r>
          </w:p>
        </w:tc>
        <w:tc>
          <w:tcPr>
            <w:tcW w:w="2136" w:type="dxa"/>
            <w:vAlign w:val="center"/>
          </w:tcPr>
          <w:p w14:paraId="4EA2F5C1"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{"citationID":"ghSm19Ok","properties":{"formattedCitation":"(Fairclough et al. 2013; Brunet et al. 2019)","plainCitation":"(Fairclough et al. 2013; Brunet et al. 2019)","dontUpdate":true,"noteIndex":0},"citationItems":[{"id":129,"uris":["http://zotero.org/users/10320770/items/KD6JM3B3"],"itemData":{"id":129,"type":"article-journal","abstract":"BACKGROUND: Metazoan multicellularity is rooted in mechanisms of cell adhesion, signaling, and differentiation that first evolved in the progenitors of metazoans. To reconstruct the genome composition of metazoan ancestors, we sequenced the genome and transcriptome of the choanoflagellate Salpingoeca rosetta, a close relative of metazoans that forms rosette-shaped colonies of cells.\nRESULTS: A comparison of the 55 Mb S. rosetta genome with genomes from diverse opisthokonts suggests that the origin of metazoans was preceded by a period of dynamic gene gain and loss. The S. rosetta genome encodes homologs of cell adhesion, neuropeptide, and glycosphingolipid metabolism genes previously found only in metazoans and expands the repertoire of genes inferred to have been present in the progenitors of metazoans and choanoflagellates. Transcriptome analysis revealed that all four S. rosetta septins are upregulated in colonies relative to single cells, suggesting that these conserved cytokinesis proteins may regulate incomplete cytokinesis during colony development. Furthermore, genes shared exclusively by metazoans and choanoflagellates were disproportionately upregulated in colonies and the single cells from which they develop.\nCONCLUSIONS: The S. rosetta genome sequence refines the catalog of metazoan-specific genes while also extending the evolutionary history of certain gene families that are central to metazoan biology. Transcriptome data suggest that conserved cytokinesis genes, including septins, may contribute to S. rosetta colony formation and indicate that the initiation of colony development may preferentially draw upon genes shared with metazoans, while later stages of colony maturation are likely regulated by genes unique to S. rosetta.","container-title":"Genome Biology","DOI":"10.1186/gb-2013-14-2-r15","ISSN":"1474-760X","issue":"2","journalAbbreviation":"Genome Biol.","language":"eng","note":"PMID: 23419129\nPMCID: PMC4054682","page":"R15","source":"PubMed","title":"Premetazoan genome evolution and the regulation of cell differentiation in the choanoflagellate Salpingoeca rosetta","volume":"14","author":[{"family":"Fairclough","given":"Stephen R."},{"family":"Chen","given":"Zehua"},{"family":"Kramer","given":"Eric"},{"family":"Zeng","given":"Qiandong"},{"family":"Young","given":"Sarah"},{"family":"Robertson","given":"Hugh M."},{"family":"Begovic","given":"Emina"},{"family":"Richter","given":"Daniel J."},{"family":"Russ","given":"Carsten"},{"family":"Westbrook","given":"M. Jody"},{"family":"Manning","given":"Gerard"},{"family":"Lang","given":"B. Franz"},{"family":"Haas","given":"Brian"},{"family":"Nusbaum","given":"Chad"},{"family":"King","given":"Nicole"}],"issued":{"date-parts":[["2013",2,18]]}}},{"id":1032,"uris":["http://zotero.org/users/10320770/items/FCIL4AB8"],"itemData":{"id":1032,"type":"article-journal","abstract":"Collective cell contractions that generate global tissue deformations are a signature feature of animal movement and morphogenesis. However, the origin of collective contractility in animals remains unclear. While surveying the Caribbean island of Curaçao for choanoflagellates, the closest living relatives of animals, we isolated a previously undescribed species (here named Choanoeca flexa sp. nov.) that forms multicellular cup-shaped colonies. The colonies rapidly invert their curvature in response to changing light levels, which they detect through a rhodopsin-cyclic guanosine monophosphate pathway. Inversion requires actomyosin-mediated apical contractility and allows alternation between feeding and swimming behavior. C. flexa thus rapidly converts sensory inputs directly into multicellular contractions. These findings may inform reconstructions of hypothesized animal ancestors that existed before the evolution of specialized sensory and contractile cells.","container-title":"Science","DOI":"10.1126/science.aay2346","ISSN":"1095-9203","issue":"6463","journalAbbreviation":"Science","language":"eng","note":"PMID: 31624206","page":"326-334","source":"PubMed","title":"Light-regulated collective contractility in a multicellular choanoflagellate","volume":"366","author":[{"family":"Brunet","given":"Thibaut"},{"family":"Larson","given":"Ben T."},{"family":"Linden","given":"Tess A."},{"family":"Vermeij","given":"Mark J. A."},{"family":"McDonald","given":"Kent"},{"family":"King","given":"Nicole"}],"issued":{"date-parts":[["2019"]],"season":"18"}}}],"schema":"https://github.com/citation-style-language/schema/raw/master/csl-citation.json"} </w:instrText>
            </w:r>
            <w:r w:rsidRPr="001074DB">
              <w:rPr>
                <w:sz w:val="20"/>
                <w:szCs w:val="20"/>
              </w:rPr>
              <w:fldChar w:fldCharType="separate"/>
            </w:r>
            <w:r w:rsidRPr="001074DB">
              <w:rPr>
                <w:noProof/>
                <w:sz w:val="20"/>
                <w:szCs w:val="20"/>
              </w:rPr>
              <w:t>(Fairclough et al. 2013)</w:t>
            </w:r>
            <w:r w:rsidRPr="001074DB">
              <w:rPr>
                <w:sz w:val="20"/>
                <w:szCs w:val="20"/>
              </w:rPr>
              <w:fldChar w:fldCharType="end"/>
            </w:r>
          </w:p>
        </w:tc>
      </w:tr>
      <w:tr w:rsidR="00827F91" w:rsidRPr="00445ABA" w14:paraId="2758CE85" w14:textId="77777777" w:rsidTr="001C1FB8">
        <w:tc>
          <w:tcPr>
            <w:tcW w:w="1896" w:type="dxa"/>
            <w:vAlign w:val="center"/>
          </w:tcPr>
          <w:p w14:paraId="0643DB3C" w14:textId="77777777" w:rsidR="00827F91" w:rsidRPr="001074DB" w:rsidRDefault="00827F91" w:rsidP="001C1FB8">
            <w:pPr>
              <w:keepNext/>
              <w:keepLines/>
              <w:pageBreakBefore/>
              <w:jc w:val="center"/>
              <w:rPr>
                <w:sz w:val="20"/>
                <w:szCs w:val="20"/>
              </w:rPr>
            </w:pPr>
            <w:r w:rsidRPr="001074DB">
              <w:rPr>
                <w:sz w:val="20"/>
                <w:szCs w:val="20"/>
              </w:rPr>
              <w:t>IP3 receptor</w:t>
            </w:r>
          </w:p>
        </w:tc>
        <w:tc>
          <w:tcPr>
            <w:tcW w:w="2594" w:type="dxa"/>
            <w:vAlign w:val="center"/>
          </w:tcPr>
          <w:p w14:paraId="743E52A1" w14:textId="77777777" w:rsidR="00827F91" w:rsidRPr="001074DB" w:rsidRDefault="00827F91" w:rsidP="001C1FB8">
            <w:pPr>
              <w:keepNext/>
              <w:keepLines/>
              <w:pageBreakBefore/>
              <w:jc w:val="center"/>
              <w:rPr>
                <w:iCs/>
                <w:sz w:val="20"/>
                <w:szCs w:val="20"/>
              </w:rPr>
            </w:pPr>
            <w:r w:rsidRPr="001074DB">
              <w:rPr>
                <w:sz w:val="20"/>
                <w:szCs w:val="20"/>
              </w:rPr>
              <w:fldChar w:fldCharType="begin"/>
            </w:r>
            <w:r w:rsidRPr="001074DB">
              <w:rPr>
                <w:sz w:val="20"/>
                <w:szCs w:val="20"/>
              </w:rPr>
              <w:instrText xml:space="preserve"> ADDIN ZOTERO_ITEM CSL_CITATION {"citationID":"KRJCsqte","properties":{"formattedCitation":"(Cai and Clapham 2012; Burkhardt et al. 2014; Rosa et al. 2021)","plainCitation":"(Cai and Clapham 2012; Burkhardt et al. 2014; Rosa et al. 2021)","noteIndex":0},"citationItems":[{"id":94,"uris":["http://zotero.org/users/10320770/items/JQ6JKM96"],"itemData":{"id":94,"type":"article-journal","abstract":"Reconstructing the evolution and ancestral functions of synaptic proteins promises to shed light on how neurons first evolved. The postsynaptic density (PSD) protein Homer scaffolds membrane receptors and regulates Ca(2+) signaling in diverse metazoan cell types (including neurons and muscle cells), yet its ancestry and core functions are poorly understood. We find that the protein domain organization and essential biochemical properties of metazoan Homer proteins, including their ability to tetramerize, are conserved in the choanoflagellate Salpingoeca rosetta, one of the closest living relatives of metazoans. Unlike in neurons, Homer localizes to the nucleoplasm in S. rosetta and interacts directly with Flotillin, a protein more commonly associated with cell membranes. Surprisingly, we found that the Homer/Flotillin interaction and its localization to the nucleus are conserved in metazoan astrocytes. These findings suggest that Homer originally interacted with Flotillin in the nucleus of the last common ancestor of metazoans and choanoflagellates and was later co-opted to function as a membrane receptor scaffold in the PSD.","container-title":"Molecular Biology and Evolution","DOI":"10.1093/molbev/msu178","ISSN":"1537-1719","issue":"9","journalAbbreviation":"Mol. Biol. Evol.","language":"eng","note":"PMID: 24899667\nPMCID: PMC4137706","page":"2342-2355","source":"PubMed","title":"Evolutionary insights into premetazoan functions of the neuronal protein homer","volume":"31","author":[{"family":"Burkhardt","given":"Pawel"},{"family":"Grønborg","given":"Mads"},{"family":"McDonald","given":"Kent"},{"family":"Sulur","given":"Tara"},{"family":"Wang","given":"Qi"},{"family":"King","given":"Nicole"}],"issued":{"date-parts":[["2014",9]]}}},{"id":1424,"uris":["http://zotero.org/users/10320770/items/AAWXYRFD"],"itemData":{"id":1424,"type":"article-journal","abstract":"Animals and fungi diverged from a common unicellular ancestor of Opisthokonta, yet they exhibit significant differences in their components of Ca2+ signaling pathways. Many Ca2+ signaling molecules appear to be either animal-specific or fungal-specific, which is generally believed to result from lineage-specific adaptations to distinct physiological requirements. Here, by analyzing the genomic data from several close relatives of animals and fungi, we demonstrate that many components of animal and fungal Ca2+ signaling machineries are present in the apusozoan protist Thecamonas trahens, which belongs to the putative unicellular sister group to Opisthokonta. We also identify the conserved portion of Ca2+ signaling molecules in early evolution of animals and fungi following their divergence. Furthermore, our results reveal the lineage-specific expansion of Ca2+ channels and transporters in the unicellular ancestors of animals and in basal fungi. These findings provide novel insights into the evolution and regulation of Ca2+ signaling critical for animal and fungal biology.","container-title":"Molecular Biology and Evolution","DOI":"10.1093/molbev/msr149","ISSN":"0737-4038","issue":"1","journalAbbreviation":"Molecular Biology and Evolution","page":"91-100","source":"Silverchair","title":"Ancestral Ca2+ Signaling Machinery in Early Animal and Fungal Evolution","volume":"29","author":[{"family":"Cai","given":"Xinjiang"},{"family":"Clapham","given":"David E."}],"issued":{"date-parts":[["2012",1,1]]}}},{"id":1421,"uris":["http://zotero.org/users/10320770/items/WP3727H4"],"itemData":{"id":1421,"type":"article-journal","abstract":"Recently, a functional IP3R ortholog (CO.IP3R-A) capable of IP3-induced Ca2+ release has been discovered in Capsaspora owczarzaki, a close unicellular relative to Metazoa. In contrast to mammalian IP3Rs, CO.IP3R-A is not modulated by Ca2+, ATP or PKA. Protein-sequence analysis revealed that CO.IP3R-A contained a putative binding site for anti-apoptotic Bcl-2, although Bcl-2 was not detected in Capsaspora owczarzaki and only appeared in Metazoa. Here, we examined whether human Bcl-2 could form a complex with CO.IP3R-A channels and modulate their Ca2+-flux properties using ectopic expression approaches in a HEK293 cell model in which all three IP3R isoforms were knocked out. We demonstrate that human Bcl-2 via its BH4 domain could functionally interact with CO.IP3R-A, thereby suppressing Ca2+ flux through CO.IP3R-A channels. The BH4 domain of Bcl-2 was sufficient for interaction with CO.IP3R-A channels. Moreover, mutating the Lys17 of Bcl-2's BH4 domain, the residue critical for Bcl-2-dependent modulation of mammalian IP3Rs, abrogated Bcl-2's ability to bind and inhibit CO.IP3R-A channels. Hence, this raises the possibility that a unicellular ancestor of animals already had an IP3R that harbored a Bcl-2-binding site. Bcl-2 proteins may have evolved as controllers of IP3R function by exploiting this pre-existing site, thereby counteracting Ca2+-dependent apoptosis.","container-title":"Biochimica et Biophysica Acta (BBA) - Molecular Cell Research","DOI":"10.1016/j.bbamcr.2021.119121","ISSN":"0167-4889","issue":"12","journalAbbreviation":"Biochimica et Biophysica Acta (BBA) - Molecular Cell Research","language":"en","page":"119121","source":"ScienceDirect","title":"Tracing the evolutionary history of Ca2+-signaling modulation by human Bcl-2: Insights from the Capsaspora owczarzaki IP3 receptor ortholog","title-short":"Tracing the evolutionary history of Ca2+-signaling modulation by human Bcl-2","volume":"1868","author":[{"family":"Rosa","given":"Nicolas"},{"family":"Shabardina","given":"Victoria"},{"family":"Ivanova","given":"Hristina"},{"family":"Sebé-Pedrós","given":"Arnau"},{"family":"Yule","given":"David I."},{"family":"Bultynck","given":"Geert"}],"issued":{"date-parts":[["2021",11,1]]}}}],"schema":"https://github.com/citation-style-language/schema/raw/master/csl-citation.json"} </w:instrText>
            </w:r>
            <w:r w:rsidRPr="001074DB">
              <w:rPr>
                <w:sz w:val="20"/>
                <w:szCs w:val="20"/>
              </w:rPr>
              <w:fldChar w:fldCharType="separate"/>
            </w:r>
            <w:r>
              <w:rPr>
                <w:noProof/>
                <w:sz w:val="20"/>
                <w:szCs w:val="20"/>
              </w:rPr>
              <w:t>(Cai and Clapham 2012; Burkhardt et al. 2014; Rosa et al. 2021)</w:t>
            </w:r>
            <w:r w:rsidRPr="001074DB">
              <w:rPr>
                <w:sz w:val="20"/>
                <w:szCs w:val="20"/>
              </w:rPr>
              <w:fldChar w:fldCharType="end"/>
            </w:r>
          </w:p>
        </w:tc>
        <w:tc>
          <w:tcPr>
            <w:tcW w:w="3150" w:type="dxa"/>
            <w:vAlign w:val="center"/>
          </w:tcPr>
          <w:p w14:paraId="15F4CF6B" w14:textId="77777777" w:rsidR="00827F91" w:rsidRPr="001074DB" w:rsidRDefault="00827F91" w:rsidP="001C1FB8">
            <w:pPr>
              <w:keepNext/>
              <w:keepLines/>
              <w:pageBreakBefore/>
              <w:jc w:val="center"/>
              <w:rPr>
                <w:sz w:val="20"/>
                <w:szCs w:val="20"/>
              </w:rPr>
            </w:pPr>
            <w:r w:rsidRPr="001074DB">
              <w:rPr>
                <w:sz w:val="20"/>
                <w:szCs w:val="20"/>
              </w:rPr>
              <w:t>accession numbers</w:t>
            </w:r>
            <w:r>
              <w:rPr>
                <w:sz w:val="20"/>
                <w:szCs w:val="20"/>
              </w:rPr>
              <w:t xml:space="preserve"> in proteome: </w:t>
            </w:r>
            <w:r w:rsidRPr="001074DB">
              <w:rPr>
                <w:sz w:val="20"/>
                <w:szCs w:val="20"/>
              </w:rPr>
              <w:t>TRINITY_DN11373_c0_g1_i</w:t>
            </w:r>
            <w:proofErr w:type="gramStart"/>
            <w:r w:rsidRPr="001074DB">
              <w:rPr>
                <w:sz w:val="20"/>
                <w:szCs w:val="20"/>
              </w:rPr>
              <w:t>2.p</w:t>
            </w:r>
            <w:proofErr w:type="gramEnd"/>
            <w:r w:rsidRPr="001074DB">
              <w:rPr>
                <w:sz w:val="20"/>
                <w:szCs w:val="20"/>
              </w:rPr>
              <w:t>1, TRINITY_DN11373_c0_g1_i2.p1, TRINITY_DN11178_c0_g1_i4.p1, TRINITY_DN10657_c0_g1_i3.p1</w:t>
            </w:r>
          </w:p>
        </w:tc>
        <w:tc>
          <w:tcPr>
            <w:tcW w:w="2136" w:type="dxa"/>
            <w:vAlign w:val="center"/>
          </w:tcPr>
          <w:p w14:paraId="6BC6091F" w14:textId="77777777" w:rsidR="00827F91" w:rsidRPr="001074DB" w:rsidRDefault="00827F91" w:rsidP="001C1FB8">
            <w:pPr>
              <w:keepNext/>
              <w:keepLines/>
              <w:pageBreakBefore/>
              <w:jc w:val="center"/>
              <w:rPr>
                <w:sz w:val="20"/>
                <w:szCs w:val="20"/>
              </w:rPr>
            </w:pPr>
            <w:r w:rsidRPr="001074DB">
              <w:rPr>
                <w:sz w:val="20"/>
                <w:szCs w:val="20"/>
              </w:rPr>
              <w:fldChar w:fldCharType="begin"/>
            </w:r>
            <w:r>
              <w:rPr>
                <w:sz w:val="20"/>
                <w:szCs w:val="20"/>
              </w:rPr>
              <w:instrText xml:space="preserve"> ADDIN ZOTERO_ITEM CSL_CITATION {"citationID":"NyPd614f","properties":{"formattedCitation":"(Cai and Clapham 2012; Burkhardt et al. 2014; Rosa et al. 2021)","plainCitation":"(Cai and Clapham 2012; Burkhardt et al. 2014; Rosa et al. 2021)","noteIndex":0},"citationItems":[{"id":94,"uris":["http://zotero.org/users/10320770/items/JQ6JKM96"],"itemData":{"id":94,"type":"article-journal","abstract":"Reconstructing the evolution and ancestral functions of synaptic proteins promises to shed light on how neurons first evolved. The postsynaptic density (PSD) protein Homer scaffolds membrane receptors and regulates Ca(2+) signaling in diverse metazoan cell types (including neurons and muscle cells), yet its ancestry and core functions are poorly understood. We find that the protein domain organization and essential biochemical properties of metazoan Homer proteins, including their ability to tetramerize, are conserved in the choanoflagellate Salpingoeca rosetta, one of the closest living relatives of metazoans. Unlike in neurons, Homer localizes to the nucleoplasm in S. rosetta and interacts directly with Flotillin, a protein more commonly associated with cell membranes. Surprisingly, we found that the Homer/Flotillin interaction and its localization to the nucleus are conserved in metazoan astrocytes. These findings suggest that Homer originally interacted with Flotillin in the nucleus of the last common ancestor of metazoans and choanoflagellates and was later co-opted to function as a membrane receptor scaffold in the PSD.","container-title":"Molecular Biology and Evolution","DOI":"10.1093/molbev/msu178","ISSN":"1537-1719","issue":"9","journalAbbreviation":"Mol. Biol. Evol.","language":"eng","note":"PMID: 24899667\nPMCID: PMC4137706","page":"2342-2355","source":"PubMed","title":"Evolutionary insights into premetazoan functions of the neuronal protein homer","volume":"31","author":[{"family":"Burkhardt","given":"Pawel"},{"family":"Grønborg","given":"Mads"},{"family":"McDonald","given":"Kent"},{"family":"Sulur","given":"Tara"},{"family":"Wang","given":"Qi"},{"family":"King","given":"Nicole"}],"issued":{"date-parts":[["2014",9]]}}},{"id":1424,"uris":["http://zotero.org/users/10320770/items/AAWXYRFD"],"itemData":{"id":1424,"type":"article-journal","abstract":"Animals and fungi diverged from a common unicellular ancestor of Opisthokonta, yet they exhibit significant differences in their components of Ca2+ signaling pathways. Many Ca2+ signaling molecules appear to be either animal-specific or fungal-specific, which is generally believed to result from lineage-specific adaptations to distinct physiological requirements. Here, by analyzing the genomic data from several close relatives of animals and fungi, we demonstrate that many components of animal and fungal Ca2+ signaling machineries are present in the apusozoan protist Thecamonas trahens, which belongs to the putative unicellular sister group to Opisthokonta. We also identify the conserved portion of Ca2+ signaling molecules in early evolution of animals and fungi following their divergence. Furthermore, our results reveal the lineage-specific expansion of Ca2+ channels and transporters in the unicellular ancestors of animals and in basal fungi. These findings provide novel insights into the evolution and regulation of Ca2+ signaling critical for animal and fungal biology.","container-title":"Molecular Biology and Evolution","DOI":"10.1093/molbev/msr149","ISSN":"0737-4038","issue":"1","journalAbbreviation":"Molecular Biology and Evolution","page":"91-100","source":"Silverchair","title":"Ancestral Ca2+ Signaling Machinery in Early Animal and Fungal Evolution","volume":"29","author":[{"family":"Cai","given":"Xinjiang"},{"family":"Clapham","given":"David E."}],"issued":{"date-parts":[["2012",1,1]]}}},{"id":1421,"uris":["http://zotero.org/users/10320770/items/WP3727H4"],"itemData":{"id":1421,"type":"article-journal","abstract":"Recently, a functional IP3R ortholog (CO.IP3R-A) capable of IP3-induced Ca2+ release has been discovered in Capsaspora owczarzaki, a close unicellular relative to Metazoa. In contrast to mammalian IP3Rs, CO.IP3R-A is not modulated by Ca2+, ATP or PKA. Protein-sequence analysis revealed that CO.IP3R-A contained a putative binding site for anti-apoptotic Bcl-2, although Bcl-2 was not detected in Capsaspora owczarzaki and only appeared in Metazoa. Here, we examined whether human Bcl-2 could form a complex with CO.IP3R-A channels and modulate their Ca2+-flux properties using ectopic expression approaches in a HEK293 cell model in which all three IP3R isoforms were knocked out. We demonstrate that human Bcl-2 via its BH4 domain could functionally interact with CO.IP3R-A, thereby suppressing Ca2+ flux through CO.IP3R-A channels. The BH4 domain of Bcl-2 was sufficient for interaction with CO.IP3R-A channels. Moreover, mutating the Lys17 of Bcl-2's BH4 domain, the residue critical for Bcl-2-dependent modulation of mammalian IP3Rs, abrogated Bcl-2's ability to bind and inhibit CO.IP3R-A channels. Hence, this raises the possibility that a unicellular ancestor of animals already had an IP3R that harbored a Bcl-2-binding site. Bcl-2 proteins may have evolved as controllers of IP3R function by exploiting this pre-existing site, thereby counteracting Ca2+-dependent apoptosis.","container-title":"Biochimica et Biophysica Acta (BBA) - Molecular Cell Research","DOI":"10.1016/j.bbamcr.2021.119121","ISSN":"0167-4889","issue":"12","journalAbbreviation":"Biochimica et Biophysica Acta (BBA) - Molecular Cell Research","language":"en","page":"119121","source":"ScienceDirect","title":"Tracing the evolutionary history of Ca2+-signaling modulation by human Bcl-2: Insights from the Capsaspora owczarzaki IP3 receptor ortholog","title-short":"Tracing the evolutionary history of Ca2+-signaling modulation by human Bcl-2","volume":"1868","author":[{"family":"Rosa","given":"Nicolas"},{"family":"Shabardina","given":"Victoria"},{"family":"Ivanova","given":"Hristina"},{"family":"Sebé-Pedrós","given":"Arnau"},{"family":"Yule","given":"David I."},{"family":"Bultynck","given":"Geert"}],"issued":{"date-parts":[["2021",11,1]]}}}],"schema":"https://github.com/citation-style-language/schema/raw/master/csl-citation.json"} </w:instrText>
            </w:r>
            <w:r w:rsidRPr="001074DB">
              <w:rPr>
                <w:sz w:val="20"/>
                <w:szCs w:val="20"/>
              </w:rPr>
              <w:fldChar w:fldCharType="separate"/>
            </w:r>
            <w:r>
              <w:rPr>
                <w:noProof/>
                <w:sz w:val="20"/>
                <w:szCs w:val="20"/>
              </w:rPr>
              <w:t>(Cai and Clapham 2012; Burkhardt et al. 2014; Rosa et al. 2021)</w:t>
            </w:r>
            <w:r w:rsidRPr="001074DB">
              <w:rPr>
                <w:sz w:val="20"/>
                <w:szCs w:val="20"/>
              </w:rPr>
              <w:fldChar w:fldCharType="end"/>
            </w:r>
          </w:p>
        </w:tc>
      </w:tr>
    </w:tbl>
    <w:p w14:paraId="14F7794B" w14:textId="77777777" w:rsidR="00827F91" w:rsidRPr="001074DB" w:rsidRDefault="00827F91" w:rsidP="00827F91">
      <w:pPr>
        <w:spacing w:line="360" w:lineRule="auto"/>
        <w:rPr>
          <w:sz w:val="16"/>
          <w:szCs w:val="16"/>
        </w:rPr>
      </w:pPr>
    </w:p>
    <w:p w14:paraId="74F4F5D4" w14:textId="77777777" w:rsidR="00827F91" w:rsidRPr="004D1DC3" w:rsidRDefault="00827F91" w:rsidP="00827F91">
      <w:pPr>
        <w:spacing w:line="360" w:lineRule="auto"/>
        <w:rPr>
          <w:b/>
          <w:bCs/>
          <w:sz w:val="21"/>
          <w:szCs w:val="21"/>
        </w:rPr>
      </w:pPr>
    </w:p>
    <w:p w14:paraId="35A8F11F" w14:textId="1EB60E84" w:rsidR="00F64237" w:rsidRDefault="00827F91" w:rsidP="00827F91">
      <w:pPr>
        <w:rPr>
          <w:b/>
          <w:bCs/>
        </w:rPr>
      </w:pPr>
      <w:r>
        <w:rPr>
          <w:b/>
          <w:bCs/>
        </w:rPr>
        <w:br w:type="page"/>
      </w:r>
      <w:r>
        <w:rPr>
          <w:b/>
          <w:bCs/>
        </w:rPr>
        <w:lastRenderedPageBreak/>
        <w:t>References for Table S1</w:t>
      </w:r>
    </w:p>
    <w:p w14:paraId="4957AE5A" w14:textId="43C888B7" w:rsidR="00827F91" w:rsidRDefault="00827F91" w:rsidP="00827F91">
      <w:pPr>
        <w:rPr>
          <w:b/>
          <w:bCs/>
        </w:rPr>
      </w:pPr>
    </w:p>
    <w:p w14:paraId="5B6EBA7E" w14:textId="77777777" w:rsidR="00827F91" w:rsidRPr="00827F91" w:rsidRDefault="00827F91" w:rsidP="00827F91">
      <w:pPr>
        <w:pStyle w:val="Bibliography"/>
      </w:pPr>
      <w:r>
        <w:fldChar w:fldCharType="begin"/>
      </w:r>
      <w:r>
        <w:instrText xml:space="preserve"> ADDIN ZOTERO_BIBL {"uncited":[],"omitted":[],"custom":[]} CSL_BIBLIOGRAPHY </w:instrText>
      </w:r>
      <w:r>
        <w:fldChar w:fldCharType="separate"/>
      </w:r>
      <w:r w:rsidRPr="00827F91">
        <w:t xml:space="preserve">Avelar GM, Schumacher RI, </w:t>
      </w:r>
      <w:proofErr w:type="spellStart"/>
      <w:r w:rsidRPr="00827F91">
        <w:t>Zaini</w:t>
      </w:r>
      <w:proofErr w:type="spellEnd"/>
      <w:r w:rsidRPr="00827F91">
        <w:t xml:space="preserve"> PA, et al (2014) A Rhodopsin-Guanylyl Cyclase Gene Fusion Functions in Visual Perception in a Fungus. Current Biology 24:1234–1240. https://doi.org/10.1016/j.cub.2014.04.009</w:t>
      </w:r>
    </w:p>
    <w:p w14:paraId="41F56225" w14:textId="77777777" w:rsidR="00827F91" w:rsidRPr="00827F91" w:rsidRDefault="00827F91" w:rsidP="00827F91">
      <w:pPr>
        <w:pStyle w:val="Bibliography"/>
      </w:pPr>
      <w:r w:rsidRPr="00827F91">
        <w:t>Brunet T, Larson BT, Linden TA, et al (2019) Light-regulated collective contractility in a multicellular choanoflagellate. Science 366:326–334. https://doi.org/10.1126/science.aay2346</w:t>
      </w:r>
    </w:p>
    <w:p w14:paraId="7DC2EE45" w14:textId="77777777" w:rsidR="00827F91" w:rsidRPr="00827F91" w:rsidRDefault="00827F91" w:rsidP="00827F91">
      <w:pPr>
        <w:pStyle w:val="Bibliography"/>
      </w:pPr>
      <w:r w:rsidRPr="00827F91">
        <w:t xml:space="preserve">Burkhardt P, </w:t>
      </w:r>
      <w:proofErr w:type="spellStart"/>
      <w:r w:rsidRPr="00827F91">
        <w:t>Grønborg</w:t>
      </w:r>
      <w:proofErr w:type="spellEnd"/>
      <w:r w:rsidRPr="00827F91">
        <w:t xml:space="preserve"> M, McDonald K, et al (2014) Evolutionary insights into premetazoan functions of the neuronal protein homer. Mol Biol </w:t>
      </w:r>
      <w:proofErr w:type="spellStart"/>
      <w:r w:rsidRPr="00827F91">
        <w:t>Evol</w:t>
      </w:r>
      <w:proofErr w:type="spellEnd"/>
      <w:r w:rsidRPr="00827F91">
        <w:t xml:space="preserve"> 31:2342–2355. https://doi.org/10.1093/molbev/msu178</w:t>
      </w:r>
    </w:p>
    <w:p w14:paraId="3A3BBC30" w14:textId="77777777" w:rsidR="00827F91" w:rsidRPr="00827F91" w:rsidRDefault="00827F91" w:rsidP="00827F91">
      <w:pPr>
        <w:pStyle w:val="Bibliography"/>
      </w:pPr>
      <w:r w:rsidRPr="00827F91">
        <w:t>Cai X (2012a) P2X receptor homologs in basal fungi. Purinergic Signal 8:11–13. https://doi.org/10.1007/s11302-011-9261-8</w:t>
      </w:r>
    </w:p>
    <w:p w14:paraId="20AF3F4D" w14:textId="77777777" w:rsidR="00827F91" w:rsidRPr="00827F91" w:rsidRDefault="00827F91" w:rsidP="00827F91">
      <w:pPr>
        <w:pStyle w:val="Bibliography"/>
      </w:pPr>
      <w:r w:rsidRPr="00827F91">
        <w:t xml:space="preserve">Cai X (2008) Unicellular Ca2+ Signaling ‘Toolkit’ at the Origin of </w:t>
      </w:r>
      <w:proofErr w:type="spellStart"/>
      <w:r w:rsidRPr="00827F91">
        <w:t>Metazoa</w:t>
      </w:r>
      <w:proofErr w:type="spellEnd"/>
      <w:r w:rsidRPr="00827F91">
        <w:t>. Molecular Biology and Evolution 25:1357–1361. https://doi.org/10.1093/molbev/msn077</w:t>
      </w:r>
    </w:p>
    <w:p w14:paraId="7E1C39D8" w14:textId="77777777" w:rsidR="00827F91" w:rsidRPr="00827F91" w:rsidRDefault="00827F91" w:rsidP="00827F91">
      <w:pPr>
        <w:pStyle w:val="Bibliography"/>
      </w:pPr>
      <w:r w:rsidRPr="00827F91">
        <w:t>Cai X (2012b) Evolutionary genomics reveals the premetazoan origin of opposite gating polarity in animal-type voltage-gated ion channels. Genomics 99:241–245. https://doi.org/10.1016/j.ygeno.2012.01.007</w:t>
      </w:r>
    </w:p>
    <w:p w14:paraId="1BE4219C" w14:textId="77777777" w:rsidR="00827F91" w:rsidRPr="00827F91" w:rsidRDefault="00827F91" w:rsidP="00827F91">
      <w:pPr>
        <w:pStyle w:val="Bibliography"/>
      </w:pPr>
      <w:r w:rsidRPr="00827F91">
        <w:t xml:space="preserve">Cai X, </w:t>
      </w:r>
      <w:proofErr w:type="spellStart"/>
      <w:r w:rsidRPr="00827F91">
        <w:t>Clapham</w:t>
      </w:r>
      <w:proofErr w:type="spellEnd"/>
      <w:r w:rsidRPr="00827F91">
        <w:t xml:space="preserve"> DE (2012) Ancestral Ca2+ Signaling Machinery in Early Animal and Fungal Evolution. Molecular Biology and Evolution 29:91–100. https://doi.org/10.1093/molbev/msr149</w:t>
      </w:r>
    </w:p>
    <w:p w14:paraId="19EA272E" w14:textId="77777777" w:rsidR="00827F91" w:rsidRPr="00827F91" w:rsidRDefault="00827F91" w:rsidP="00827F91">
      <w:pPr>
        <w:pStyle w:val="Bibliography"/>
      </w:pPr>
      <w:r w:rsidRPr="00827F91">
        <w:t xml:space="preserve">de Mendoza A, </w:t>
      </w:r>
      <w:proofErr w:type="spellStart"/>
      <w:r w:rsidRPr="00827F91">
        <w:t>Sebé-Pedrós</w:t>
      </w:r>
      <w:proofErr w:type="spellEnd"/>
      <w:r w:rsidRPr="00827F91">
        <w:t xml:space="preserve"> A, Ruiz-Trillo I (2014) The Evolution of the GPCR Signaling System in Eukaryotes: Modularity, Conservation, and the Transition to Metazoan Multicellularity. Genome Biology and Evolution 6:606–619. https://doi.org/10.1093/gbe/evu038</w:t>
      </w:r>
    </w:p>
    <w:p w14:paraId="46EDCA74" w14:textId="77777777" w:rsidR="00827F91" w:rsidRPr="00827F91" w:rsidRDefault="00827F91" w:rsidP="00827F91">
      <w:pPr>
        <w:pStyle w:val="Bibliography"/>
      </w:pPr>
      <w:proofErr w:type="spellStart"/>
      <w:r w:rsidRPr="00827F91">
        <w:t>Erives</w:t>
      </w:r>
      <w:proofErr w:type="spellEnd"/>
      <w:r w:rsidRPr="00827F91">
        <w:t xml:space="preserve"> A, </w:t>
      </w:r>
      <w:proofErr w:type="spellStart"/>
      <w:r w:rsidRPr="00827F91">
        <w:t>Fritzsch</w:t>
      </w:r>
      <w:proofErr w:type="spellEnd"/>
      <w:r w:rsidRPr="00827F91">
        <w:t xml:space="preserve"> B (2020) A Screen for Gene </w:t>
      </w:r>
      <w:proofErr w:type="spellStart"/>
      <w:r w:rsidRPr="00827F91">
        <w:t>Paralogies</w:t>
      </w:r>
      <w:proofErr w:type="spellEnd"/>
      <w:r w:rsidRPr="00827F91">
        <w:t xml:space="preserve"> Delineating Evolutionary Branching Order of Early </w:t>
      </w:r>
      <w:proofErr w:type="spellStart"/>
      <w:r w:rsidRPr="00827F91">
        <w:t>Metazoa</w:t>
      </w:r>
      <w:proofErr w:type="spellEnd"/>
      <w:r w:rsidRPr="00827F91">
        <w:t xml:space="preserve">. G3 </w:t>
      </w:r>
      <w:proofErr w:type="spellStart"/>
      <w:r w:rsidRPr="00827F91">
        <w:t>Genes|Genomes|Genetics</w:t>
      </w:r>
      <w:proofErr w:type="spellEnd"/>
      <w:r w:rsidRPr="00827F91">
        <w:t xml:space="preserve"> 10:811–826. https://doi.org/10.1534/g3.119.400951</w:t>
      </w:r>
    </w:p>
    <w:p w14:paraId="2B7CAD91" w14:textId="77777777" w:rsidR="00827F91" w:rsidRPr="00827F91" w:rsidRDefault="00827F91" w:rsidP="00827F91">
      <w:pPr>
        <w:pStyle w:val="Bibliography"/>
      </w:pPr>
      <w:r w:rsidRPr="00827F91">
        <w:t xml:space="preserve">Fairclough SR, Chen Z, Kramer E, et al (2013) Premetazoan genome evolution and the regulation of cell differentiation in the choanoflagellate </w:t>
      </w:r>
      <w:proofErr w:type="spellStart"/>
      <w:r w:rsidRPr="00827F91">
        <w:t>Salpingoeca</w:t>
      </w:r>
      <w:proofErr w:type="spellEnd"/>
      <w:r w:rsidRPr="00827F91">
        <w:t xml:space="preserve"> </w:t>
      </w:r>
      <w:proofErr w:type="spellStart"/>
      <w:r w:rsidRPr="00827F91">
        <w:t>rosetta</w:t>
      </w:r>
      <w:proofErr w:type="spellEnd"/>
      <w:r w:rsidRPr="00827F91">
        <w:t>. Genome Biol 14:R15. https://doi.org/10.1186/gb-2013-14-2-r15</w:t>
      </w:r>
    </w:p>
    <w:p w14:paraId="691B5CF4" w14:textId="77777777" w:rsidR="00827F91" w:rsidRPr="00827F91" w:rsidRDefault="00827F91" w:rsidP="00827F91">
      <w:pPr>
        <w:pStyle w:val="Bibliography"/>
      </w:pPr>
      <w:proofErr w:type="spellStart"/>
      <w:r w:rsidRPr="00827F91">
        <w:t>Feuda</w:t>
      </w:r>
      <w:proofErr w:type="spellEnd"/>
      <w:r w:rsidRPr="00827F91">
        <w:t xml:space="preserve"> R, Hamilton SC, </w:t>
      </w:r>
      <w:proofErr w:type="spellStart"/>
      <w:r w:rsidRPr="00827F91">
        <w:t>McInerney</w:t>
      </w:r>
      <w:proofErr w:type="spellEnd"/>
      <w:r w:rsidRPr="00827F91">
        <w:t xml:space="preserve"> JO, Pisani D (2012) Metazoan opsin evolution reveals a simple route to animal vision. Proc Natl </w:t>
      </w:r>
      <w:proofErr w:type="spellStart"/>
      <w:r w:rsidRPr="00827F91">
        <w:t>Acad</w:t>
      </w:r>
      <w:proofErr w:type="spellEnd"/>
      <w:r w:rsidRPr="00827F91">
        <w:t xml:space="preserve"> Sci USA 109:18868–18872. https://doi.org/10.1073/pnas.1204609109</w:t>
      </w:r>
    </w:p>
    <w:p w14:paraId="59C9EF34" w14:textId="77777777" w:rsidR="00827F91" w:rsidRPr="00827F91" w:rsidRDefault="00827F91" w:rsidP="00827F91">
      <w:pPr>
        <w:pStyle w:val="Bibliography"/>
      </w:pPr>
      <w:r w:rsidRPr="00827F91">
        <w:t xml:space="preserve">Fountain SJ, </w:t>
      </w:r>
      <w:proofErr w:type="spellStart"/>
      <w:r w:rsidRPr="00827F91">
        <w:t>Burnstock</w:t>
      </w:r>
      <w:proofErr w:type="spellEnd"/>
      <w:r w:rsidRPr="00827F91">
        <w:t xml:space="preserve"> G (2009) An evolutionary history of P2X receptors. Purinergic Signal 5:269–272. https://doi.org/10.1007/s11302-008-9127-x</w:t>
      </w:r>
    </w:p>
    <w:p w14:paraId="32EA93AE" w14:textId="77777777" w:rsidR="00827F91" w:rsidRPr="00827F91" w:rsidRDefault="00827F91" w:rsidP="00827F91">
      <w:pPr>
        <w:pStyle w:val="Bibliography"/>
      </w:pPr>
      <w:r w:rsidRPr="00827F91">
        <w:lastRenderedPageBreak/>
        <w:t xml:space="preserve">Fountain SJ, Cao L, Young MT, North RA (2008) Permeation Properties of a P2X Receptor in the Green Algae </w:t>
      </w:r>
      <w:proofErr w:type="spellStart"/>
      <w:r w:rsidRPr="00827F91">
        <w:t>Ostreococcus</w:t>
      </w:r>
      <w:proofErr w:type="spellEnd"/>
      <w:r w:rsidRPr="00827F91">
        <w:t xml:space="preserve"> </w:t>
      </w:r>
      <w:proofErr w:type="spellStart"/>
      <w:r w:rsidRPr="00827F91">
        <w:t>tauri</w:t>
      </w:r>
      <w:proofErr w:type="spellEnd"/>
      <w:r w:rsidRPr="00827F91">
        <w:t>*. Journal of Biological Chemistry 283:15122–15126. https://doi.org/10.1074/jbc.M801512200</w:t>
      </w:r>
    </w:p>
    <w:p w14:paraId="6C30425D" w14:textId="77777777" w:rsidR="00827F91" w:rsidRPr="00827F91" w:rsidRDefault="00827F91" w:rsidP="00827F91">
      <w:pPr>
        <w:pStyle w:val="Bibliography"/>
      </w:pPr>
      <w:r w:rsidRPr="00827F91">
        <w:t>Galindo LJ, Milner DS, Gomes SL, Richards TA (2022) A light-sensing system in the common ancestor of the fungi. Current Biology 32:3146-3153.e3. https://doi.org/10.1016/j.cub.2022.05.034</w:t>
      </w:r>
    </w:p>
    <w:p w14:paraId="126EE6EB" w14:textId="77777777" w:rsidR="00827F91" w:rsidRPr="00827F91" w:rsidRDefault="00827F91" w:rsidP="00827F91">
      <w:pPr>
        <w:pStyle w:val="Bibliography"/>
      </w:pPr>
      <w:r w:rsidRPr="00827F91">
        <w:t>Himmel NJ, Cox DN (2020) Transient receptor potential channels: current perspectives on evolution, structure, function and nomenclature. Proceedings of the Royal Society B: Biological Sciences 287:20201309. https://doi.org/10.1098/rspb.2020.1309</w:t>
      </w:r>
    </w:p>
    <w:p w14:paraId="439D8609" w14:textId="77777777" w:rsidR="00827F91" w:rsidRPr="00827F91" w:rsidRDefault="00827F91" w:rsidP="00827F91">
      <w:pPr>
        <w:pStyle w:val="Bibliography"/>
      </w:pPr>
      <w:r w:rsidRPr="00827F91">
        <w:t xml:space="preserve">King N, Westbrook MJ, Young SL, et al (2008) The genome of the choanoflagellate </w:t>
      </w:r>
      <w:proofErr w:type="spellStart"/>
      <w:r w:rsidRPr="00827F91">
        <w:t>Monosiga</w:t>
      </w:r>
      <w:proofErr w:type="spellEnd"/>
      <w:r w:rsidRPr="00827F91">
        <w:t xml:space="preserve"> </w:t>
      </w:r>
      <w:proofErr w:type="spellStart"/>
      <w:r w:rsidRPr="00827F91">
        <w:t>brevicollis</w:t>
      </w:r>
      <w:proofErr w:type="spellEnd"/>
      <w:r w:rsidRPr="00827F91">
        <w:t xml:space="preserve"> and the origin of metazoans. Nature 451:783–788. https://doi.org/10.1038/nature06617</w:t>
      </w:r>
    </w:p>
    <w:p w14:paraId="0D2BD7BF" w14:textId="77777777" w:rsidR="00827F91" w:rsidRPr="00827F91" w:rsidRDefault="00827F91" w:rsidP="00827F91">
      <w:pPr>
        <w:pStyle w:val="Bibliography"/>
      </w:pPr>
      <w:proofErr w:type="spellStart"/>
      <w:r w:rsidRPr="00827F91">
        <w:t>Liebeskind</w:t>
      </w:r>
      <w:proofErr w:type="spellEnd"/>
      <w:r w:rsidRPr="00827F91">
        <w:t xml:space="preserve"> BJ, Hillis DM, </w:t>
      </w:r>
      <w:proofErr w:type="spellStart"/>
      <w:r w:rsidRPr="00827F91">
        <w:t>Zakon</w:t>
      </w:r>
      <w:proofErr w:type="spellEnd"/>
      <w:r w:rsidRPr="00827F91">
        <w:t xml:space="preserve"> HH (2011) Evolution of sodium channels predates the origin of nervous systems in animals. Proceedings of the National Academy of Sciences 108:9154–9159. https://doi.org/10.1073/pnas.1106363108</w:t>
      </w:r>
    </w:p>
    <w:p w14:paraId="66007102" w14:textId="77777777" w:rsidR="00827F91" w:rsidRPr="00827F91" w:rsidRDefault="00827F91" w:rsidP="00827F91">
      <w:pPr>
        <w:pStyle w:val="Bibliography"/>
      </w:pPr>
      <w:r w:rsidRPr="00827F91">
        <w:t xml:space="preserve">Manning G, Young SL, Miller WT, </w:t>
      </w:r>
      <w:proofErr w:type="spellStart"/>
      <w:r w:rsidRPr="00827F91">
        <w:t>Zhai</w:t>
      </w:r>
      <w:proofErr w:type="spellEnd"/>
      <w:r w:rsidRPr="00827F91">
        <w:t xml:space="preserve"> Y (2008) The protist, </w:t>
      </w:r>
      <w:proofErr w:type="spellStart"/>
      <w:r w:rsidRPr="00827F91">
        <w:t>Monosiga</w:t>
      </w:r>
      <w:proofErr w:type="spellEnd"/>
      <w:r w:rsidRPr="00827F91">
        <w:t xml:space="preserve"> </w:t>
      </w:r>
      <w:proofErr w:type="spellStart"/>
      <w:r w:rsidRPr="00827F91">
        <w:t>brevicollis</w:t>
      </w:r>
      <w:proofErr w:type="spellEnd"/>
      <w:r w:rsidRPr="00827F91">
        <w:t>, has a tyrosine kinase signaling network more elaborate and diverse than found in any known metazoan. Proceedings of the National Academy of Sciences 105:9674–9679. https://doi.org/10.1073/pnas.0801314105</w:t>
      </w:r>
    </w:p>
    <w:p w14:paraId="39FC4387" w14:textId="77777777" w:rsidR="00827F91" w:rsidRPr="00827F91" w:rsidRDefault="00827F91" w:rsidP="00827F91">
      <w:pPr>
        <w:pStyle w:val="Bibliography"/>
      </w:pPr>
      <w:r w:rsidRPr="00827F91">
        <w:t xml:space="preserve">Mills DB, Francis WR, Vargas S, et al (2018) The last common ancestor of animals lacked the HIF pathway and respired in low-oxygen environments. </w:t>
      </w:r>
      <w:proofErr w:type="spellStart"/>
      <w:r w:rsidRPr="00827F91">
        <w:t>eLife</w:t>
      </w:r>
      <w:proofErr w:type="spellEnd"/>
      <w:r w:rsidRPr="00827F91">
        <w:t xml:space="preserve"> 7:e31176. https://doi.org/10.7554/eLife.31176</w:t>
      </w:r>
    </w:p>
    <w:p w14:paraId="1DB757CE" w14:textId="77777777" w:rsidR="00827F91" w:rsidRPr="00827F91" w:rsidRDefault="00827F91" w:rsidP="00827F91">
      <w:pPr>
        <w:pStyle w:val="Bibliography"/>
      </w:pPr>
      <w:r w:rsidRPr="00827F91">
        <w:t xml:space="preserve">Mistry J, </w:t>
      </w:r>
      <w:proofErr w:type="spellStart"/>
      <w:r w:rsidRPr="00827F91">
        <w:t>Chuguransky</w:t>
      </w:r>
      <w:proofErr w:type="spellEnd"/>
      <w:r w:rsidRPr="00827F91">
        <w:t xml:space="preserve"> S, Williams L, et al (2021) </w:t>
      </w:r>
      <w:proofErr w:type="spellStart"/>
      <w:r w:rsidRPr="00827F91">
        <w:t>Pfam</w:t>
      </w:r>
      <w:proofErr w:type="spellEnd"/>
      <w:r w:rsidRPr="00827F91">
        <w:t>: The protein families database in 2021. Nucleic Acids Research 49:D412–D419. https://doi.org/10.1093/nar/gkaa913</w:t>
      </w:r>
    </w:p>
    <w:p w14:paraId="1DB0316F" w14:textId="77777777" w:rsidR="00827F91" w:rsidRPr="00827F91" w:rsidRDefault="00827F91" w:rsidP="00827F91">
      <w:pPr>
        <w:pStyle w:val="Bibliography"/>
      </w:pPr>
      <w:r w:rsidRPr="00827F91">
        <w:t xml:space="preserve">Moran Y, Barzilai MG, </w:t>
      </w:r>
      <w:proofErr w:type="spellStart"/>
      <w:r w:rsidRPr="00827F91">
        <w:t>Liebeskind</w:t>
      </w:r>
      <w:proofErr w:type="spellEnd"/>
      <w:r w:rsidRPr="00827F91">
        <w:t xml:space="preserve"> BJ, </w:t>
      </w:r>
      <w:proofErr w:type="spellStart"/>
      <w:r w:rsidRPr="00827F91">
        <w:t>Zakon</w:t>
      </w:r>
      <w:proofErr w:type="spellEnd"/>
      <w:r w:rsidRPr="00827F91">
        <w:t xml:space="preserve"> HH (2015) Evolution of voltage-gated ion channels at the emergence of </w:t>
      </w:r>
      <w:proofErr w:type="spellStart"/>
      <w:r w:rsidRPr="00827F91">
        <w:t>Metazoa</w:t>
      </w:r>
      <w:proofErr w:type="spellEnd"/>
      <w:r w:rsidRPr="00827F91">
        <w:t>. Journal of Experimental Biology 218:515–525. https://doi.org/10.1242/jeb.110270</w:t>
      </w:r>
    </w:p>
    <w:p w14:paraId="0B6540A0" w14:textId="77777777" w:rsidR="00827F91" w:rsidRPr="00827F91" w:rsidRDefault="00827F91" w:rsidP="00827F91">
      <w:pPr>
        <w:pStyle w:val="Bibliography"/>
      </w:pPr>
      <w:r w:rsidRPr="00827F91">
        <w:t xml:space="preserve">Peng G, Shi X, </w:t>
      </w:r>
      <w:proofErr w:type="spellStart"/>
      <w:r w:rsidRPr="00827F91">
        <w:t>Kadowaki</w:t>
      </w:r>
      <w:proofErr w:type="spellEnd"/>
      <w:r w:rsidRPr="00827F91">
        <w:t xml:space="preserve"> T (2015) Evolution of TRP channels inferred by their classification in diverse animal species. Molecular Phylogenetics and Evolution 84:145–157. https://doi.org/10.1016/j.ympev.2014.06.016</w:t>
      </w:r>
    </w:p>
    <w:p w14:paraId="466CF0AC" w14:textId="77777777" w:rsidR="00827F91" w:rsidRPr="00827F91" w:rsidRDefault="00827F91" w:rsidP="00827F91">
      <w:pPr>
        <w:pStyle w:val="Bibliography"/>
      </w:pPr>
      <w:r w:rsidRPr="00827F91">
        <w:t xml:space="preserve">Prole DL, Taylor CW (2013) Identification and Analysis of Putative Homologues of Mechanosensitive Channels in Pathogenic Protozoa. </w:t>
      </w:r>
      <w:proofErr w:type="spellStart"/>
      <w:r w:rsidRPr="00827F91">
        <w:t>PLoS</w:t>
      </w:r>
      <w:proofErr w:type="spellEnd"/>
      <w:r w:rsidRPr="00827F91">
        <w:t xml:space="preserve"> One 8:e66068. https://doi.org/10.1371/journal.pone.0066068</w:t>
      </w:r>
    </w:p>
    <w:p w14:paraId="5C59D950" w14:textId="77777777" w:rsidR="00827F91" w:rsidRPr="00827F91" w:rsidRDefault="00827F91" w:rsidP="00827F91">
      <w:pPr>
        <w:pStyle w:val="Bibliography"/>
      </w:pPr>
      <w:r w:rsidRPr="00827F91">
        <w:t>Reyes-Rivera J, Wu Y, Guthrie BGH, et al (2022) Nitric oxide signaling controls collective contractions in a colonial choanoflagellate. Current Biology 32:2539-2547.e5. https://doi.org/10.1016/j.cub.2022.04.017</w:t>
      </w:r>
    </w:p>
    <w:p w14:paraId="7DF2C24D" w14:textId="77777777" w:rsidR="00827F91" w:rsidRPr="00827F91" w:rsidRDefault="00827F91" w:rsidP="00827F91">
      <w:pPr>
        <w:pStyle w:val="Bibliography"/>
      </w:pPr>
      <w:r w:rsidRPr="00827F91">
        <w:lastRenderedPageBreak/>
        <w:t xml:space="preserve">Rosa N, </w:t>
      </w:r>
      <w:proofErr w:type="spellStart"/>
      <w:r w:rsidRPr="00827F91">
        <w:t>Shabardina</w:t>
      </w:r>
      <w:proofErr w:type="spellEnd"/>
      <w:r w:rsidRPr="00827F91">
        <w:t xml:space="preserve"> V, Ivanova H, et al (2021) Tracing the evolutionary history of Ca2+-signaling modulation by human Bcl-2: Insights from the </w:t>
      </w:r>
      <w:proofErr w:type="spellStart"/>
      <w:r w:rsidRPr="00827F91">
        <w:t>Capsaspora</w:t>
      </w:r>
      <w:proofErr w:type="spellEnd"/>
      <w:r w:rsidRPr="00827F91">
        <w:t xml:space="preserve"> </w:t>
      </w:r>
      <w:proofErr w:type="spellStart"/>
      <w:r w:rsidRPr="00827F91">
        <w:t>owczarzaki</w:t>
      </w:r>
      <w:proofErr w:type="spellEnd"/>
      <w:r w:rsidRPr="00827F91">
        <w:t xml:space="preserve"> IP3 receptor ortholog. </w:t>
      </w:r>
      <w:proofErr w:type="spellStart"/>
      <w:r w:rsidRPr="00827F91">
        <w:t>Biochimica</w:t>
      </w:r>
      <w:proofErr w:type="spellEnd"/>
      <w:r w:rsidRPr="00827F91">
        <w:t xml:space="preserve"> et </w:t>
      </w:r>
      <w:proofErr w:type="spellStart"/>
      <w:r w:rsidRPr="00827F91">
        <w:t>Biophysica</w:t>
      </w:r>
      <w:proofErr w:type="spellEnd"/>
      <w:r w:rsidRPr="00827F91">
        <w:t xml:space="preserve"> Acta (BBA) - Molecular Cell Research 1868:119121. https://doi.org/10.1016/j.bbamcr.2021.119121</w:t>
      </w:r>
    </w:p>
    <w:p w14:paraId="651507EB" w14:textId="77777777" w:rsidR="00827F91" w:rsidRPr="00827F91" w:rsidRDefault="00827F91" w:rsidP="00827F91">
      <w:pPr>
        <w:pStyle w:val="Bibliography"/>
      </w:pPr>
      <w:r w:rsidRPr="00827F91">
        <w:t xml:space="preserve">Spudich JL (2006) The multitalented microbial sensory </w:t>
      </w:r>
      <w:proofErr w:type="spellStart"/>
      <w:r w:rsidRPr="00827F91">
        <w:t>rhodopsins</w:t>
      </w:r>
      <w:proofErr w:type="spellEnd"/>
      <w:r w:rsidRPr="00827F91">
        <w:t>. Trends in Microbiology 14:480–487. https://doi.org/10.1016/j.tim.2006.09.005</w:t>
      </w:r>
    </w:p>
    <w:p w14:paraId="72DDBDA0" w14:textId="77777777" w:rsidR="00827F91" w:rsidRPr="00827F91" w:rsidRDefault="00827F91" w:rsidP="00827F91">
      <w:pPr>
        <w:pStyle w:val="Bibliography"/>
      </w:pPr>
      <w:proofErr w:type="spellStart"/>
      <w:r w:rsidRPr="00827F91">
        <w:t>Yañez</w:t>
      </w:r>
      <w:proofErr w:type="spellEnd"/>
      <w:r w:rsidRPr="00827F91">
        <w:t xml:space="preserve">-Guerra LA, Thiel D, </w:t>
      </w:r>
      <w:proofErr w:type="spellStart"/>
      <w:r w:rsidRPr="00827F91">
        <w:t>Jékely</w:t>
      </w:r>
      <w:proofErr w:type="spellEnd"/>
      <w:r w:rsidRPr="00827F91">
        <w:t xml:space="preserve"> G (2022) Premetazoan Origin of Neuropeptide Signaling. Molecular Biology and Evolution 39:msac051. https://doi.org/10.1093/molbev/msac051</w:t>
      </w:r>
    </w:p>
    <w:p w14:paraId="7F319C09" w14:textId="5B1E8C82" w:rsidR="00827F91" w:rsidRPr="00827F91" w:rsidRDefault="00827F91" w:rsidP="00827F91">
      <w:r>
        <w:fldChar w:fldCharType="end"/>
      </w:r>
    </w:p>
    <w:sectPr w:rsidR="00827F91" w:rsidRPr="00827F91" w:rsidSect="007B0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eatedByUserCustomization"/>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F91"/>
    <w:rsid w:val="00000982"/>
    <w:rsid w:val="00000AA1"/>
    <w:rsid w:val="00000AAF"/>
    <w:rsid w:val="000014D8"/>
    <w:rsid w:val="00001C9C"/>
    <w:rsid w:val="0000364D"/>
    <w:rsid w:val="00003A8B"/>
    <w:rsid w:val="00004371"/>
    <w:rsid w:val="0000630F"/>
    <w:rsid w:val="00007044"/>
    <w:rsid w:val="000102AF"/>
    <w:rsid w:val="00011002"/>
    <w:rsid w:val="0001125C"/>
    <w:rsid w:val="00011442"/>
    <w:rsid w:val="00012101"/>
    <w:rsid w:val="000158DE"/>
    <w:rsid w:val="00015DB3"/>
    <w:rsid w:val="000168B2"/>
    <w:rsid w:val="00016FB9"/>
    <w:rsid w:val="00022CEE"/>
    <w:rsid w:val="00022E90"/>
    <w:rsid w:val="0002497E"/>
    <w:rsid w:val="00026AA4"/>
    <w:rsid w:val="00026ABA"/>
    <w:rsid w:val="00026BDA"/>
    <w:rsid w:val="00030D03"/>
    <w:rsid w:val="00031330"/>
    <w:rsid w:val="000313CE"/>
    <w:rsid w:val="00031732"/>
    <w:rsid w:val="0003200B"/>
    <w:rsid w:val="000322D6"/>
    <w:rsid w:val="00041EA7"/>
    <w:rsid w:val="00042336"/>
    <w:rsid w:val="00042B5C"/>
    <w:rsid w:val="00043A88"/>
    <w:rsid w:val="000440BF"/>
    <w:rsid w:val="00044647"/>
    <w:rsid w:val="0004670C"/>
    <w:rsid w:val="00047F09"/>
    <w:rsid w:val="00050910"/>
    <w:rsid w:val="00050E41"/>
    <w:rsid w:val="00051E23"/>
    <w:rsid w:val="00052CCA"/>
    <w:rsid w:val="000541F1"/>
    <w:rsid w:val="000549E9"/>
    <w:rsid w:val="00057613"/>
    <w:rsid w:val="000616DE"/>
    <w:rsid w:val="000617D4"/>
    <w:rsid w:val="0006368C"/>
    <w:rsid w:val="00063B38"/>
    <w:rsid w:val="00063CF5"/>
    <w:rsid w:val="00065AEF"/>
    <w:rsid w:val="000663F9"/>
    <w:rsid w:val="00066FAE"/>
    <w:rsid w:val="00067D29"/>
    <w:rsid w:val="00071EF8"/>
    <w:rsid w:val="00073255"/>
    <w:rsid w:val="00073999"/>
    <w:rsid w:val="00074234"/>
    <w:rsid w:val="000778F8"/>
    <w:rsid w:val="00077D2F"/>
    <w:rsid w:val="000809AB"/>
    <w:rsid w:val="000838F0"/>
    <w:rsid w:val="000843AD"/>
    <w:rsid w:val="0008575A"/>
    <w:rsid w:val="000858CF"/>
    <w:rsid w:val="000873C7"/>
    <w:rsid w:val="00087EBA"/>
    <w:rsid w:val="0009020C"/>
    <w:rsid w:val="00090445"/>
    <w:rsid w:val="00090F9A"/>
    <w:rsid w:val="00090FAF"/>
    <w:rsid w:val="000910C5"/>
    <w:rsid w:val="000915D6"/>
    <w:rsid w:val="0009293B"/>
    <w:rsid w:val="00093DC0"/>
    <w:rsid w:val="00094C57"/>
    <w:rsid w:val="000969F9"/>
    <w:rsid w:val="000979E8"/>
    <w:rsid w:val="000A0322"/>
    <w:rsid w:val="000A0406"/>
    <w:rsid w:val="000A1AA2"/>
    <w:rsid w:val="000A546D"/>
    <w:rsid w:val="000B0CD4"/>
    <w:rsid w:val="000B122B"/>
    <w:rsid w:val="000B188C"/>
    <w:rsid w:val="000B4225"/>
    <w:rsid w:val="000B4E3B"/>
    <w:rsid w:val="000B4EAC"/>
    <w:rsid w:val="000B5253"/>
    <w:rsid w:val="000C238D"/>
    <w:rsid w:val="000C2673"/>
    <w:rsid w:val="000C5E8C"/>
    <w:rsid w:val="000C63EA"/>
    <w:rsid w:val="000C678A"/>
    <w:rsid w:val="000C6B11"/>
    <w:rsid w:val="000D2718"/>
    <w:rsid w:val="000D2F97"/>
    <w:rsid w:val="000D32AF"/>
    <w:rsid w:val="000D4006"/>
    <w:rsid w:val="000D43B7"/>
    <w:rsid w:val="000D6D94"/>
    <w:rsid w:val="000D6E08"/>
    <w:rsid w:val="000D7013"/>
    <w:rsid w:val="000D7438"/>
    <w:rsid w:val="000E0AF0"/>
    <w:rsid w:val="000E1448"/>
    <w:rsid w:val="000E158B"/>
    <w:rsid w:val="000E30CB"/>
    <w:rsid w:val="000E3392"/>
    <w:rsid w:val="000E3694"/>
    <w:rsid w:val="000E4808"/>
    <w:rsid w:val="000E5220"/>
    <w:rsid w:val="000E5DF4"/>
    <w:rsid w:val="000E7123"/>
    <w:rsid w:val="000E7B25"/>
    <w:rsid w:val="000F55D0"/>
    <w:rsid w:val="000F5DCC"/>
    <w:rsid w:val="000F7019"/>
    <w:rsid w:val="000F7221"/>
    <w:rsid w:val="000F7E35"/>
    <w:rsid w:val="00100A7D"/>
    <w:rsid w:val="00101C15"/>
    <w:rsid w:val="00102034"/>
    <w:rsid w:val="001044E7"/>
    <w:rsid w:val="001047C0"/>
    <w:rsid w:val="00107696"/>
    <w:rsid w:val="00110065"/>
    <w:rsid w:val="00110F75"/>
    <w:rsid w:val="001115D9"/>
    <w:rsid w:val="0011284C"/>
    <w:rsid w:val="00113EE6"/>
    <w:rsid w:val="00114227"/>
    <w:rsid w:val="00115FE9"/>
    <w:rsid w:val="0011662A"/>
    <w:rsid w:val="001174BD"/>
    <w:rsid w:val="00120AED"/>
    <w:rsid w:val="0012362A"/>
    <w:rsid w:val="001238C0"/>
    <w:rsid w:val="00124B1B"/>
    <w:rsid w:val="00126D0D"/>
    <w:rsid w:val="00127120"/>
    <w:rsid w:val="00130AF6"/>
    <w:rsid w:val="00132D15"/>
    <w:rsid w:val="0013461B"/>
    <w:rsid w:val="00135598"/>
    <w:rsid w:val="00141FCD"/>
    <w:rsid w:val="00145C53"/>
    <w:rsid w:val="00146C8F"/>
    <w:rsid w:val="00146E0C"/>
    <w:rsid w:val="001477D9"/>
    <w:rsid w:val="0015049F"/>
    <w:rsid w:val="001516B9"/>
    <w:rsid w:val="00151AAB"/>
    <w:rsid w:val="00151CF1"/>
    <w:rsid w:val="00156491"/>
    <w:rsid w:val="00161288"/>
    <w:rsid w:val="001617FB"/>
    <w:rsid w:val="00162703"/>
    <w:rsid w:val="001664D4"/>
    <w:rsid w:val="001666D3"/>
    <w:rsid w:val="00166F2E"/>
    <w:rsid w:val="001674FF"/>
    <w:rsid w:val="00167DE1"/>
    <w:rsid w:val="00174806"/>
    <w:rsid w:val="00174AA6"/>
    <w:rsid w:val="00183FFC"/>
    <w:rsid w:val="0018463F"/>
    <w:rsid w:val="00185404"/>
    <w:rsid w:val="001868DA"/>
    <w:rsid w:val="00193290"/>
    <w:rsid w:val="00193453"/>
    <w:rsid w:val="00194D8D"/>
    <w:rsid w:val="00195288"/>
    <w:rsid w:val="001971B8"/>
    <w:rsid w:val="001975EC"/>
    <w:rsid w:val="00197B59"/>
    <w:rsid w:val="00197FC3"/>
    <w:rsid w:val="001A1431"/>
    <w:rsid w:val="001A205E"/>
    <w:rsid w:val="001A39F6"/>
    <w:rsid w:val="001A3F51"/>
    <w:rsid w:val="001A474D"/>
    <w:rsid w:val="001A5083"/>
    <w:rsid w:val="001A616C"/>
    <w:rsid w:val="001A753B"/>
    <w:rsid w:val="001A7F76"/>
    <w:rsid w:val="001B0647"/>
    <w:rsid w:val="001B220F"/>
    <w:rsid w:val="001B26AB"/>
    <w:rsid w:val="001B3B1A"/>
    <w:rsid w:val="001B3F83"/>
    <w:rsid w:val="001B4E12"/>
    <w:rsid w:val="001B5150"/>
    <w:rsid w:val="001B6546"/>
    <w:rsid w:val="001B782A"/>
    <w:rsid w:val="001C1E79"/>
    <w:rsid w:val="001C1F36"/>
    <w:rsid w:val="001C1F7A"/>
    <w:rsid w:val="001C1FD4"/>
    <w:rsid w:val="001C4396"/>
    <w:rsid w:val="001C5A06"/>
    <w:rsid w:val="001D0682"/>
    <w:rsid w:val="001D0A08"/>
    <w:rsid w:val="001D3A25"/>
    <w:rsid w:val="001D6601"/>
    <w:rsid w:val="001D689F"/>
    <w:rsid w:val="001D7BA0"/>
    <w:rsid w:val="001E0F38"/>
    <w:rsid w:val="001E1246"/>
    <w:rsid w:val="001E1281"/>
    <w:rsid w:val="001E358D"/>
    <w:rsid w:val="001E6C16"/>
    <w:rsid w:val="001F12EB"/>
    <w:rsid w:val="001F19C6"/>
    <w:rsid w:val="001F1B7B"/>
    <w:rsid w:val="001F2429"/>
    <w:rsid w:val="001F3FDE"/>
    <w:rsid w:val="001F535B"/>
    <w:rsid w:val="00200A07"/>
    <w:rsid w:val="00201604"/>
    <w:rsid w:val="00201B76"/>
    <w:rsid w:val="00202613"/>
    <w:rsid w:val="00204BF3"/>
    <w:rsid w:val="00206068"/>
    <w:rsid w:val="002072EB"/>
    <w:rsid w:val="00210A50"/>
    <w:rsid w:val="0021268B"/>
    <w:rsid w:val="00214354"/>
    <w:rsid w:val="00221E86"/>
    <w:rsid w:val="002303D1"/>
    <w:rsid w:val="0023206E"/>
    <w:rsid w:val="002340EF"/>
    <w:rsid w:val="00234425"/>
    <w:rsid w:val="002350E8"/>
    <w:rsid w:val="00235904"/>
    <w:rsid w:val="002359F5"/>
    <w:rsid w:val="00235D56"/>
    <w:rsid w:val="00236F5F"/>
    <w:rsid w:val="00237F7E"/>
    <w:rsid w:val="00241039"/>
    <w:rsid w:val="00244381"/>
    <w:rsid w:val="002467F9"/>
    <w:rsid w:val="002469BD"/>
    <w:rsid w:val="00250011"/>
    <w:rsid w:val="00251149"/>
    <w:rsid w:val="00251FE6"/>
    <w:rsid w:val="00254FE8"/>
    <w:rsid w:val="0025636B"/>
    <w:rsid w:val="0026029B"/>
    <w:rsid w:val="00261330"/>
    <w:rsid w:val="00261491"/>
    <w:rsid w:val="00261E6A"/>
    <w:rsid w:val="00263326"/>
    <w:rsid w:val="00264624"/>
    <w:rsid w:val="00274284"/>
    <w:rsid w:val="00274564"/>
    <w:rsid w:val="00274AB1"/>
    <w:rsid w:val="00274B67"/>
    <w:rsid w:val="00274FA3"/>
    <w:rsid w:val="00275106"/>
    <w:rsid w:val="002754AA"/>
    <w:rsid w:val="00276218"/>
    <w:rsid w:val="00276B22"/>
    <w:rsid w:val="00276CFA"/>
    <w:rsid w:val="0028154A"/>
    <w:rsid w:val="00282CA2"/>
    <w:rsid w:val="002847B6"/>
    <w:rsid w:val="00285440"/>
    <w:rsid w:val="00286C30"/>
    <w:rsid w:val="0029139B"/>
    <w:rsid w:val="00293918"/>
    <w:rsid w:val="00293B4E"/>
    <w:rsid w:val="0029447A"/>
    <w:rsid w:val="0029588A"/>
    <w:rsid w:val="00295E1D"/>
    <w:rsid w:val="0029624F"/>
    <w:rsid w:val="002962A9"/>
    <w:rsid w:val="00296859"/>
    <w:rsid w:val="002A154E"/>
    <w:rsid w:val="002A1BB4"/>
    <w:rsid w:val="002A2ACD"/>
    <w:rsid w:val="002A31D4"/>
    <w:rsid w:val="002A499F"/>
    <w:rsid w:val="002A7E7C"/>
    <w:rsid w:val="002B1C57"/>
    <w:rsid w:val="002B730F"/>
    <w:rsid w:val="002C3C95"/>
    <w:rsid w:val="002C4F05"/>
    <w:rsid w:val="002D14F3"/>
    <w:rsid w:val="002D3C7E"/>
    <w:rsid w:val="002D5F06"/>
    <w:rsid w:val="002D5FE8"/>
    <w:rsid w:val="002D67B5"/>
    <w:rsid w:val="002D6C20"/>
    <w:rsid w:val="002D74A5"/>
    <w:rsid w:val="002D77D9"/>
    <w:rsid w:val="002E0300"/>
    <w:rsid w:val="002E1BBA"/>
    <w:rsid w:val="002E3126"/>
    <w:rsid w:val="002E40BD"/>
    <w:rsid w:val="002E5BBE"/>
    <w:rsid w:val="002F288A"/>
    <w:rsid w:val="002F290C"/>
    <w:rsid w:val="002F32E9"/>
    <w:rsid w:val="002F3C14"/>
    <w:rsid w:val="002F40C3"/>
    <w:rsid w:val="002F4B6C"/>
    <w:rsid w:val="00300BD1"/>
    <w:rsid w:val="0030202F"/>
    <w:rsid w:val="00304FB7"/>
    <w:rsid w:val="0030519D"/>
    <w:rsid w:val="00305A29"/>
    <w:rsid w:val="00305F21"/>
    <w:rsid w:val="00310405"/>
    <w:rsid w:val="00311811"/>
    <w:rsid w:val="00311F0D"/>
    <w:rsid w:val="003131B5"/>
    <w:rsid w:val="00313D97"/>
    <w:rsid w:val="0031447C"/>
    <w:rsid w:val="00315E72"/>
    <w:rsid w:val="0032090F"/>
    <w:rsid w:val="00321406"/>
    <w:rsid w:val="00323223"/>
    <w:rsid w:val="003275F2"/>
    <w:rsid w:val="00327628"/>
    <w:rsid w:val="00331D7D"/>
    <w:rsid w:val="00331E03"/>
    <w:rsid w:val="00333F5E"/>
    <w:rsid w:val="00335578"/>
    <w:rsid w:val="003368F0"/>
    <w:rsid w:val="00341D1C"/>
    <w:rsid w:val="003448EA"/>
    <w:rsid w:val="00345910"/>
    <w:rsid w:val="00347382"/>
    <w:rsid w:val="003477BE"/>
    <w:rsid w:val="00350707"/>
    <w:rsid w:val="0035073E"/>
    <w:rsid w:val="00350BE7"/>
    <w:rsid w:val="0035238A"/>
    <w:rsid w:val="00352D16"/>
    <w:rsid w:val="00353ACC"/>
    <w:rsid w:val="00357EB7"/>
    <w:rsid w:val="00360488"/>
    <w:rsid w:val="0036099A"/>
    <w:rsid w:val="003618C9"/>
    <w:rsid w:val="00361EF7"/>
    <w:rsid w:val="00362A2E"/>
    <w:rsid w:val="00362B20"/>
    <w:rsid w:val="00372182"/>
    <w:rsid w:val="00372197"/>
    <w:rsid w:val="003733F2"/>
    <w:rsid w:val="00373744"/>
    <w:rsid w:val="0037385D"/>
    <w:rsid w:val="0037521F"/>
    <w:rsid w:val="003757EE"/>
    <w:rsid w:val="00377CED"/>
    <w:rsid w:val="00380703"/>
    <w:rsid w:val="0038135C"/>
    <w:rsid w:val="00381ECB"/>
    <w:rsid w:val="00386F1A"/>
    <w:rsid w:val="003870BE"/>
    <w:rsid w:val="00387FF6"/>
    <w:rsid w:val="00391BDE"/>
    <w:rsid w:val="00393BF1"/>
    <w:rsid w:val="003941A6"/>
    <w:rsid w:val="0039627C"/>
    <w:rsid w:val="003A02C6"/>
    <w:rsid w:val="003A0E36"/>
    <w:rsid w:val="003A3785"/>
    <w:rsid w:val="003A3B05"/>
    <w:rsid w:val="003A4D54"/>
    <w:rsid w:val="003A5D47"/>
    <w:rsid w:val="003A7C8F"/>
    <w:rsid w:val="003B0D90"/>
    <w:rsid w:val="003B27B4"/>
    <w:rsid w:val="003B3A21"/>
    <w:rsid w:val="003B4D71"/>
    <w:rsid w:val="003B4FCB"/>
    <w:rsid w:val="003B5419"/>
    <w:rsid w:val="003B701D"/>
    <w:rsid w:val="003C0ED2"/>
    <w:rsid w:val="003C2B22"/>
    <w:rsid w:val="003C2B45"/>
    <w:rsid w:val="003C3982"/>
    <w:rsid w:val="003C3CE0"/>
    <w:rsid w:val="003C7B38"/>
    <w:rsid w:val="003D22F9"/>
    <w:rsid w:val="003D2604"/>
    <w:rsid w:val="003D42AD"/>
    <w:rsid w:val="003D4C3D"/>
    <w:rsid w:val="003D570D"/>
    <w:rsid w:val="003E07FF"/>
    <w:rsid w:val="003E3101"/>
    <w:rsid w:val="003E359D"/>
    <w:rsid w:val="003E3AB3"/>
    <w:rsid w:val="003E4C46"/>
    <w:rsid w:val="003E5A88"/>
    <w:rsid w:val="003E5B74"/>
    <w:rsid w:val="003E5DE0"/>
    <w:rsid w:val="003F0D3C"/>
    <w:rsid w:val="003F1FED"/>
    <w:rsid w:val="003F232C"/>
    <w:rsid w:val="003F29DC"/>
    <w:rsid w:val="003F2B9D"/>
    <w:rsid w:val="003F331B"/>
    <w:rsid w:val="003F3400"/>
    <w:rsid w:val="003F4977"/>
    <w:rsid w:val="003F65BB"/>
    <w:rsid w:val="003F7E4D"/>
    <w:rsid w:val="00402777"/>
    <w:rsid w:val="004033E1"/>
    <w:rsid w:val="0040535E"/>
    <w:rsid w:val="00406C84"/>
    <w:rsid w:val="00410580"/>
    <w:rsid w:val="004116B3"/>
    <w:rsid w:val="004210E6"/>
    <w:rsid w:val="00421C4F"/>
    <w:rsid w:val="00423E12"/>
    <w:rsid w:val="00426AEE"/>
    <w:rsid w:val="00430F08"/>
    <w:rsid w:val="00434B4B"/>
    <w:rsid w:val="004356BC"/>
    <w:rsid w:val="00436B0C"/>
    <w:rsid w:val="004403DA"/>
    <w:rsid w:val="004471CA"/>
    <w:rsid w:val="00450014"/>
    <w:rsid w:val="00450D46"/>
    <w:rsid w:val="0045437C"/>
    <w:rsid w:val="00454ACF"/>
    <w:rsid w:val="004600D0"/>
    <w:rsid w:val="00460A3C"/>
    <w:rsid w:val="004610A2"/>
    <w:rsid w:val="00462D14"/>
    <w:rsid w:val="004635C6"/>
    <w:rsid w:val="00463BD4"/>
    <w:rsid w:val="00465E5A"/>
    <w:rsid w:val="00473134"/>
    <w:rsid w:val="0047352E"/>
    <w:rsid w:val="00473B2B"/>
    <w:rsid w:val="00477310"/>
    <w:rsid w:val="00482E2D"/>
    <w:rsid w:val="004842FF"/>
    <w:rsid w:val="00487814"/>
    <w:rsid w:val="00494F1F"/>
    <w:rsid w:val="00495AA2"/>
    <w:rsid w:val="004A0BD6"/>
    <w:rsid w:val="004A0CC9"/>
    <w:rsid w:val="004A1F39"/>
    <w:rsid w:val="004A400B"/>
    <w:rsid w:val="004A49FF"/>
    <w:rsid w:val="004A5E10"/>
    <w:rsid w:val="004A6C2C"/>
    <w:rsid w:val="004A756B"/>
    <w:rsid w:val="004A7F09"/>
    <w:rsid w:val="004B0DAE"/>
    <w:rsid w:val="004B649E"/>
    <w:rsid w:val="004C0CB7"/>
    <w:rsid w:val="004C14B0"/>
    <w:rsid w:val="004C2FCA"/>
    <w:rsid w:val="004C341E"/>
    <w:rsid w:val="004C3D85"/>
    <w:rsid w:val="004C3FB3"/>
    <w:rsid w:val="004D0612"/>
    <w:rsid w:val="004D3A09"/>
    <w:rsid w:val="004D52C9"/>
    <w:rsid w:val="004D56FF"/>
    <w:rsid w:val="004D5C42"/>
    <w:rsid w:val="004D72AA"/>
    <w:rsid w:val="004E0851"/>
    <w:rsid w:val="004E1AFF"/>
    <w:rsid w:val="004E38C3"/>
    <w:rsid w:val="004E3C41"/>
    <w:rsid w:val="004E3C5F"/>
    <w:rsid w:val="004E4342"/>
    <w:rsid w:val="004E49E7"/>
    <w:rsid w:val="004E559C"/>
    <w:rsid w:val="004E6AD6"/>
    <w:rsid w:val="004E7C71"/>
    <w:rsid w:val="004F0CAB"/>
    <w:rsid w:val="004F472C"/>
    <w:rsid w:val="004F4F87"/>
    <w:rsid w:val="004F5818"/>
    <w:rsid w:val="004F6147"/>
    <w:rsid w:val="004F687F"/>
    <w:rsid w:val="004F6D7B"/>
    <w:rsid w:val="00505B16"/>
    <w:rsid w:val="00505F6C"/>
    <w:rsid w:val="0050707C"/>
    <w:rsid w:val="00507083"/>
    <w:rsid w:val="00513334"/>
    <w:rsid w:val="0051362C"/>
    <w:rsid w:val="00513BDE"/>
    <w:rsid w:val="00513D42"/>
    <w:rsid w:val="005148BB"/>
    <w:rsid w:val="00517AA4"/>
    <w:rsid w:val="0052015F"/>
    <w:rsid w:val="00521475"/>
    <w:rsid w:val="00522CED"/>
    <w:rsid w:val="00523A73"/>
    <w:rsid w:val="00525D79"/>
    <w:rsid w:val="005269BD"/>
    <w:rsid w:val="00527D82"/>
    <w:rsid w:val="0053109D"/>
    <w:rsid w:val="00531D76"/>
    <w:rsid w:val="005323C4"/>
    <w:rsid w:val="0053516F"/>
    <w:rsid w:val="0053594A"/>
    <w:rsid w:val="00535A25"/>
    <w:rsid w:val="005406BA"/>
    <w:rsid w:val="00542C88"/>
    <w:rsid w:val="005432C9"/>
    <w:rsid w:val="00544525"/>
    <w:rsid w:val="005449AE"/>
    <w:rsid w:val="00546127"/>
    <w:rsid w:val="00546703"/>
    <w:rsid w:val="0055052E"/>
    <w:rsid w:val="005506FB"/>
    <w:rsid w:val="0055221A"/>
    <w:rsid w:val="00553136"/>
    <w:rsid w:val="00553474"/>
    <w:rsid w:val="005538AB"/>
    <w:rsid w:val="00554484"/>
    <w:rsid w:val="0055649C"/>
    <w:rsid w:val="00556E3E"/>
    <w:rsid w:val="0056219C"/>
    <w:rsid w:val="00562B0C"/>
    <w:rsid w:val="00564544"/>
    <w:rsid w:val="0056549D"/>
    <w:rsid w:val="00565E1F"/>
    <w:rsid w:val="0056761F"/>
    <w:rsid w:val="0057059C"/>
    <w:rsid w:val="00570EE4"/>
    <w:rsid w:val="00572484"/>
    <w:rsid w:val="00572BDE"/>
    <w:rsid w:val="005740C6"/>
    <w:rsid w:val="00574614"/>
    <w:rsid w:val="0057786A"/>
    <w:rsid w:val="00577911"/>
    <w:rsid w:val="00577D40"/>
    <w:rsid w:val="0058170C"/>
    <w:rsid w:val="005827B8"/>
    <w:rsid w:val="00582E6D"/>
    <w:rsid w:val="00584FDE"/>
    <w:rsid w:val="00585BF4"/>
    <w:rsid w:val="00593601"/>
    <w:rsid w:val="005938B4"/>
    <w:rsid w:val="00593BF3"/>
    <w:rsid w:val="00597F04"/>
    <w:rsid w:val="005A0109"/>
    <w:rsid w:val="005A045B"/>
    <w:rsid w:val="005A0ACE"/>
    <w:rsid w:val="005A17AD"/>
    <w:rsid w:val="005A363D"/>
    <w:rsid w:val="005A72B4"/>
    <w:rsid w:val="005A78CA"/>
    <w:rsid w:val="005B157B"/>
    <w:rsid w:val="005B325F"/>
    <w:rsid w:val="005B3785"/>
    <w:rsid w:val="005B378B"/>
    <w:rsid w:val="005B3985"/>
    <w:rsid w:val="005B45A3"/>
    <w:rsid w:val="005B5AF2"/>
    <w:rsid w:val="005B730F"/>
    <w:rsid w:val="005C019C"/>
    <w:rsid w:val="005C3105"/>
    <w:rsid w:val="005C60CF"/>
    <w:rsid w:val="005C6866"/>
    <w:rsid w:val="005C74C0"/>
    <w:rsid w:val="005D0265"/>
    <w:rsid w:val="005D09DA"/>
    <w:rsid w:val="005D261A"/>
    <w:rsid w:val="005D4B4C"/>
    <w:rsid w:val="005D550F"/>
    <w:rsid w:val="005D67AE"/>
    <w:rsid w:val="005E226D"/>
    <w:rsid w:val="005E267C"/>
    <w:rsid w:val="005E2A03"/>
    <w:rsid w:val="005E7806"/>
    <w:rsid w:val="005F149B"/>
    <w:rsid w:val="005F1A21"/>
    <w:rsid w:val="005F3125"/>
    <w:rsid w:val="005F42A4"/>
    <w:rsid w:val="005F5057"/>
    <w:rsid w:val="005F67F8"/>
    <w:rsid w:val="00600005"/>
    <w:rsid w:val="00600AEF"/>
    <w:rsid w:val="00601DA3"/>
    <w:rsid w:val="006035D2"/>
    <w:rsid w:val="006038B8"/>
    <w:rsid w:val="0060416A"/>
    <w:rsid w:val="00606391"/>
    <w:rsid w:val="006079F9"/>
    <w:rsid w:val="00611416"/>
    <w:rsid w:val="00614C85"/>
    <w:rsid w:val="006155AA"/>
    <w:rsid w:val="00616110"/>
    <w:rsid w:val="00617155"/>
    <w:rsid w:val="00621566"/>
    <w:rsid w:val="006228A2"/>
    <w:rsid w:val="006234FB"/>
    <w:rsid w:val="00624F6C"/>
    <w:rsid w:val="00627696"/>
    <w:rsid w:val="00630054"/>
    <w:rsid w:val="00632591"/>
    <w:rsid w:val="00632E2D"/>
    <w:rsid w:val="006361A0"/>
    <w:rsid w:val="0063720C"/>
    <w:rsid w:val="00643E0F"/>
    <w:rsid w:val="00644372"/>
    <w:rsid w:val="006453F0"/>
    <w:rsid w:val="00645B8B"/>
    <w:rsid w:val="00645D8C"/>
    <w:rsid w:val="0064629B"/>
    <w:rsid w:val="00646359"/>
    <w:rsid w:val="0064654A"/>
    <w:rsid w:val="00646EF4"/>
    <w:rsid w:val="0064761F"/>
    <w:rsid w:val="00650435"/>
    <w:rsid w:val="00650AA1"/>
    <w:rsid w:val="006511C8"/>
    <w:rsid w:val="0065301C"/>
    <w:rsid w:val="00653870"/>
    <w:rsid w:val="00653BC3"/>
    <w:rsid w:val="00655D9C"/>
    <w:rsid w:val="00655ECD"/>
    <w:rsid w:val="00656DD5"/>
    <w:rsid w:val="0065700A"/>
    <w:rsid w:val="006610CD"/>
    <w:rsid w:val="00664870"/>
    <w:rsid w:val="00664DC2"/>
    <w:rsid w:val="00666AA9"/>
    <w:rsid w:val="00667063"/>
    <w:rsid w:val="00667329"/>
    <w:rsid w:val="00667697"/>
    <w:rsid w:val="0067101F"/>
    <w:rsid w:val="006717AA"/>
    <w:rsid w:val="006718D6"/>
    <w:rsid w:val="00672CC4"/>
    <w:rsid w:val="006743B2"/>
    <w:rsid w:val="006764FE"/>
    <w:rsid w:val="00676BEA"/>
    <w:rsid w:val="006812E2"/>
    <w:rsid w:val="006816D2"/>
    <w:rsid w:val="00682FE0"/>
    <w:rsid w:val="00684DAD"/>
    <w:rsid w:val="00686198"/>
    <w:rsid w:val="00687E0E"/>
    <w:rsid w:val="0069180D"/>
    <w:rsid w:val="00697518"/>
    <w:rsid w:val="00697C8D"/>
    <w:rsid w:val="006A0041"/>
    <w:rsid w:val="006A0FA5"/>
    <w:rsid w:val="006A3D7D"/>
    <w:rsid w:val="006A5B5C"/>
    <w:rsid w:val="006A66AD"/>
    <w:rsid w:val="006B27BB"/>
    <w:rsid w:val="006B56CD"/>
    <w:rsid w:val="006B6EEB"/>
    <w:rsid w:val="006B6F5A"/>
    <w:rsid w:val="006C0EE4"/>
    <w:rsid w:val="006C51DA"/>
    <w:rsid w:val="006C57E5"/>
    <w:rsid w:val="006C595B"/>
    <w:rsid w:val="006C5EBB"/>
    <w:rsid w:val="006C7DC5"/>
    <w:rsid w:val="006C7DE4"/>
    <w:rsid w:val="006D1691"/>
    <w:rsid w:val="006D31ED"/>
    <w:rsid w:val="006D3245"/>
    <w:rsid w:val="006D39B8"/>
    <w:rsid w:val="006D3EF3"/>
    <w:rsid w:val="006D5FB0"/>
    <w:rsid w:val="006D72F4"/>
    <w:rsid w:val="006D7880"/>
    <w:rsid w:val="006E0D49"/>
    <w:rsid w:val="006E7504"/>
    <w:rsid w:val="006F2962"/>
    <w:rsid w:val="006F38D8"/>
    <w:rsid w:val="006F5DB6"/>
    <w:rsid w:val="006F70A7"/>
    <w:rsid w:val="006F7190"/>
    <w:rsid w:val="006F7843"/>
    <w:rsid w:val="006F7A89"/>
    <w:rsid w:val="00700B02"/>
    <w:rsid w:val="00700B6C"/>
    <w:rsid w:val="00701327"/>
    <w:rsid w:val="00701A9A"/>
    <w:rsid w:val="0070493C"/>
    <w:rsid w:val="00705A0F"/>
    <w:rsid w:val="00706411"/>
    <w:rsid w:val="00707610"/>
    <w:rsid w:val="007076D6"/>
    <w:rsid w:val="007103CC"/>
    <w:rsid w:val="00710C82"/>
    <w:rsid w:val="00711BF4"/>
    <w:rsid w:val="00712CC0"/>
    <w:rsid w:val="00714472"/>
    <w:rsid w:val="00716AB5"/>
    <w:rsid w:val="00717674"/>
    <w:rsid w:val="0072139A"/>
    <w:rsid w:val="00721874"/>
    <w:rsid w:val="00723880"/>
    <w:rsid w:val="007277EF"/>
    <w:rsid w:val="00727C1C"/>
    <w:rsid w:val="00730A5E"/>
    <w:rsid w:val="00731499"/>
    <w:rsid w:val="00731C7D"/>
    <w:rsid w:val="00731FBF"/>
    <w:rsid w:val="00732CA9"/>
    <w:rsid w:val="00733B5E"/>
    <w:rsid w:val="00734D52"/>
    <w:rsid w:val="00737D4A"/>
    <w:rsid w:val="007417D4"/>
    <w:rsid w:val="00741D6B"/>
    <w:rsid w:val="0074407B"/>
    <w:rsid w:val="00744533"/>
    <w:rsid w:val="00745EBA"/>
    <w:rsid w:val="0074676B"/>
    <w:rsid w:val="00747F0C"/>
    <w:rsid w:val="00750002"/>
    <w:rsid w:val="00752EDA"/>
    <w:rsid w:val="00753FBD"/>
    <w:rsid w:val="007544CA"/>
    <w:rsid w:val="0075722B"/>
    <w:rsid w:val="00757234"/>
    <w:rsid w:val="00761B4E"/>
    <w:rsid w:val="00765C7D"/>
    <w:rsid w:val="007665EF"/>
    <w:rsid w:val="007669FC"/>
    <w:rsid w:val="00774A07"/>
    <w:rsid w:val="00776E90"/>
    <w:rsid w:val="007809F5"/>
    <w:rsid w:val="00781D18"/>
    <w:rsid w:val="007837C6"/>
    <w:rsid w:val="007846C7"/>
    <w:rsid w:val="0078565D"/>
    <w:rsid w:val="007875AF"/>
    <w:rsid w:val="0079110D"/>
    <w:rsid w:val="007933E6"/>
    <w:rsid w:val="00795A77"/>
    <w:rsid w:val="00797038"/>
    <w:rsid w:val="00797D9E"/>
    <w:rsid w:val="007A24B1"/>
    <w:rsid w:val="007A3E78"/>
    <w:rsid w:val="007A483A"/>
    <w:rsid w:val="007B076A"/>
    <w:rsid w:val="007B4E84"/>
    <w:rsid w:val="007B52A9"/>
    <w:rsid w:val="007B62F7"/>
    <w:rsid w:val="007B696B"/>
    <w:rsid w:val="007B7315"/>
    <w:rsid w:val="007C1745"/>
    <w:rsid w:val="007C24F1"/>
    <w:rsid w:val="007C308D"/>
    <w:rsid w:val="007C60FF"/>
    <w:rsid w:val="007C7DC8"/>
    <w:rsid w:val="007D2234"/>
    <w:rsid w:val="007D251E"/>
    <w:rsid w:val="007D271D"/>
    <w:rsid w:val="007D2D58"/>
    <w:rsid w:val="007D4A83"/>
    <w:rsid w:val="007D4D48"/>
    <w:rsid w:val="007E3A67"/>
    <w:rsid w:val="007E5D68"/>
    <w:rsid w:val="007E62EE"/>
    <w:rsid w:val="007F26EE"/>
    <w:rsid w:val="007F3E9B"/>
    <w:rsid w:val="007F4316"/>
    <w:rsid w:val="007F6FCF"/>
    <w:rsid w:val="008013DB"/>
    <w:rsid w:val="00801F60"/>
    <w:rsid w:val="00805211"/>
    <w:rsid w:val="00805652"/>
    <w:rsid w:val="00807695"/>
    <w:rsid w:val="00807C75"/>
    <w:rsid w:val="00807E41"/>
    <w:rsid w:val="008106BB"/>
    <w:rsid w:val="0081077A"/>
    <w:rsid w:val="008115B8"/>
    <w:rsid w:val="008128E6"/>
    <w:rsid w:val="00812B3F"/>
    <w:rsid w:val="008139BE"/>
    <w:rsid w:val="008151BA"/>
    <w:rsid w:val="00815A80"/>
    <w:rsid w:val="00815BE3"/>
    <w:rsid w:val="00816C45"/>
    <w:rsid w:val="00816E83"/>
    <w:rsid w:val="0081714C"/>
    <w:rsid w:val="008173DE"/>
    <w:rsid w:val="00817FAF"/>
    <w:rsid w:val="0082123C"/>
    <w:rsid w:val="0082374F"/>
    <w:rsid w:val="00824AFB"/>
    <w:rsid w:val="00826338"/>
    <w:rsid w:val="00827F91"/>
    <w:rsid w:val="00832409"/>
    <w:rsid w:val="00832571"/>
    <w:rsid w:val="00835620"/>
    <w:rsid w:val="00837222"/>
    <w:rsid w:val="00840FEF"/>
    <w:rsid w:val="00843285"/>
    <w:rsid w:val="00843464"/>
    <w:rsid w:val="008449A7"/>
    <w:rsid w:val="00847B0E"/>
    <w:rsid w:val="008538CE"/>
    <w:rsid w:val="00853E8F"/>
    <w:rsid w:val="00854CC0"/>
    <w:rsid w:val="00854CF2"/>
    <w:rsid w:val="00857AF5"/>
    <w:rsid w:val="00857E78"/>
    <w:rsid w:val="008613AB"/>
    <w:rsid w:val="00862685"/>
    <w:rsid w:val="00863791"/>
    <w:rsid w:val="00872889"/>
    <w:rsid w:val="00872D0E"/>
    <w:rsid w:val="0087349A"/>
    <w:rsid w:val="008741CF"/>
    <w:rsid w:val="0087421E"/>
    <w:rsid w:val="00874B89"/>
    <w:rsid w:val="00875D81"/>
    <w:rsid w:val="00876203"/>
    <w:rsid w:val="008801CE"/>
    <w:rsid w:val="00880C52"/>
    <w:rsid w:val="0088340F"/>
    <w:rsid w:val="00885187"/>
    <w:rsid w:val="00885562"/>
    <w:rsid w:val="00885A0D"/>
    <w:rsid w:val="00886091"/>
    <w:rsid w:val="0089573F"/>
    <w:rsid w:val="00897979"/>
    <w:rsid w:val="00897DC2"/>
    <w:rsid w:val="008A2F03"/>
    <w:rsid w:val="008A35C1"/>
    <w:rsid w:val="008A45CD"/>
    <w:rsid w:val="008A4A01"/>
    <w:rsid w:val="008A4BB8"/>
    <w:rsid w:val="008A62D2"/>
    <w:rsid w:val="008A7D95"/>
    <w:rsid w:val="008B0AAA"/>
    <w:rsid w:val="008B0C7A"/>
    <w:rsid w:val="008B1DFD"/>
    <w:rsid w:val="008B4EBA"/>
    <w:rsid w:val="008B55A1"/>
    <w:rsid w:val="008B6BE4"/>
    <w:rsid w:val="008B7E44"/>
    <w:rsid w:val="008C2494"/>
    <w:rsid w:val="008C358C"/>
    <w:rsid w:val="008C468B"/>
    <w:rsid w:val="008C46AF"/>
    <w:rsid w:val="008C4A96"/>
    <w:rsid w:val="008C67B0"/>
    <w:rsid w:val="008C68A3"/>
    <w:rsid w:val="008C725C"/>
    <w:rsid w:val="008C756E"/>
    <w:rsid w:val="008C7C27"/>
    <w:rsid w:val="008C7C3B"/>
    <w:rsid w:val="008D096A"/>
    <w:rsid w:val="008D1E9F"/>
    <w:rsid w:val="008D3A51"/>
    <w:rsid w:val="008D4C43"/>
    <w:rsid w:val="008D5B3D"/>
    <w:rsid w:val="008D7346"/>
    <w:rsid w:val="008E0A77"/>
    <w:rsid w:val="008E0E84"/>
    <w:rsid w:val="008E0FBA"/>
    <w:rsid w:val="008E6577"/>
    <w:rsid w:val="008E6DF4"/>
    <w:rsid w:val="008E6E96"/>
    <w:rsid w:val="008F02F1"/>
    <w:rsid w:val="008F03C3"/>
    <w:rsid w:val="008F250B"/>
    <w:rsid w:val="008F418B"/>
    <w:rsid w:val="008F44D1"/>
    <w:rsid w:val="008F47C3"/>
    <w:rsid w:val="008F521E"/>
    <w:rsid w:val="008F5F8E"/>
    <w:rsid w:val="008F6503"/>
    <w:rsid w:val="008F6F43"/>
    <w:rsid w:val="008F7D54"/>
    <w:rsid w:val="00900BF5"/>
    <w:rsid w:val="0090307D"/>
    <w:rsid w:val="00904C39"/>
    <w:rsid w:val="00904D0D"/>
    <w:rsid w:val="00904F06"/>
    <w:rsid w:val="00905344"/>
    <w:rsid w:val="00906B81"/>
    <w:rsid w:val="00907A0F"/>
    <w:rsid w:val="00910905"/>
    <w:rsid w:val="009119DA"/>
    <w:rsid w:val="00912DE9"/>
    <w:rsid w:val="0091357C"/>
    <w:rsid w:val="00915CD5"/>
    <w:rsid w:val="00922D63"/>
    <w:rsid w:val="00923A38"/>
    <w:rsid w:val="0092457D"/>
    <w:rsid w:val="00930CCF"/>
    <w:rsid w:val="00930E18"/>
    <w:rsid w:val="0093159B"/>
    <w:rsid w:val="00931693"/>
    <w:rsid w:val="00932A3F"/>
    <w:rsid w:val="00932F27"/>
    <w:rsid w:val="009335F9"/>
    <w:rsid w:val="00934653"/>
    <w:rsid w:val="00934759"/>
    <w:rsid w:val="009347B7"/>
    <w:rsid w:val="00935B3A"/>
    <w:rsid w:val="00936588"/>
    <w:rsid w:val="00940249"/>
    <w:rsid w:val="009407D4"/>
    <w:rsid w:val="009411D7"/>
    <w:rsid w:val="0094347A"/>
    <w:rsid w:val="00945AF1"/>
    <w:rsid w:val="00946AB0"/>
    <w:rsid w:val="00950D18"/>
    <w:rsid w:val="0095141B"/>
    <w:rsid w:val="00953258"/>
    <w:rsid w:val="00953719"/>
    <w:rsid w:val="00956FE1"/>
    <w:rsid w:val="00960D2C"/>
    <w:rsid w:val="009621D9"/>
    <w:rsid w:val="009626C8"/>
    <w:rsid w:val="0096327D"/>
    <w:rsid w:val="0096334C"/>
    <w:rsid w:val="00963DA2"/>
    <w:rsid w:val="00966FEE"/>
    <w:rsid w:val="00970F66"/>
    <w:rsid w:val="00973A16"/>
    <w:rsid w:val="00974099"/>
    <w:rsid w:val="00974128"/>
    <w:rsid w:val="00974B90"/>
    <w:rsid w:val="00974F92"/>
    <w:rsid w:val="00974FAF"/>
    <w:rsid w:val="009810C8"/>
    <w:rsid w:val="00982D03"/>
    <w:rsid w:val="00982DB9"/>
    <w:rsid w:val="00983455"/>
    <w:rsid w:val="009846ED"/>
    <w:rsid w:val="00984791"/>
    <w:rsid w:val="00984D12"/>
    <w:rsid w:val="0098586C"/>
    <w:rsid w:val="009860DA"/>
    <w:rsid w:val="00987EC2"/>
    <w:rsid w:val="00992C88"/>
    <w:rsid w:val="00993115"/>
    <w:rsid w:val="00993726"/>
    <w:rsid w:val="00994D73"/>
    <w:rsid w:val="00996089"/>
    <w:rsid w:val="009A0313"/>
    <w:rsid w:val="009A1042"/>
    <w:rsid w:val="009A2511"/>
    <w:rsid w:val="009A2B4D"/>
    <w:rsid w:val="009A32F1"/>
    <w:rsid w:val="009A3AE2"/>
    <w:rsid w:val="009A509F"/>
    <w:rsid w:val="009A5721"/>
    <w:rsid w:val="009A6F37"/>
    <w:rsid w:val="009A790B"/>
    <w:rsid w:val="009B051F"/>
    <w:rsid w:val="009B0D81"/>
    <w:rsid w:val="009B10C1"/>
    <w:rsid w:val="009B6BF5"/>
    <w:rsid w:val="009B7E43"/>
    <w:rsid w:val="009C0CBB"/>
    <w:rsid w:val="009C0FFA"/>
    <w:rsid w:val="009C17A1"/>
    <w:rsid w:val="009C2265"/>
    <w:rsid w:val="009C308C"/>
    <w:rsid w:val="009C6795"/>
    <w:rsid w:val="009D04B3"/>
    <w:rsid w:val="009D0B75"/>
    <w:rsid w:val="009D1783"/>
    <w:rsid w:val="009D3E76"/>
    <w:rsid w:val="009D41E3"/>
    <w:rsid w:val="009D493E"/>
    <w:rsid w:val="009D4B10"/>
    <w:rsid w:val="009D4EF0"/>
    <w:rsid w:val="009D7723"/>
    <w:rsid w:val="009E0182"/>
    <w:rsid w:val="009E1CE6"/>
    <w:rsid w:val="009E6567"/>
    <w:rsid w:val="009E6593"/>
    <w:rsid w:val="009E6CC0"/>
    <w:rsid w:val="009E74F6"/>
    <w:rsid w:val="009F0E55"/>
    <w:rsid w:val="009F113E"/>
    <w:rsid w:val="009F25A6"/>
    <w:rsid w:val="009F34A4"/>
    <w:rsid w:val="009F4B12"/>
    <w:rsid w:val="009F5BDA"/>
    <w:rsid w:val="009F65B7"/>
    <w:rsid w:val="00A03248"/>
    <w:rsid w:val="00A03C80"/>
    <w:rsid w:val="00A04306"/>
    <w:rsid w:val="00A11730"/>
    <w:rsid w:val="00A12224"/>
    <w:rsid w:val="00A140F1"/>
    <w:rsid w:val="00A1517C"/>
    <w:rsid w:val="00A15D0D"/>
    <w:rsid w:val="00A16B54"/>
    <w:rsid w:val="00A16E6D"/>
    <w:rsid w:val="00A16E91"/>
    <w:rsid w:val="00A1775C"/>
    <w:rsid w:val="00A20419"/>
    <w:rsid w:val="00A20B8A"/>
    <w:rsid w:val="00A2147B"/>
    <w:rsid w:val="00A22339"/>
    <w:rsid w:val="00A226FF"/>
    <w:rsid w:val="00A27FEC"/>
    <w:rsid w:val="00A30B8A"/>
    <w:rsid w:val="00A3606B"/>
    <w:rsid w:val="00A37BAB"/>
    <w:rsid w:val="00A400CD"/>
    <w:rsid w:val="00A41939"/>
    <w:rsid w:val="00A47FC3"/>
    <w:rsid w:val="00A52803"/>
    <w:rsid w:val="00A54883"/>
    <w:rsid w:val="00A55A2F"/>
    <w:rsid w:val="00A56FD7"/>
    <w:rsid w:val="00A57D51"/>
    <w:rsid w:val="00A61172"/>
    <w:rsid w:val="00A6117A"/>
    <w:rsid w:val="00A62A84"/>
    <w:rsid w:val="00A63129"/>
    <w:rsid w:val="00A66E6D"/>
    <w:rsid w:val="00A66F65"/>
    <w:rsid w:val="00A71365"/>
    <w:rsid w:val="00A7182A"/>
    <w:rsid w:val="00A71E0A"/>
    <w:rsid w:val="00A71E81"/>
    <w:rsid w:val="00A7384F"/>
    <w:rsid w:val="00A7494D"/>
    <w:rsid w:val="00A7568F"/>
    <w:rsid w:val="00A75B96"/>
    <w:rsid w:val="00A76CFC"/>
    <w:rsid w:val="00A77FB6"/>
    <w:rsid w:val="00A813C8"/>
    <w:rsid w:val="00A81E1C"/>
    <w:rsid w:val="00A82DC2"/>
    <w:rsid w:val="00A83E47"/>
    <w:rsid w:val="00A85881"/>
    <w:rsid w:val="00A91462"/>
    <w:rsid w:val="00A92CE9"/>
    <w:rsid w:val="00A93E62"/>
    <w:rsid w:val="00A956D7"/>
    <w:rsid w:val="00A97532"/>
    <w:rsid w:val="00A978E6"/>
    <w:rsid w:val="00AA0655"/>
    <w:rsid w:val="00AA2B01"/>
    <w:rsid w:val="00AA3296"/>
    <w:rsid w:val="00AA378B"/>
    <w:rsid w:val="00AA7B86"/>
    <w:rsid w:val="00AA7E20"/>
    <w:rsid w:val="00AB042A"/>
    <w:rsid w:val="00AB07BA"/>
    <w:rsid w:val="00AB1A91"/>
    <w:rsid w:val="00AB1D9D"/>
    <w:rsid w:val="00AB1ED1"/>
    <w:rsid w:val="00AB462B"/>
    <w:rsid w:val="00AB54B2"/>
    <w:rsid w:val="00AB5649"/>
    <w:rsid w:val="00AB5E97"/>
    <w:rsid w:val="00AB7396"/>
    <w:rsid w:val="00AC0194"/>
    <w:rsid w:val="00AC14B9"/>
    <w:rsid w:val="00AC2594"/>
    <w:rsid w:val="00AC3016"/>
    <w:rsid w:val="00AC6596"/>
    <w:rsid w:val="00AD0010"/>
    <w:rsid w:val="00AD0AE9"/>
    <w:rsid w:val="00AD120D"/>
    <w:rsid w:val="00AD2593"/>
    <w:rsid w:val="00AD3AF4"/>
    <w:rsid w:val="00AD3DDD"/>
    <w:rsid w:val="00AE0207"/>
    <w:rsid w:val="00AE1DE9"/>
    <w:rsid w:val="00AE1EA4"/>
    <w:rsid w:val="00AE3048"/>
    <w:rsid w:val="00AE4620"/>
    <w:rsid w:val="00AF0FF7"/>
    <w:rsid w:val="00AF10CE"/>
    <w:rsid w:val="00AF16AC"/>
    <w:rsid w:val="00AF2BF5"/>
    <w:rsid w:val="00B01CD2"/>
    <w:rsid w:val="00B01F75"/>
    <w:rsid w:val="00B02E95"/>
    <w:rsid w:val="00B03668"/>
    <w:rsid w:val="00B06630"/>
    <w:rsid w:val="00B1164D"/>
    <w:rsid w:val="00B12078"/>
    <w:rsid w:val="00B14CD9"/>
    <w:rsid w:val="00B16939"/>
    <w:rsid w:val="00B213DA"/>
    <w:rsid w:val="00B23613"/>
    <w:rsid w:val="00B25C1F"/>
    <w:rsid w:val="00B303AA"/>
    <w:rsid w:val="00B31729"/>
    <w:rsid w:val="00B34202"/>
    <w:rsid w:val="00B363AB"/>
    <w:rsid w:val="00B40713"/>
    <w:rsid w:val="00B41978"/>
    <w:rsid w:val="00B42B15"/>
    <w:rsid w:val="00B434EA"/>
    <w:rsid w:val="00B4353F"/>
    <w:rsid w:val="00B43A28"/>
    <w:rsid w:val="00B44075"/>
    <w:rsid w:val="00B442B0"/>
    <w:rsid w:val="00B4541C"/>
    <w:rsid w:val="00B45CF6"/>
    <w:rsid w:val="00B46921"/>
    <w:rsid w:val="00B46996"/>
    <w:rsid w:val="00B46A28"/>
    <w:rsid w:val="00B4741D"/>
    <w:rsid w:val="00B47625"/>
    <w:rsid w:val="00B5443D"/>
    <w:rsid w:val="00B5512C"/>
    <w:rsid w:val="00B55F05"/>
    <w:rsid w:val="00B57BB0"/>
    <w:rsid w:val="00B6090F"/>
    <w:rsid w:val="00B6224C"/>
    <w:rsid w:val="00B63762"/>
    <w:rsid w:val="00B6469D"/>
    <w:rsid w:val="00B65916"/>
    <w:rsid w:val="00B67A29"/>
    <w:rsid w:val="00B7017E"/>
    <w:rsid w:val="00B714C2"/>
    <w:rsid w:val="00B71A6F"/>
    <w:rsid w:val="00B7280D"/>
    <w:rsid w:val="00B735A3"/>
    <w:rsid w:val="00B73DD3"/>
    <w:rsid w:val="00B7542A"/>
    <w:rsid w:val="00B75FD6"/>
    <w:rsid w:val="00B823B5"/>
    <w:rsid w:val="00B8544E"/>
    <w:rsid w:val="00B86129"/>
    <w:rsid w:val="00B8656B"/>
    <w:rsid w:val="00B86CD2"/>
    <w:rsid w:val="00B90997"/>
    <w:rsid w:val="00B93F0C"/>
    <w:rsid w:val="00B94576"/>
    <w:rsid w:val="00B950D7"/>
    <w:rsid w:val="00BA04C4"/>
    <w:rsid w:val="00BA0FFC"/>
    <w:rsid w:val="00BA1310"/>
    <w:rsid w:val="00BA1A74"/>
    <w:rsid w:val="00BA392A"/>
    <w:rsid w:val="00BA472D"/>
    <w:rsid w:val="00BA55CE"/>
    <w:rsid w:val="00BB0E36"/>
    <w:rsid w:val="00BB150F"/>
    <w:rsid w:val="00BB2C1B"/>
    <w:rsid w:val="00BB38C2"/>
    <w:rsid w:val="00BB4CA9"/>
    <w:rsid w:val="00BB5BA3"/>
    <w:rsid w:val="00BB5D03"/>
    <w:rsid w:val="00BC0636"/>
    <w:rsid w:val="00BC301D"/>
    <w:rsid w:val="00BC3ABC"/>
    <w:rsid w:val="00BC508E"/>
    <w:rsid w:val="00BC52DD"/>
    <w:rsid w:val="00BC6251"/>
    <w:rsid w:val="00BC6E64"/>
    <w:rsid w:val="00BC701E"/>
    <w:rsid w:val="00BD08C5"/>
    <w:rsid w:val="00BD1355"/>
    <w:rsid w:val="00BE1DE6"/>
    <w:rsid w:val="00BE2F16"/>
    <w:rsid w:val="00BE3B8D"/>
    <w:rsid w:val="00BE5174"/>
    <w:rsid w:val="00BE5208"/>
    <w:rsid w:val="00BE69F9"/>
    <w:rsid w:val="00BE6A25"/>
    <w:rsid w:val="00BF07F4"/>
    <w:rsid w:val="00BF5296"/>
    <w:rsid w:val="00BF5FE7"/>
    <w:rsid w:val="00BF6067"/>
    <w:rsid w:val="00BF63C1"/>
    <w:rsid w:val="00BF7111"/>
    <w:rsid w:val="00BF79ED"/>
    <w:rsid w:val="00C01540"/>
    <w:rsid w:val="00C02F98"/>
    <w:rsid w:val="00C05413"/>
    <w:rsid w:val="00C063E4"/>
    <w:rsid w:val="00C07626"/>
    <w:rsid w:val="00C07F2C"/>
    <w:rsid w:val="00C07F56"/>
    <w:rsid w:val="00C10A3B"/>
    <w:rsid w:val="00C11CCD"/>
    <w:rsid w:val="00C123EF"/>
    <w:rsid w:val="00C12F1F"/>
    <w:rsid w:val="00C148BC"/>
    <w:rsid w:val="00C166D0"/>
    <w:rsid w:val="00C172AC"/>
    <w:rsid w:val="00C2186C"/>
    <w:rsid w:val="00C22481"/>
    <w:rsid w:val="00C23178"/>
    <w:rsid w:val="00C239FE"/>
    <w:rsid w:val="00C2404D"/>
    <w:rsid w:val="00C24695"/>
    <w:rsid w:val="00C25EA4"/>
    <w:rsid w:val="00C27B7A"/>
    <w:rsid w:val="00C33BD5"/>
    <w:rsid w:val="00C34604"/>
    <w:rsid w:val="00C357D4"/>
    <w:rsid w:val="00C365D7"/>
    <w:rsid w:val="00C37D2E"/>
    <w:rsid w:val="00C403D4"/>
    <w:rsid w:val="00C407C8"/>
    <w:rsid w:val="00C40B1E"/>
    <w:rsid w:val="00C41591"/>
    <w:rsid w:val="00C42586"/>
    <w:rsid w:val="00C50154"/>
    <w:rsid w:val="00C51485"/>
    <w:rsid w:val="00C53088"/>
    <w:rsid w:val="00C5672D"/>
    <w:rsid w:val="00C567CF"/>
    <w:rsid w:val="00C5741E"/>
    <w:rsid w:val="00C57647"/>
    <w:rsid w:val="00C576FB"/>
    <w:rsid w:val="00C5785F"/>
    <w:rsid w:val="00C57E7D"/>
    <w:rsid w:val="00C62CA2"/>
    <w:rsid w:val="00C6410F"/>
    <w:rsid w:val="00C64748"/>
    <w:rsid w:val="00C6518E"/>
    <w:rsid w:val="00C667EE"/>
    <w:rsid w:val="00C713A4"/>
    <w:rsid w:val="00C721C4"/>
    <w:rsid w:val="00C72FA5"/>
    <w:rsid w:val="00C73D12"/>
    <w:rsid w:val="00C750F9"/>
    <w:rsid w:val="00C75CC2"/>
    <w:rsid w:val="00C75DF0"/>
    <w:rsid w:val="00C7640A"/>
    <w:rsid w:val="00C767B9"/>
    <w:rsid w:val="00C76F42"/>
    <w:rsid w:val="00C81521"/>
    <w:rsid w:val="00C8204D"/>
    <w:rsid w:val="00C83259"/>
    <w:rsid w:val="00C832EE"/>
    <w:rsid w:val="00C84765"/>
    <w:rsid w:val="00C86D9B"/>
    <w:rsid w:val="00C86EA6"/>
    <w:rsid w:val="00C872A6"/>
    <w:rsid w:val="00C90378"/>
    <w:rsid w:val="00C94B29"/>
    <w:rsid w:val="00C94E84"/>
    <w:rsid w:val="00C96DAB"/>
    <w:rsid w:val="00CA1D5A"/>
    <w:rsid w:val="00CA41D4"/>
    <w:rsid w:val="00CA4B64"/>
    <w:rsid w:val="00CA67FB"/>
    <w:rsid w:val="00CA7C14"/>
    <w:rsid w:val="00CB39A8"/>
    <w:rsid w:val="00CB5BC8"/>
    <w:rsid w:val="00CB5C13"/>
    <w:rsid w:val="00CB6BBD"/>
    <w:rsid w:val="00CB71D3"/>
    <w:rsid w:val="00CB7369"/>
    <w:rsid w:val="00CB7655"/>
    <w:rsid w:val="00CC2D35"/>
    <w:rsid w:val="00CC34D9"/>
    <w:rsid w:val="00CC6AF1"/>
    <w:rsid w:val="00CC782F"/>
    <w:rsid w:val="00CD3567"/>
    <w:rsid w:val="00CD42D8"/>
    <w:rsid w:val="00CD4E60"/>
    <w:rsid w:val="00CD51D8"/>
    <w:rsid w:val="00CD5EC7"/>
    <w:rsid w:val="00CD6DC2"/>
    <w:rsid w:val="00CE0738"/>
    <w:rsid w:val="00CE12E5"/>
    <w:rsid w:val="00CE1B93"/>
    <w:rsid w:val="00CE2BEF"/>
    <w:rsid w:val="00CE47E0"/>
    <w:rsid w:val="00CE50AE"/>
    <w:rsid w:val="00CE65E5"/>
    <w:rsid w:val="00CF2768"/>
    <w:rsid w:val="00CF44B2"/>
    <w:rsid w:val="00CF5792"/>
    <w:rsid w:val="00CF614F"/>
    <w:rsid w:val="00D0050E"/>
    <w:rsid w:val="00D00AF5"/>
    <w:rsid w:val="00D0180E"/>
    <w:rsid w:val="00D07C3E"/>
    <w:rsid w:val="00D10CC6"/>
    <w:rsid w:val="00D146AE"/>
    <w:rsid w:val="00D1606D"/>
    <w:rsid w:val="00D16D08"/>
    <w:rsid w:val="00D20CEB"/>
    <w:rsid w:val="00D21EFD"/>
    <w:rsid w:val="00D22BEA"/>
    <w:rsid w:val="00D23565"/>
    <w:rsid w:val="00D253B6"/>
    <w:rsid w:val="00D255AE"/>
    <w:rsid w:val="00D25725"/>
    <w:rsid w:val="00D31BE9"/>
    <w:rsid w:val="00D3370C"/>
    <w:rsid w:val="00D346F6"/>
    <w:rsid w:val="00D406B8"/>
    <w:rsid w:val="00D44443"/>
    <w:rsid w:val="00D449B3"/>
    <w:rsid w:val="00D51504"/>
    <w:rsid w:val="00D53D80"/>
    <w:rsid w:val="00D54BF3"/>
    <w:rsid w:val="00D551B0"/>
    <w:rsid w:val="00D568AE"/>
    <w:rsid w:val="00D571F5"/>
    <w:rsid w:val="00D57BC6"/>
    <w:rsid w:val="00D62E79"/>
    <w:rsid w:val="00D63D9E"/>
    <w:rsid w:val="00D65FA0"/>
    <w:rsid w:val="00D66EC6"/>
    <w:rsid w:val="00D70489"/>
    <w:rsid w:val="00D71E5B"/>
    <w:rsid w:val="00D727E8"/>
    <w:rsid w:val="00D7293E"/>
    <w:rsid w:val="00D73125"/>
    <w:rsid w:val="00D73EC5"/>
    <w:rsid w:val="00D74617"/>
    <w:rsid w:val="00D7575B"/>
    <w:rsid w:val="00D759DA"/>
    <w:rsid w:val="00D83E09"/>
    <w:rsid w:val="00D84860"/>
    <w:rsid w:val="00D84E0B"/>
    <w:rsid w:val="00D84E95"/>
    <w:rsid w:val="00D945B3"/>
    <w:rsid w:val="00DA0387"/>
    <w:rsid w:val="00DA041A"/>
    <w:rsid w:val="00DA7177"/>
    <w:rsid w:val="00DB14A3"/>
    <w:rsid w:val="00DB34E0"/>
    <w:rsid w:val="00DB3B3C"/>
    <w:rsid w:val="00DB40A1"/>
    <w:rsid w:val="00DB5062"/>
    <w:rsid w:val="00DB5C4E"/>
    <w:rsid w:val="00DB5FF8"/>
    <w:rsid w:val="00DC0A1D"/>
    <w:rsid w:val="00DC1E29"/>
    <w:rsid w:val="00DC2503"/>
    <w:rsid w:val="00DC36A6"/>
    <w:rsid w:val="00DC3C9F"/>
    <w:rsid w:val="00DC3CE1"/>
    <w:rsid w:val="00DC5763"/>
    <w:rsid w:val="00DC714E"/>
    <w:rsid w:val="00DD03E1"/>
    <w:rsid w:val="00DD2F26"/>
    <w:rsid w:val="00DD30D0"/>
    <w:rsid w:val="00DD3594"/>
    <w:rsid w:val="00DD46EC"/>
    <w:rsid w:val="00DD6CFB"/>
    <w:rsid w:val="00DD7FA8"/>
    <w:rsid w:val="00DE0197"/>
    <w:rsid w:val="00DE23F6"/>
    <w:rsid w:val="00DE698C"/>
    <w:rsid w:val="00DF1A3A"/>
    <w:rsid w:val="00DF3F3F"/>
    <w:rsid w:val="00DF79EC"/>
    <w:rsid w:val="00E012BE"/>
    <w:rsid w:val="00E018D7"/>
    <w:rsid w:val="00E02473"/>
    <w:rsid w:val="00E04039"/>
    <w:rsid w:val="00E04401"/>
    <w:rsid w:val="00E10930"/>
    <w:rsid w:val="00E11DDB"/>
    <w:rsid w:val="00E133C3"/>
    <w:rsid w:val="00E1762F"/>
    <w:rsid w:val="00E24061"/>
    <w:rsid w:val="00E26577"/>
    <w:rsid w:val="00E26A4A"/>
    <w:rsid w:val="00E26E81"/>
    <w:rsid w:val="00E277E5"/>
    <w:rsid w:val="00E319E3"/>
    <w:rsid w:val="00E3267F"/>
    <w:rsid w:val="00E33156"/>
    <w:rsid w:val="00E356AD"/>
    <w:rsid w:val="00E35B63"/>
    <w:rsid w:val="00E40CAF"/>
    <w:rsid w:val="00E44DE1"/>
    <w:rsid w:val="00E50D52"/>
    <w:rsid w:val="00E562EC"/>
    <w:rsid w:val="00E57964"/>
    <w:rsid w:val="00E57F45"/>
    <w:rsid w:val="00E60FFA"/>
    <w:rsid w:val="00E66482"/>
    <w:rsid w:val="00E66B9F"/>
    <w:rsid w:val="00E67B10"/>
    <w:rsid w:val="00E70423"/>
    <w:rsid w:val="00E70BAA"/>
    <w:rsid w:val="00E73E3B"/>
    <w:rsid w:val="00E74CCF"/>
    <w:rsid w:val="00E81B8C"/>
    <w:rsid w:val="00E81D5F"/>
    <w:rsid w:val="00E82241"/>
    <w:rsid w:val="00E841C6"/>
    <w:rsid w:val="00E85D01"/>
    <w:rsid w:val="00E86418"/>
    <w:rsid w:val="00E8650E"/>
    <w:rsid w:val="00E87161"/>
    <w:rsid w:val="00E91349"/>
    <w:rsid w:val="00E92867"/>
    <w:rsid w:val="00E93C92"/>
    <w:rsid w:val="00E947C1"/>
    <w:rsid w:val="00E962D2"/>
    <w:rsid w:val="00EA045D"/>
    <w:rsid w:val="00EA1CFA"/>
    <w:rsid w:val="00EA1F72"/>
    <w:rsid w:val="00EA1FB7"/>
    <w:rsid w:val="00EA462A"/>
    <w:rsid w:val="00EA4B4C"/>
    <w:rsid w:val="00EB07CD"/>
    <w:rsid w:val="00EB4149"/>
    <w:rsid w:val="00EB4B73"/>
    <w:rsid w:val="00EB5494"/>
    <w:rsid w:val="00EB6C3B"/>
    <w:rsid w:val="00EC1B00"/>
    <w:rsid w:val="00EC2290"/>
    <w:rsid w:val="00EC45ED"/>
    <w:rsid w:val="00EC4696"/>
    <w:rsid w:val="00EC55A8"/>
    <w:rsid w:val="00EC5802"/>
    <w:rsid w:val="00EC7A31"/>
    <w:rsid w:val="00EC7A3B"/>
    <w:rsid w:val="00EC7B16"/>
    <w:rsid w:val="00EC7FA2"/>
    <w:rsid w:val="00ED278A"/>
    <w:rsid w:val="00ED3938"/>
    <w:rsid w:val="00ED43F4"/>
    <w:rsid w:val="00ED4CCA"/>
    <w:rsid w:val="00ED5F7C"/>
    <w:rsid w:val="00EE1CE6"/>
    <w:rsid w:val="00EE2A1B"/>
    <w:rsid w:val="00EE3561"/>
    <w:rsid w:val="00EE5CF5"/>
    <w:rsid w:val="00EF01DC"/>
    <w:rsid w:val="00EF14B3"/>
    <w:rsid w:val="00EF6575"/>
    <w:rsid w:val="00EF6DC6"/>
    <w:rsid w:val="00F01AC5"/>
    <w:rsid w:val="00F02EF9"/>
    <w:rsid w:val="00F03D47"/>
    <w:rsid w:val="00F10B93"/>
    <w:rsid w:val="00F113B7"/>
    <w:rsid w:val="00F15F56"/>
    <w:rsid w:val="00F20E5D"/>
    <w:rsid w:val="00F21491"/>
    <w:rsid w:val="00F2207B"/>
    <w:rsid w:val="00F2320D"/>
    <w:rsid w:val="00F264D5"/>
    <w:rsid w:val="00F272FE"/>
    <w:rsid w:val="00F30F52"/>
    <w:rsid w:val="00F34183"/>
    <w:rsid w:val="00F34566"/>
    <w:rsid w:val="00F34A89"/>
    <w:rsid w:val="00F35405"/>
    <w:rsid w:val="00F42EE5"/>
    <w:rsid w:val="00F43369"/>
    <w:rsid w:val="00F43EA1"/>
    <w:rsid w:val="00F443BD"/>
    <w:rsid w:val="00F44928"/>
    <w:rsid w:val="00F460AE"/>
    <w:rsid w:val="00F468E2"/>
    <w:rsid w:val="00F477A3"/>
    <w:rsid w:val="00F50472"/>
    <w:rsid w:val="00F517CA"/>
    <w:rsid w:val="00F52C9D"/>
    <w:rsid w:val="00F5349C"/>
    <w:rsid w:val="00F54246"/>
    <w:rsid w:val="00F5524A"/>
    <w:rsid w:val="00F564CF"/>
    <w:rsid w:val="00F57EE6"/>
    <w:rsid w:val="00F600C6"/>
    <w:rsid w:val="00F6116C"/>
    <w:rsid w:val="00F631D4"/>
    <w:rsid w:val="00F63AB4"/>
    <w:rsid w:val="00F65047"/>
    <w:rsid w:val="00F7060C"/>
    <w:rsid w:val="00F720F8"/>
    <w:rsid w:val="00F726F9"/>
    <w:rsid w:val="00F7514F"/>
    <w:rsid w:val="00F7580B"/>
    <w:rsid w:val="00F81A44"/>
    <w:rsid w:val="00F8374E"/>
    <w:rsid w:val="00F862D0"/>
    <w:rsid w:val="00F869F0"/>
    <w:rsid w:val="00F90C67"/>
    <w:rsid w:val="00F91916"/>
    <w:rsid w:val="00F934EF"/>
    <w:rsid w:val="00F95B22"/>
    <w:rsid w:val="00F95C8A"/>
    <w:rsid w:val="00F963C5"/>
    <w:rsid w:val="00F972BD"/>
    <w:rsid w:val="00F97E0D"/>
    <w:rsid w:val="00FA03A6"/>
    <w:rsid w:val="00FA0B6D"/>
    <w:rsid w:val="00FA1821"/>
    <w:rsid w:val="00FA534C"/>
    <w:rsid w:val="00FA5937"/>
    <w:rsid w:val="00FB0B26"/>
    <w:rsid w:val="00FB1089"/>
    <w:rsid w:val="00FB2A99"/>
    <w:rsid w:val="00FB3E8E"/>
    <w:rsid w:val="00FB5FEC"/>
    <w:rsid w:val="00FB75D3"/>
    <w:rsid w:val="00FB7949"/>
    <w:rsid w:val="00FC0E46"/>
    <w:rsid w:val="00FC10EE"/>
    <w:rsid w:val="00FC681C"/>
    <w:rsid w:val="00FC6DF4"/>
    <w:rsid w:val="00FD0789"/>
    <w:rsid w:val="00FD1563"/>
    <w:rsid w:val="00FD1A83"/>
    <w:rsid w:val="00FD1AC7"/>
    <w:rsid w:val="00FD3785"/>
    <w:rsid w:val="00FD387E"/>
    <w:rsid w:val="00FD4762"/>
    <w:rsid w:val="00FD6CF1"/>
    <w:rsid w:val="00FD7112"/>
    <w:rsid w:val="00FE2C15"/>
    <w:rsid w:val="00FE2F90"/>
    <w:rsid w:val="00FE35B3"/>
    <w:rsid w:val="00FE3D7F"/>
    <w:rsid w:val="00FE4BA3"/>
    <w:rsid w:val="00FE5C83"/>
    <w:rsid w:val="00FE67A2"/>
    <w:rsid w:val="00FE6CCD"/>
    <w:rsid w:val="00FE73EF"/>
    <w:rsid w:val="00FF069D"/>
    <w:rsid w:val="00FF405D"/>
    <w:rsid w:val="00FF780C"/>
    <w:rsid w:val="00FF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B30BD2"/>
  <w14:defaultImageDpi w14:val="32767"/>
  <w15:chartTrackingRefBased/>
  <w15:docId w15:val="{C1F69E6A-9083-7140-BCD7-6F4DC658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HAnsi" w:hAnsi="Times"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7F91"/>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7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27F91"/>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25938</Words>
  <Characters>147849</Characters>
  <Application>Microsoft Office Word</Application>
  <DocSecurity>0</DocSecurity>
  <Lines>1232</Lines>
  <Paragraphs>346</Paragraphs>
  <ScaleCrop>false</ScaleCrop>
  <Company/>
  <LinksUpToDate>false</LinksUpToDate>
  <CharactersWithSpaces>173441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Brunet</dc:creator>
  <cp:keywords/>
  <dc:description/>
  <cp:lastModifiedBy>Thibaut Brunet</cp:lastModifiedBy>
  <cp:revision>1</cp:revision>
  <dcterms:created xsi:type="dcterms:W3CDTF">2023-01-13T09:50:00Z</dcterms:created>
  <dcterms:modified xsi:type="dcterms:W3CDTF">2023-01-13T09:51:00Z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id="K5g4I7TM"/&gt;&lt;style id="http://www.zotero.org/styles/animal-cognition" hasBibliography="1" bibliographyStyleHasBeenSet="1"/&gt;&lt;prefs&gt;&lt;pref name="fieldType" value="Field"/&gt;&lt;/prefs&gt;&lt;/data&gt;</vt:lpwstr>
  </property>
</Properties>
</file>