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3157" w14:textId="6A93F2AD" w:rsidR="006920E3" w:rsidRPr="009C486B" w:rsidRDefault="00850F83" w:rsidP="006920E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6920E3" w:rsidRPr="009C486B">
        <w:rPr>
          <w:rFonts w:ascii="Times New Roman" w:hAnsi="Times New Roman" w:cs="Times New Roman"/>
          <w:b/>
          <w:bCs/>
        </w:rPr>
        <w:t xml:space="preserve">Table </w:t>
      </w:r>
      <w:r w:rsidR="006920E3">
        <w:rPr>
          <w:rFonts w:ascii="Times New Roman" w:hAnsi="Times New Roman" w:cs="Times New Roman"/>
          <w:b/>
          <w:bCs/>
        </w:rPr>
        <w:t xml:space="preserve">1 </w:t>
      </w:r>
      <w:r w:rsidR="006920E3" w:rsidRPr="009C486B">
        <w:rPr>
          <w:rFonts w:ascii="Times New Roman" w:hAnsi="Times New Roman" w:cs="Times New Roman"/>
        </w:rPr>
        <w:t>Motor performance based on TC levels by sex</w:t>
      </w:r>
    </w:p>
    <w:tbl>
      <w:tblPr>
        <w:tblStyle w:val="a3"/>
        <w:tblW w:w="14743" w:type="dxa"/>
        <w:tblInd w:w="-431" w:type="dxa"/>
        <w:tblLook w:val="04A0" w:firstRow="1" w:lastRow="0" w:firstColumn="1" w:lastColumn="0" w:noHBand="0" w:noVBand="1"/>
      </w:tblPr>
      <w:tblGrid>
        <w:gridCol w:w="3337"/>
        <w:gridCol w:w="2966"/>
        <w:gridCol w:w="742"/>
        <w:gridCol w:w="276"/>
        <w:gridCol w:w="3002"/>
        <w:gridCol w:w="742"/>
        <w:gridCol w:w="283"/>
        <w:gridCol w:w="2653"/>
        <w:gridCol w:w="742"/>
      </w:tblGrid>
      <w:tr w:rsidR="006920E3" w:rsidRPr="009C486B" w14:paraId="2E383D1F" w14:textId="77777777" w:rsidTr="00FB5A2A">
        <w:tc>
          <w:tcPr>
            <w:tcW w:w="3337" w:type="dxa"/>
            <w:vMerge w:val="restart"/>
            <w:tcBorders>
              <w:left w:val="nil"/>
              <w:right w:val="nil"/>
            </w:tcBorders>
          </w:tcPr>
          <w:p w14:paraId="749D9CA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708" w:type="dxa"/>
            <w:gridSpan w:val="2"/>
            <w:tcBorders>
              <w:left w:val="nil"/>
              <w:right w:val="nil"/>
            </w:tcBorders>
          </w:tcPr>
          <w:p w14:paraId="5D8FF93A" w14:textId="4B173633" w:rsidR="006920E3" w:rsidRPr="009C486B" w:rsidRDefault="005F6472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Un</w:t>
            </w:r>
            <w:r>
              <w:rPr>
                <w:rFonts w:ascii="Times New Roman" w:hAnsi="Times New Roman"/>
              </w:rPr>
              <w:t>ivariate</w:t>
            </w: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</w:tcPr>
          <w:p w14:paraId="77590D65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4" w:type="dxa"/>
            <w:gridSpan w:val="2"/>
            <w:tcBorders>
              <w:left w:val="nil"/>
              <w:right w:val="nil"/>
            </w:tcBorders>
          </w:tcPr>
          <w:p w14:paraId="2E63C80A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Model 1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44FDF449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5" w:type="dxa"/>
            <w:gridSpan w:val="2"/>
            <w:tcBorders>
              <w:left w:val="nil"/>
              <w:right w:val="nil"/>
            </w:tcBorders>
          </w:tcPr>
          <w:p w14:paraId="5D916764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Model 2</w:t>
            </w:r>
          </w:p>
        </w:tc>
      </w:tr>
      <w:tr w:rsidR="006920E3" w:rsidRPr="009C486B" w14:paraId="61451024" w14:textId="77777777" w:rsidTr="00FB5A2A">
        <w:tc>
          <w:tcPr>
            <w:tcW w:w="333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E8DA74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  <w:tcBorders>
              <w:left w:val="nil"/>
              <w:bottom w:val="single" w:sz="4" w:space="0" w:color="auto"/>
              <w:right w:val="nil"/>
            </w:tcBorders>
          </w:tcPr>
          <w:p w14:paraId="5B57208A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Unstandardized B coefficient (95% CI)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</w:tcPr>
          <w:p w14:paraId="38882E7E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p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6C61E0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left w:val="nil"/>
              <w:bottom w:val="single" w:sz="4" w:space="0" w:color="auto"/>
              <w:right w:val="nil"/>
            </w:tcBorders>
          </w:tcPr>
          <w:p w14:paraId="67F3C0DD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Standardized β coefficient (95% CI)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</w:tcPr>
          <w:p w14:paraId="0D3ACD1C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B5116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left w:val="nil"/>
              <w:bottom w:val="single" w:sz="4" w:space="0" w:color="auto"/>
              <w:right w:val="nil"/>
            </w:tcBorders>
          </w:tcPr>
          <w:p w14:paraId="2FC28F63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Standardized β coefficient (95% CI)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</w:tcPr>
          <w:p w14:paraId="56038D00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p</w:t>
            </w:r>
          </w:p>
        </w:tc>
      </w:tr>
      <w:tr w:rsidR="006920E3" w:rsidRPr="009C486B" w14:paraId="304C75AC" w14:textId="77777777" w:rsidTr="00FB5A2A">
        <w:tc>
          <w:tcPr>
            <w:tcW w:w="3337" w:type="dxa"/>
            <w:tcBorders>
              <w:left w:val="nil"/>
              <w:bottom w:val="nil"/>
              <w:right w:val="nil"/>
            </w:tcBorders>
          </w:tcPr>
          <w:p w14:paraId="3189186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  <w:b/>
                <w:bCs/>
              </w:rPr>
              <w:t xml:space="preserve">Males </w:t>
            </w:r>
          </w:p>
        </w:tc>
        <w:tc>
          <w:tcPr>
            <w:tcW w:w="2966" w:type="dxa"/>
            <w:tcBorders>
              <w:left w:val="nil"/>
              <w:bottom w:val="nil"/>
              <w:right w:val="nil"/>
            </w:tcBorders>
          </w:tcPr>
          <w:p w14:paraId="737B2E9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14:paraId="57B84A8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</w:tcPr>
          <w:p w14:paraId="540EE7F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left w:val="nil"/>
              <w:bottom w:val="nil"/>
              <w:right w:val="nil"/>
            </w:tcBorders>
          </w:tcPr>
          <w:p w14:paraId="5AE4E16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14:paraId="19A889A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B6C0C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</w:tcPr>
          <w:p w14:paraId="0B0FB4E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14:paraId="749C6E9D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6920E3" w:rsidRPr="009C486B" w14:paraId="4C6792BC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004B0C0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MDS-UPDRS III total 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5A19E38D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-0.442(-4.494, 3.649)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E3B851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0.838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C6DCF06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5BABE2D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-0.033(-6.723, 4.945)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C29F46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92B46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372036F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0.014(-5.622, 6.381)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9E9E0F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0.900</w:t>
            </w:r>
          </w:p>
        </w:tc>
      </w:tr>
      <w:tr w:rsidR="006920E3" w:rsidRPr="009C486B" w14:paraId="27E21884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3C75029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Tremor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6FF097C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1.027(-0.557, 2.611)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BFC312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0.202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4F62F96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438C4A8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0.200(-0.333, 3.614)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8152B3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27999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0D3C5A7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0.213(-0.308, 3.803)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F67B04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0.094</w:t>
            </w:r>
          </w:p>
        </w:tc>
      </w:tr>
      <w:tr w:rsidR="006920E3" w:rsidRPr="009C486B" w14:paraId="0A7ACB67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27D3447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Rigid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6EF55746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-0.023(-1.117, 1.072)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522096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0.967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5D04AC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72D1864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0.055(-1.136, 1.829)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B18AD9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0.643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C8D12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2F0B8CE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0.021(-1.403, 1.665)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929FA7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0.865</w:t>
            </w:r>
          </w:p>
        </w:tc>
      </w:tr>
      <w:tr w:rsidR="006920E3" w:rsidRPr="009C486B" w14:paraId="4D936590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23D9E0E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Bradykinesia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7896818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-0.511(-3.836, 2.813)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0F49A1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0.761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2C87A7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600DEDD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0.002(-4.341, 4.416)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16ADC3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8F7C9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5AAC107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0.011(-4.325, 4.732)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6015E8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0.929</w:t>
            </w:r>
          </w:p>
        </w:tc>
      </w:tr>
      <w:tr w:rsidR="006920E3" w:rsidRPr="009C486B" w14:paraId="72791F0B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2AAC11F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Gait/postural instability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263A039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0.038(-0.744, 0.819)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AA900B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0.924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08E2BA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492E5D9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-0.090(-1.559, 0.706)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2C9709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0.456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F0A7D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2F64E22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-0.097(-1.621, 0.700)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C44478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0.432</w:t>
            </w:r>
          </w:p>
        </w:tc>
      </w:tr>
      <w:tr w:rsidR="006920E3" w:rsidRPr="009C486B" w14:paraId="7FC3E569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2BA8E5C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  <w:b/>
                <w:bCs/>
              </w:rPr>
              <w:t xml:space="preserve">Females 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0982E13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D0725D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642A22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1553D3A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BEAFEC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3C63E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54D2097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8C2AF1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6920E3" w:rsidRPr="009C486B" w14:paraId="370D4A45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1944E81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9C486B">
              <w:rPr>
                <w:rFonts w:ascii="Times New Roman" w:hAnsi="Times New Roman"/>
              </w:rPr>
              <w:t>MDS-UPDRS III total 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03890A2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0.254(-4.253, 4.761)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B56884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0.911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1B6E20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600A4FB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0.108(-2.497, 7.515)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6A1985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0.321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5D550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17940C8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0.108(-2.514, 7.503)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5B1F4E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0.324</w:t>
            </w:r>
          </w:p>
        </w:tc>
      </w:tr>
      <w:tr w:rsidR="006920E3" w:rsidRPr="009C486B" w14:paraId="1ED2ACDF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13E70AE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Tremor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21998DC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0.835(-0.712, 2.382)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AE16AB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0.287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4C8546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245C11A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0.102(-1.148, 2.667)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B1CDEC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0.429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9C106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072D0BD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0.112(-1.133, 2.802)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62B1BB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0.399</w:t>
            </w:r>
          </w:p>
        </w:tc>
      </w:tr>
      <w:tr w:rsidR="006920E3" w:rsidRPr="009C486B" w14:paraId="32D5851D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133EB0B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lastRenderedPageBreak/>
              <w:t>Rigidity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670F38A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-0.659(-1.861, 0.544)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DFDFB8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0.280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3A7F44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7D529656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0.001(-1.431, 1.437)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45E65F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799C6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1871EAB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-0.008(-1.514, 1.428)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54568E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0.953</w:t>
            </w:r>
          </w:p>
        </w:tc>
      </w:tr>
      <w:tr w:rsidR="006920E3" w:rsidRPr="009C486B" w14:paraId="2D95851C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4460694D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Bradykinesia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41B4788D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-2.340(-6.005, 1.324)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381A14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F15C5E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61566BA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0.051(-3.180, 4.912)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B6D217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0.670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A8A6D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4516830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0.037(-3.525, 4.779)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BAE022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0.763</w:t>
            </w:r>
          </w:p>
        </w:tc>
      </w:tr>
      <w:tr w:rsidR="006920E3" w:rsidRPr="009C486B" w14:paraId="3FD3F6B7" w14:textId="77777777" w:rsidTr="00FB5A2A">
        <w:tc>
          <w:tcPr>
            <w:tcW w:w="3337" w:type="dxa"/>
            <w:tcBorders>
              <w:top w:val="nil"/>
              <w:left w:val="nil"/>
              <w:right w:val="nil"/>
            </w:tcBorders>
          </w:tcPr>
          <w:p w14:paraId="5C204F1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Gait/postural instability subscores</w:t>
            </w:r>
          </w:p>
        </w:tc>
        <w:tc>
          <w:tcPr>
            <w:tcW w:w="2966" w:type="dxa"/>
            <w:tcBorders>
              <w:top w:val="nil"/>
              <w:left w:val="nil"/>
              <w:right w:val="nil"/>
            </w:tcBorders>
          </w:tcPr>
          <w:p w14:paraId="5E8665D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0.181(-0.770, 1.133)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64FCDB9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0.706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14:paraId="53801EF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right w:val="nil"/>
            </w:tcBorders>
          </w:tcPr>
          <w:p w14:paraId="752FF88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0.105(-0.696, 1.626)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4C5DA82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0.426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4009F0C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right w:val="nil"/>
            </w:tcBorders>
          </w:tcPr>
          <w:p w14:paraId="586817F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0.055(-0.897, 1.381)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2C6BD4E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0.672</w:t>
            </w:r>
          </w:p>
        </w:tc>
      </w:tr>
    </w:tbl>
    <w:p w14:paraId="41AC9EED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  <w:r w:rsidRPr="009C486B">
        <w:rPr>
          <w:rFonts w:ascii="Times New Roman" w:hAnsi="Times New Roman" w:cs="Times New Roman"/>
        </w:rPr>
        <w:t>Multivariable linear regression Model 1 was adjusted for age, education, BMI, age at onset, disease duration, MoCA scores, HAMA scores, HAMD scores, LEED, and use of lipid-lowering medication, Model 2 was further adjusted for uric acid and homocysteine levels.</w:t>
      </w:r>
    </w:p>
    <w:p w14:paraId="1659B8C6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  <w:r w:rsidRPr="009C486B">
        <w:rPr>
          <w:rFonts w:ascii="Times New Roman" w:hAnsi="Times New Roman" w:cs="Times New Roman"/>
        </w:rPr>
        <w:t>Abbreviations: TC, total cholesterol; CI, confidence interval; MDS-UPDRS III, Movement Disorder Society-Unified Parkinson’s Disease Rating Scale part III; BMI, body mass index; MoCA, Montreal Cognitive Assessment; HAMA, Hamilton Anxiety Rating Scale; HAMD, Hamilton Depression Rating Scale; LEED, levodopa equivalent daily dosage.</w:t>
      </w:r>
    </w:p>
    <w:p w14:paraId="0B125322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</w:p>
    <w:p w14:paraId="590BF29A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</w:p>
    <w:p w14:paraId="3A66E113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</w:p>
    <w:p w14:paraId="17D57BA8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</w:p>
    <w:p w14:paraId="73F5A921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</w:p>
    <w:p w14:paraId="326653AC" w14:textId="6005C202" w:rsidR="006920E3" w:rsidRPr="009C486B" w:rsidRDefault="00850F83" w:rsidP="006920E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6920E3" w:rsidRPr="009C486B">
        <w:rPr>
          <w:rFonts w:ascii="Times New Roman" w:hAnsi="Times New Roman" w:cs="Times New Roman"/>
          <w:b/>
          <w:bCs/>
        </w:rPr>
        <w:t xml:space="preserve">Table </w:t>
      </w:r>
      <w:r w:rsidR="006920E3">
        <w:rPr>
          <w:rFonts w:ascii="Times New Roman" w:hAnsi="Times New Roman" w:cs="Times New Roman"/>
          <w:b/>
          <w:bCs/>
        </w:rPr>
        <w:t xml:space="preserve">2 </w:t>
      </w:r>
      <w:r w:rsidR="006920E3" w:rsidRPr="009C486B">
        <w:rPr>
          <w:rFonts w:ascii="Times New Roman" w:hAnsi="Times New Roman" w:cs="Times New Roman"/>
        </w:rPr>
        <w:t>Motor performance based on LDL-C levels by sex</w:t>
      </w:r>
    </w:p>
    <w:tbl>
      <w:tblPr>
        <w:tblStyle w:val="a3"/>
        <w:tblW w:w="14743" w:type="dxa"/>
        <w:tblInd w:w="-431" w:type="dxa"/>
        <w:tblLook w:val="04A0" w:firstRow="1" w:lastRow="0" w:firstColumn="1" w:lastColumn="0" w:noHBand="0" w:noVBand="1"/>
      </w:tblPr>
      <w:tblGrid>
        <w:gridCol w:w="3337"/>
        <w:gridCol w:w="2966"/>
        <w:gridCol w:w="742"/>
        <w:gridCol w:w="276"/>
        <w:gridCol w:w="3002"/>
        <w:gridCol w:w="742"/>
        <w:gridCol w:w="283"/>
        <w:gridCol w:w="2653"/>
        <w:gridCol w:w="742"/>
      </w:tblGrid>
      <w:tr w:rsidR="006920E3" w:rsidRPr="009C486B" w14:paraId="3ADCB40A" w14:textId="77777777" w:rsidTr="00FB5A2A">
        <w:tc>
          <w:tcPr>
            <w:tcW w:w="3337" w:type="dxa"/>
            <w:vMerge w:val="restart"/>
            <w:tcBorders>
              <w:left w:val="nil"/>
              <w:right w:val="nil"/>
            </w:tcBorders>
          </w:tcPr>
          <w:p w14:paraId="1AA4AA8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708" w:type="dxa"/>
            <w:gridSpan w:val="2"/>
            <w:tcBorders>
              <w:left w:val="nil"/>
              <w:right w:val="nil"/>
            </w:tcBorders>
          </w:tcPr>
          <w:p w14:paraId="3A2FBE7C" w14:textId="64C988DD" w:rsidR="006920E3" w:rsidRPr="009C486B" w:rsidRDefault="00B54D3A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Un</w:t>
            </w:r>
            <w:r>
              <w:rPr>
                <w:rFonts w:ascii="Times New Roman" w:hAnsi="Times New Roman"/>
              </w:rPr>
              <w:t>ivariate</w:t>
            </w: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</w:tcPr>
          <w:p w14:paraId="54AB7E07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4" w:type="dxa"/>
            <w:gridSpan w:val="2"/>
            <w:tcBorders>
              <w:left w:val="nil"/>
              <w:right w:val="nil"/>
            </w:tcBorders>
          </w:tcPr>
          <w:p w14:paraId="520EAA5C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Model 1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17AA60C5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5" w:type="dxa"/>
            <w:gridSpan w:val="2"/>
            <w:tcBorders>
              <w:left w:val="nil"/>
              <w:right w:val="nil"/>
            </w:tcBorders>
          </w:tcPr>
          <w:p w14:paraId="7E4F14C5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Model 2</w:t>
            </w:r>
          </w:p>
        </w:tc>
      </w:tr>
      <w:tr w:rsidR="006920E3" w:rsidRPr="009C486B" w14:paraId="5EA76E5F" w14:textId="77777777" w:rsidTr="00FB5A2A">
        <w:tc>
          <w:tcPr>
            <w:tcW w:w="333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FF3C1D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966" w:type="dxa"/>
            <w:tcBorders>
              <w:left w:val="nil"/>
              <w:bottom w:val="single" w:sz="4" w:space="0" w:color="auto"/>
              <w:right w:val="nil"/>
            </w:tcBorders>
          </w:tcPr>
          <w:p w14:paraId="055F5522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Unstandardized B coefficient (95% CI)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</w:tcPr>
          <w:p w14:paraId="3551A38A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p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BA2BA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left w:val="nil"/>
              <w:bottom w:val="single" w:sz="4" w:space="0" w:color="auto"/>
              <w:right w:val="nil"/>
            </w:tcBorders>
          </w:tcPr>
          <w:p w14:paraId="2B9E78E3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Standardized β coefficient (95% CI)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</w:tcPr>
          <w:p w14:paraId="79906298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36206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left w:val="nil"/>
              <w:bottom w:val="single" w:sz="4" w:space="0" w:color="auto"/>
              <w:right w:val="nil"/>
            </w:tcBorders>
          </w:tcPr>
          <w:p w14:paraId="6F743CF2" w14:textId="77777777" w:rsidR="006920E3" w:rsidRPr="009C486B" w:rsidRDefault="006920E3" w:rsidP="00FB5A2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Standardized β coefficient (95% CI)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</w:tcPr>
          <w:p w14:paraId="5952F5AA" w14:textId="77777777" w:rsidR="006920E3" w:rsidRPr="009C486B" w:rsidRDefault="006920E3" w:rsidP="00FB5A2A">
            <w:pPr>
              <w:spacing w:line="480" w:lineRule="auto"/>
              <w:ind w:firstLineChars="100" w:firstLine="200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p</w:t>
            </w:r>
          </w:p>
        </w:tc>
      </w:tr>
      <w:tr w:rsidR="006920E3" w:rsidRPr="009C486B" w14:paraId="09E08EE2" w14:textId="77777777" w:rsidTr="00FB5A2A">
        <w:tc>
          <w:tcPr>
            <w:tcW w:w="3337" w:type="dxa"/>
            <w:tcBorders>
              <w:left w:val="nil"/>
              <w:bottom w:val="nil"/>
              <w:right w:val="nil"/>
            </w:tcBorders>
          </w:tcPr>
          <w:p w14:paraId="584216C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  <w:b/>
                <w:bCs/>
              </w:rPr>
              <w:t xml:space="preserve">Males </w:t>
            </w:r>
          </w:p>
        </w:tc>
        <w:tc>
          <w:tcPr>
            <w:tcW w:w="2966" w:type="dxa"/>
            <w:tcBorders>
              <w:left w:val="nil"/>
              <w:bottom w:val="nil"/>
              <w:right w:val="nil"/>
            </w:tcBorders>
          </w:tcPr>
          <w:p w14:paraId="7A70386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14:paraId="3E30305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</w:tcPr>
          <w:p w14:paraId="59BB558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left w:val="nil"/>
              <w:bottom w:val="nil"/>
              <w:right w:val="nil"/>
            </w:tcBorders>
          </w:tcPr>
          <w:p w14:paraId="02CD8A7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14:paraId="2245D05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6B55B28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</w:tcPr>
          <w:p w14:paraId="51ADF21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14:paraId="192DB76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6920E3" w:rsidRPr="009C486B" w14:paraId="3029B4EB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06D61FA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MDS-UPDRS III total 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5F88782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-1.204(-5.738, 3.330)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1760BA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0.601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8AA6BF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3CFDFD6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-0.035(-7.923, 5.799)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6EF950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34753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5780E896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0.017(-6.566, 7.598)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767B22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0.885</w:t>
            </w:r>
          </w:p>
        </w:tc>
      </w:tr>
      <w:tr w:rsidR="006920E3" w:rsidRPr="009C486B" w14:paraId="45CEFDCF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4B0E6AC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Tremor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0323DC4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0.513(-1.272, 2.298)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1C5F37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0.570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21A297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70B5E07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0.157(-0.842, 3.743)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C72446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B5E16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5A96088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0.168(-0.845, 3.961)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8D245DD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0.200</w:t>
            </w:r>
          </w:p>
        </w:tc>
      </w:tr>
      <w:tr w:rsidR="006920E3" w:rsidRPr="009C486B" w14:paraId="2FEDE909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30EBD5D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Rigid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6276E18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0.061(-1.169, 1.290)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5B61A9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0.922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627991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282970C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0.110(-0.931, 2.473)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8D7950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0.370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7DCDA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3246F61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0.075(-1.248, 2.302)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75B2D8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0.556</w:t>
            </w:r>
          </w:p>
        </w:tc>
      </w:tr>
      <w:tr w:rsidR="006920E3" w:rsidRPr="009C486B" w14:paraId="254C72A5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5511CE1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Bradykinesia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271B4D2D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-0.670(-4.405, 3.065)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D6C798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0.723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57E58F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7B28461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0.024(-4.535, 5.559)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3169176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0.840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D74E4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15E3080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0.034(-4.512, 5.984)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1B7052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0.781</w:t>
            </w:r>
          </w:p>
        </w:tc>
      </w:tr>
      <w:tr w:rsidR="006920E3" w:rsidRPr="009C486B" w14:paraId="6546F2F6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00D6EB8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Gait/postural instability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501552E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-0.152(-1.030, 0.726)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D19899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0.733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7C00A7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5D5F7D2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-0.147(-2.081, 0.515)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3514B4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C11A1D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1B139D0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-0.161(-2.195, 0.478)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A7C153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0.204</w:t>
            </w:r>
          </w:p>
        </w:tc>
      </w:tr>
      <w:tr w:rsidR="006920E3" w:rsidRPr="009C486B" w14:paraId="6FC0528C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6DE3BD9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  <w:b/>
                <w:bCs/>
              </w:rPr>
              <w:t xml:space="preserve">Females 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54EDAEE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D5C052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E3D665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648C80B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D327CD0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EB285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1C77069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D44B42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6920E3" w:rsidRPr="009C486B" w14:paraId="714AF036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402BB3E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9C486B">
              <w:rPr>
                <w:rFonts w:ascii="Times New Roman" w:hAnsi="Times New Roman"/>
              </w:rPr>
              <w:t>MDS-UPDRS III total 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67A1863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-0.928(-5.974, 4.118)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AA81D3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0.716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E75AA4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631199A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0.056(-4.261, 7.245)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540F9F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0.607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C2E94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087B18A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0.064(-4.066, 7.476)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56CFDA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0.557</w:t>
            </w:r>
          </w:p>
        </w:tc>
      </w:tr>
      <w:tr w:rsidR="006920E3" w:rsidRPr="009C486B" w14:paraId="759E09F9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62EE490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Tremor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6A7412F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0.549(-1.154, 2.252)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20878E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0.523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A121FD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445C354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0.014(-2.060, 2.290)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073C74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B1696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75266AFD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0.025(-2.056, 2.477)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DE3576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0.853</w:t>
            </w:r>
          </w:p>
        </w:tc>
      </w:tr>
      <w:tr w:rsidR="006920E3" w:rsidRPr="009C486B" w14:paraId="2E8838D7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4AF18EB1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lastRenderedPageBreak/>
              <w:t>Rigidity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2FFBF23F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-0.771(-2.085, 0.543)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F891B79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0.247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9EFE0D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0290DFD7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-0.009(-1.686, 1.566)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AE7DED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5CF6F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157B1AD2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-0.013(-1.771, 1.598)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EC09E5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0.919</w:t>
            </w:r>
          </w:p>
        </w:tc>
      </w:tr>
      <w:tr w:rsidR="006920E3" w:rsidRPr="009C486B" w14:paraId="452BFD08" w14:textId="77777777" w:rsidTr="00FB5A2A"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3AF96EE4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Bradykinesia subscores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0E1FF20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-2.568(-6.578, 1.441)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A95B2A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0.206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BF40AB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3C4BB1C6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0.046(-3.706, 5.472)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EEFC19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E35ED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43BAC196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0.033(-4.122, 5.390)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EA18303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0.790</w:t>
            </w:r>
          </w:p>
        </w:tc>
      </w:tr>
      <w:tr w:rsidR="006920E3" w:rsidRPr="009C486B" w14:paraId="7037C389" w14:textId="77777777" w:rsidTr="00FB5A2A">
        <w:tc>
          <w:tcPr>
            <w:tcW w:w="3337" w:type="dxa"/>
            <w:tcBorders>
              <w:top w:val="nil"/>
              <w:left w:val="nil"/>
              <w:right w:val="nil"/>
            </w:tcBorders>
          </w:tcPr>
          <w:p w14:paraId="4396E7F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Gait/postural instability subscores</w:t>
            </w:r>
          </w:p>
        </w:tc>
        <w:tc>
          <w:tcPr>
            <w:tcW w:w="2966" w:type="dxa"/>
            <w:tcBorders>
              <w:top w:val="nil"/>
              <w:left w:val="nil"/>
              <w:right w:val="nil"/>
            </w:tcBorders>
          </w:tcPr>
          <w:p w14:paraId="0F4D89D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-0.150(-1.191, 0.892)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2CAE66F5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0.776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14:paraId="39B09B06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002" w:type="dxa"/>
            <w:tcBorders>
              <w:top w:val="nil"/>
              <w:left w:val="nil"/>
              <w:right w:val="nil"/>
            </w:tcBorders>
          </w:tcPr>
          <w:p w14:paraId="4737FCBC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0.030(-1.172, 1.474)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49E7A40B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0.821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568D1B7A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653" w:type="dxa"/>
            <w:tcBorders>
              <w:top w:val="nil"/>
              <w:left w:val="nil"/>
              <w:right w:val="nil"/>
            </w:tcBorders>
          </w:tcPr>
          <w:p w14:paraId="7E63FD38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-0.028(-1.448, 1.165)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5CF64EBE" w14:textId="77777777" w:rsidR="006920E3" w:rsidRPr="009C486B" w:rsidRDefault="006920E3" w:rsidP="00FB5A2A">
            <w:pPr>
              <w:spacing w:line="480" w:lineRule="auto"/>
              <w:rPr>
                <w:rFonts w:ascii="Times New Roman" w:hAnsi="Times New Roman"/>
              </w:rPr>
            </w:pPr>
            <w:r w:rsidRPr="009C486B">
              <w:rPr>
                <w:rFonts w:ascii="Times New Roman" w:hAnsi="Times New Roman"/>
              </w:rPr>
              <w:t>0.829</w:t>
            </w:r>
          </w:p>
        </w:tc>
      </w:tr>
    </w:tbl>
    <w:p w14:paraId="265549EB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  <w:r w:rsidRPr="009C486B">
        <w:rPr>
          <w:rFonts w:ascii="Times New Roman" w:hAnsi="Times New Roman" w:cs="Times New Roman"/>
        </w:rPr>
        <w:t>Multivariable linear regression Model 1 was adjusted for age, education, BMI, age at onset, disease duration, MoCA scores, HAMA scores, HAMD scores, LEED, and use of lipid-lowering medication, Model 2 was further adjusted for uric acid and homocysteine levels.</w:t>
      </w:r>
    </w:p>
    <w:p w14:paraId="31018C9F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  <w:r w:rsidRPr="009C486B">
        <w:rPr>
          <w:rFonts w:ascii="Times New Roman" w:hAnsi="Times New Roman" w:cs="Times New Roman"/>
        </w:rPr>
        <w:t>Abbreviations: LDL-C, low-density lipoprotein cholesterol; CI, confidence interval; MDS-UPDRS III, Movement Disorder Society-Unified Parkinson’s Disease Rating Scale part III; BMI, body mass index; MoCA, Montreal Cognitive Assessment; HAMA, Hamilton Anxiety Rating Scale; HAMD, Hamilton Depression Rating Scale; LEED, levodopa equivalent daily dosage.</w:t>
      </w:r>
    </w:p>
    <w:p w14:paraId="237C77D8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</w:p>
    <w:p w14:paraId="790E6944" w14:textId="77777777" w:rsidR="006920E3" w:rsidRPr="009C486B" w:rsidRDefault="006920E3" w:rsidP="006920E3">
      <w:pPr>
        <w:spacing w:line="480" w:lineRule="auto"/>
        <w:rPr>
          <w:rFonts w:ascii="Times New Roman" w:hAnsi="Times New Roman" w:cs="Times New Roman"/>
        </w:rPr>
      </w:pPr>
    </w:p>
    <w:p w14:paraId="74F256C8" w14:textId="77777777" w:rsidR="00721D96" w:rsidRPr="006920E3" w:rsidRDefault="00B54D3A"/>
    <w:sectPr w:rsidR="00721D96" w:rsidRPr="006920E3" w:rsidSect="006920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62"/>
    <w:rsid w:val="005F6472"/>
    <w:rsid w:val="006920E3"/>
    <w:rsid w:val="00774AEF"/>
    <w:rsid w:val="00850F83"/>
    <w:rsid w:val="00B54D3A"/>
    <w:rsid w:val="00EE6193"/>
    <w:rsid w:val="00F8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CE92F"/>
  <w15:chartTrackingRefBased/>
  <w15:docId w15:val="{D6DD4F96-E66E-42A6-84CA-4F6F5791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0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0E3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6</cp:revision>
  <dcterms:created xsi:type="dcterms:W3CDTF">2022-01-13T14:15:00Z</dcterms:created>
  <dcterms:modified xsi:type="dcterms:W3CDTF">2022-03-07T15:24:00Z</dcterms:modified>
</cp:coreProperties>
</file>