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34517" w14:textId="38FD2CE8" w:rsidR="000D7C60" w:rsidRPr="00465B5D" w:rsidRDefault="000D7C60" w:rsidP="000248C9">
      <w:pPr>
        <w:pStyle w:val="Body"/>
        <w:spacing w:after="0" w:line="480" w:lineRule="auto"/>
        <w:jc w:val="both"/>
        <w:rPr>
          <w:rFonts w:ascii="Arial" w:hAnsi="Arial" w:cs="Arial"/>
          <w:b/>
          <w:bCs/>
          <w:iCs/>
          <w:lang w:val="en-GB"/>
        </w:rPr>
      </w:pPr>
      <w:r w:rsidRPr="00465B5D">
        <w:rPr>
          <w:rFonts w:ascii="Arial" w:hAnsi="Arial" w:cs="Arial"/>
          <w:b/>
          <w:bCs/>
          <w:iCs/>
          <w:lang w:val="en-GB"/>
        </w:rPr>
        <w:t>Intervention dosing regimens</w:t>
      </w:r>
      <w:r w:rsidR="0071743B">
        <w:rPr>
          <w:rFonts w:ascii="Arial" w:hAnsi="Arial" w:cs="Arial"/>
          <w:b/>
          <w:bCs/>
          <w:iCs/>
          <w:lang w:val="en-GB"/>
        </w:rPr>
        <w:t xml:space="preserve"> estimation</w:t>
      </w:r>
    </w:p>
    <w:p w14:paraId="79A904B3" w14:textId="2184FF2C" w:rsidR="008B7B8B" w:rsidRDefault="008B7B8B" w:rsidP="000248C9">
      <w:pPr>
        <w:pStyle w:val="Body"/>
        <w:spacing w:after="0" w:line="480" w:lineRule="auto"/>
        <w:jc w:val="both"/>
        <w:rPr>
          <w:rFonts w:ascii="Arial" w:hAnsi="Arial" w:cs="Arial"/>
          <w:iCs/>
          <w:lang w:val="en-GB"/>
        </w:rPr>
      </w:pPr>
      <w:r>
        <w:rPr>
          <w:rFonts w:ascii="Arial" w:hAnsi="Arial" w:cs="Arial"/>
          <w:iCs/>
          <w:lang w:val="en-GB"/>
        </w:rPr>
        <w:t>In order to</w:t>
      </w:r>
      <w:r w:rsidRPr="008C6D39">
        <w:rPr>
          <w:rFonts w:ascii="Arial" w:hAnsi="Arial" w:cs="Arial"/>
          <w:iCs/>
          <w:lang w:val="en-GB"/>
        </w:rPr>
        <w:t xml:space="preserve"> achieve a pharmacodynamic target of free serum </w:t>
      </w:r>
      <w:r>
        <w:rPr>
          <w:rFonts w:ascii="Arial" w:hAnsi="Arial" w:cs="Arial"/>
          <w:iCs/>
          <w:lang w:val="en-GB"/>
        </w:rPr>
        <w:t>cefuroxime</w:t>
      </w:r>
      <w:r w:rsidRPr="008C6D39">
        <w:rPr>
          <w:rFonts w:ascii="Arial" w:hAnsi="Arial" w:cs="Arial"/>
          <w:iCs/>
          <w:lang w:val="en-GB"/>
        </w:rPr>
        <w:t xml:space="preserve"> concentration 4 x MIC90 </w:t>
      </w:r>
      <w:r>
        <w:rPr>
          <w:rFonts w:ascii="Arial" w:hAnsi="Arial" w:cs="Arial"/>
          <w:iCs/>
          <w:lang w:val="en-GB"/>
        </w:rPr>
        <w:t>(f</w:t>
      </w:r>
      <w:proofErr w:type="spellStart"/>
      <w:r w:rsidRPr="00B56F9D">
        <w:rPr>
          <w:rFonts w:ascii="Arial" w:eastAsiaTheme="minorHAnsi" w:hAnsi="Arial" w:cs="Arial"/>
        </w:rPr>
        <w:t>C</w:t>
      </w:r>
      <w:r>
        <w:rPr>
          <w:rFonts w:ascii="Arial" w:eastAsiaTheme="minorHAnsi" w:hAnsi="Arial" w:cs="Arial"/>
          <w:vertAlign w:val="subscript"/>
        </w:rPr>
        <w:t>T</w:t>
      </w:r>
      <w:r w:rsidRPr="00B56F9D">
        <w:rPr>
          <w:rFonts w:ascii="Arial" w:eastAsiaTheme="minorHAnsi" w:hAnsi="Arial" w:cs="Arial"/>
          <w:vertAlign w:val="subscript"/>
        </w:rPr>
        <w:t>arget</w:t>
      </w:r>
      <w:proofErr w:type="spellEnd"/>
      <w:r>
        <w:rPr>
          <w:rFonts w:ascii="Arial" w:hAnsi="Arial" w:cs="Arial"/>
          <w:iCs/>
          <w:lang w:val="en-GB"/>
        </w:rPr>
        <w:t xml:space="preserve"> = 64mg/L) during the entire surgical procedure, </w:t>
      </w:r>
      <w:r w:rsidR="00120937">
        <w:rPr>
          <w:rFonts w:ascii="Arial" w:hAnsi="Arial" w:cs="Arial"/>
          <w:iCs/>
          <w:lang w:val="en-GB"/>
        </w:rPr>
        <w:t xml:space="preserve">intervention arm </w:t>
      </w:r>
      <w:r>
        <w:rPr>
          <w:rFonts w:ascii="Arial" w:hAnsi="Arial" w:cs="Arial"/>
          <w:iCs/>
          <w:lang w:val="en-GB"/>
        </w:rPr>
        <w:t>patients received a loading dose followed by a continuous infusion during the surgery (up to 6 hours).</w:t>
      </w:r>
    </w:p>
    <w:p w14:paraId="3AD6DCB0" w14:textId="0589B740" w:rsidR="008B7B8B" w:rsidRDefault="00120937">
      <w:pPr>
        <w:pStyle w:val="Body"/>
        <w:spacing w:after="0" w:line="480" w:lineRule="auto"/>
        <w:jc w:val="both"/>
        <w:rPr>
          <w:rFonts w:ascii="Arial" w:hAnsi="Arial" w:cs="Arial"/>
          <w:iCs/>
          <w:lang w:val="en-GB"/>
        </w:rPr>
      </w:pPr>
      <w:r>
        <w:rPr>
          <w:rFonts w:ascii="Arial" w:hAnsi="Arial" w:cs="Arial"/>
          <w:iCs/>
          <w:lang w:val="en-GB"/>
        </w:rPr>
        <w:t>The doses were estimated using two different approaches:</w:t>
      </w:r>
    </w:p>
    <w:p w14:paraId="0F47BFF6" w14:textId="32B171D2" w:rsidR="00120937" w:rsidRDefault="00120937">
      <w:pPr>
        <w:pStyle w:val="Body"/>
        <w:numPr>
          <w:ilvl w:val="0"/>
          <w:numId w:val="4"/>
        </w:numPr>
        <w:spacing w:after="0" w:line="480" w:lineRule="auto"/>
        <w:jc w:val="both"/>
        <w:rPr>
          <w:rFonts w:ascii="Arial" w:hAnsi="Arial" w:cs="Arial"/>
          <w:iCs/>
          <w:lang w:val="en-GB"/>
        </w:rPr>
      </w:pPr>
      <w:r>
        <w:rPr>
          <w:rFonts w:ascii="Arial" w:hAnsi="Arial" w:cs="Arial"/>
          <w:iCs/>
          <w:lang w:val="en-GB"/>
        </w:rPr>
        <w:t>Non-compartment based model</w:t>
      </w:r>
    </w:p>
    <w:p w14:paraId="5C684E45" w14:textId="731E0725" w:rsidR="00120937" w:rsidRDefault="00120937">
      <w:pPr>
        <w:pStyle w:val="Body"/>
        <w:numPr>
          <w:ilvl w:val="0"/>
          <w:numId w:val="4"/>
        </w:numPr>
        <w:spacing w:after="0" w:line="480" w:lineRule="auto"/>
        <w:jc w:val="both"/>
        <w:rPr>
          <w:rFonts w:ascii="Arial" w:hAnsi="Arial" w:cs="Arial"/>
          <w:iCs/>
          <w:lang w:val="en-GB"/>
        </w:rPr>
      </w:pPr>
      <w:r>
        <w:rPr>
          <w:rFonts w:ascii="Arial" w:hAnsi="Arial" w:cs="Arial"/>
          <w:iCs/>
          <w:lang w:val="en-GB"/>
        </w:rPr>
        <w:t>Compartmental analysis based model</w:t>
      </w:r>
    </w:p>
    <w:p w14:paraId="2CDEA6FF" w14:textId="77777777" w:rsidR="00120937" w:rsidRDefault="00120937">
      <w:pPr>
        <w:pStyle w:val="Body"/>
        <w:spacing w:after="0" w:line="480" w:lineRule="auto"/>
        <w:jc w:val="both"/>
        <w:rPr>
          <w:rFonts w:ascii="Arial" w:hAnsi="Arial" w:cs="Arial"/>
          <w:iCs/>
          <w:lang w:val="en-GB"/>
        </w:rPr>
      </w:pPr>
    </w:p>
    <w:p w14:paraId="427E49DD" w14:textId="074592BF" w:rsidR="000D7C60" w:rsidRPr="008E0B0A" w:rsidRDefault="007344A9">
      <w:pPr>
        <w:pStyle w:val="Body"/>
        <w:spacing w:after="0" w:line="480" w:lineRule="auto"/>
        <w:jc w:val="both"/>
        <w:rPr>
          <w:rFonts w:ascii="Arial" w:hAnsi="Arial" w:cs="Arial"/>
          <w:iCs/>
          <w:lang w:val="en-GB"/>
        </w:rPr>
      </w:pPr>
      <w:r w:rsidRPr="00465B5D">
        <w:rPr>
          <w:rFonts w:ascii="Arial" w:hAnsi="Arial" w:cs="Arial"/>
          <w:b/>
          <w:bCs/>
          <w:iCs/>
          <w:lang w:val="en-GB"/>
        </w:rPr>
        <w:t>Non</w:t>
      </w:r>
      <w:r>
        <w:rPr>
          <w:rFonts w:ascii="Arial" w:hAnsi="Arial" w:cs="Arial"/>
          <w:b/>
          <w:bCs/>
          <w:iCs/>
          <w:lang w:val="en-GB"/>
        </w:rPr>
        <w:t>-</w:t>
      </w:r>
      <w:r w:rsidR="000D7C60" w:rsidRPr="00465B5D">
        <w:rPr>
          <w:rFonts w:ascii="Arial" w:hAnsi="Arial" w:cs="Arial"/>
          <w:b/>
          <w:bCs/>
          <w:iCs/>
          <w:lang w:val="en-GB"/>
        </w:rPr>
        <w:t>compartment based model:</w:t>
      </w:r>
      <w:r w:rsidR="000D7C60">
        <w:rPr>
          <w:rFonts w:ascii="Arial" w:hAnsi="Arial" w:cs="Arial"/>
          <w:iCs/>
          <w:lang w:val="en-GB"/>
        </w:rPr>
        <w:t xml:space="preserve"> This dosing regimen for </w:t>
      </w:r>
      <w:r w:rsidR="000D7C60" w:rsidRPr="004D4C68">
        <w:rPr>
          <w:rFonts w:ascii="Arial" w:hAnsi="Arial" w:cs="Arial"/>
          <w:iCs/>
          <w:lang w:val="en-GB"/>
        </w:rPr>
        <w:t>both the bolus loading dose and continuous infusion dose</w:t>
      </w:r>
      <w:r w:rsidR="000D7C60">
        <w:rPr>
          <w:rFonts w:ascii="Arial" w:hAnsi="Arial" w:cs="Arial"/>
          <w:iCs/>
          <w:lang w:val="en-GB"/>
        </w:rPr>
        <w:t xml:space="preserve"> was calculated using the following formulas and data [25]</w:t>
      </w:r>
    </w:p>
    <w:p w14:paraId="01E47A35" w14:textId="1DE0C1D7" w:rsidR="000D7C60" w:rsidRDefault="000D7C60">
      <w:pPr>
        <w:pStyle w:val="Body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iCs/>
          <w:lang w:val="en-GB"/>
        </w:rPr>
      </w:pPr>
      <w:r>
        <w:rPr>
          <w:rFonts w:ascii="Arial" w:hAnsi="Arial" w:cs="Arial"/>
          <w:iCs/>
          <w:lang w:val="en-GB"/>
        </w:rPr>
        <w:t>B</w:t>
      </w:r>
      <w:r w:rsidRPr="004D4C68">
        <w:rPr>
          <w:rFonts w:ascii="Arial" w:hAnsi="Arial" w:cs="Arial"/>
          <w:iCs/>
          <w:lang w:val="en-GB"/>
        </w:rPr>
        <w:t>olus (loading dose) (mg) =</w:t>
      </w:r>
      <w:r w:rsidR="004E41E0">
        <w:rPr>
          <w:rFonts w:ascii="Arial" w:hAnsi="Arial" w:cs="Arial"/>
          <w:iCs/>
          <w:lang w:val="en-GB"/>
        </w:rPr>
        <w:t xml:space="preserve"> </w:t>
      </w:r>
      <w:r w:rsidRPr="004D4C68">
        <w:rPr>
          <w:rFonts w:ascii="Arial" w:hAnsi="Arial" w:cs="Arial"/>
          <w:iCs/>
          <w:lang w:val="en-GB"/>
        </w:rPr>
        <w:t>target concentration</w:t>
      </w:r>
      <w:r>
        <w:rPr>
          <w:rFonts w:ascii="Arial" w:hAnsi="Arial" w:cs="Arial"/>
          <w:iCs/>
          <w:lang w:val="en-GB"/>
        </w:rPr>
        <w:t xml:space="preserve"> of free drug</w:t>
      </w:r>
      <w:r w:rsidRPr="004D4C68">
        <w:rPr>
          <w:rFonts w:ascii="Arial" w:hAnsi="Arial" w:cs="Arial"/>
          <w:iCs/>
          <w:lang w:val="en-GB"/>
        </w:rPr>
        <w:t xml:space="preserve"> (64mg/L</w:t>
      </w:r>
      <w:r w:rsidR="004132E2">
        <w:rPr>
          <w:rFonts w:ascii="Arial" w:hAnsi="Arial" w:cs="Arial"/>
          <w:iCs/>
          <w:lang w:val="en-GB"/>
        </w:rPr>
        <w:t xml:space="preserve">) </w:t>
      </w:r>
      <w:r>
        <w:rPr>
          <w:rFonts w:ascii="Arial" w:hAnsi="Arial" w:cs="Arial"/>
          <w:iCs/>
          <w:lang w:val="en-GB"/>
        </w:rPr>
        <w:t>/</w:t>
      </w:r>
      <w:r w:rsidR="004132E2">
        <w:rPr>
          <w:rFonts w:ascii="Arial" w:hAnsi="Arial" w:cs="Arial"/>
          <w:iCs/>
          <w:lang w:val="en-GB"/>
        </w:rPr>
        <w:t xml:space="preserve"> </w:t>
      </w:r>
      <w:r>
        <w:rPr>
          <w:rFonts w:ascii="Arial" w:hAnsi="Arial" w:cs="Arial"/>
          <w:iCs/>
          <w:lang w:val="en-GB"/>
        </w:rPr>
        <w:t>0.</w:t>
      </w:r>
      <w:r w:rsidR="004132E2">
        <w:rPr>
          <w:rFonts w:ascii="Arial" w:hAnsi="Arial" w:cs="Arial"/>
          <w:iCs/>
          <w:lang w:val="en-GB"/>
        </w:rPr>
        <w:t>67</w:t>
      </w:r>
      <w:r>
        <w:rPr>
          <w:rFonts w:ascii="Arial" w:hAnsi="Arial" w:cs="Arial"/>
          <w:iCs/>
          <w:vertAlign w:val="superscript"/>
          <w:lang w:val="en-GB"/>
        </w:rPr>
        <w:t>*</w:t>
      </w:r>
      <w:r w:rsidRPr="004D4C68">
        <w:rPr>
          <w:rFonts w:ascii="Arial" w:hAnsi="Arial" w:cs="Arial"/>
          <w:iCs/>
          <w:lang w:val="en-GB"/>
        </w:rPr>
        <w:t xml:space="preserve"> x volume of distribution (L/kg) x body weight (kg) </w:t>
      </w:r>
      <w:r>
        <w:rPr>
          <w:rFonts w:ascii="Arial" w:hAnsi="Arial" w:cs="Arial"/>
          <w:iCs/>
          <w:lang w:val="en-GB"/>
        </w:rPr>
        <w:t>(volume of distribution =</w:t>
      </w:r>
      <w:r w:rsidR="004E41E0">
        <w:rPr>
          <w:rFonts w:ascii="Arial" w:hAnsi="Arial" w:cs="Arial"/>
          <w:iCs/>
          <w:lang w:val="en-GB"/>
        </w:rPr>
        <w:t xml:space="preserve"> </w:t>
      </w:r>
      <w:r>
        <w:rPr>
          <w:rFonts w:ascii="Arial" w:hAnsi="Arial" w:cs="Arial"/>
          <w:iCs/>
          <w:lang w:val="en-GB"/>
        </w:rPr>
        <w:t>0.19</w:t>
      </w:r>
      <w:r w:rsidR="004132E2">
        <w:rPr>
          <w:rFonts w:ascii="Arial" w:hAnsi="Arial" w:cs="Arial"/>
          <w:iCs/>
          <w:lang w:val="en-GB"/>
        </w:rPr>
        <w:t xml:space="preserve"> </w:t>
      </w:r>
      <w:r>
        <w:rPr>
          <w:rFonts w:ascii="Arial" w:hAnsi="Arial" w:cs="Arial"/>
          <w:iCs/>
          <w:lang w:val="en-GB"/>
        </w:rPr>
        <w:t xml:space="preserve">L/kg, </w:t>
      </w:r>
      <w:r>
        <w:rPr>
          <w:rFonts w:ascii="Arial" w:hAnsi="Arial" w:cs="Arial"/>
          <w:iCs/>
          <w:vertAlign w:val="superscript"/>
          <w:lang w:val="en-GB"/>
        </w:rPr>
        <w:t>*</w:t>
      </w:r>
      <w:r>
        <w:rPr>
          <w:rFonts w:ascii="Arial" w:hAnsi="Arial" w:cs="Arial"/>
          <w:iCs/>
          <w:lang w:val="en-GB"/>
        </w:rPr>
        <w:t>protein binding =</w:t>
      </w:r>
      <w:r w:rsidR="004E41E0">
        <w:rPr>
          <w:rFonts w:ascii="Arial" w:hAnsi="Arial" w:cs="Arial"/>
          <w:iCs/>
          <w:lang w:val="en-GB"/>
        </w:rPr>
        <w:t xml:space="preserve"> </w:t>
      </w:r>
      <w:r>
        <w:rPr>
          <w:rFonts w:ascii="Arial" w:hAnsi="Arial" w:cs="Arial"/>
          <w:iCs/>
          <w:lang w:val="en-GB"/>
        </w:rPr>
        <w:t>33%)</w:t>
      </w:r>
    </w:p>
    <w:p w14:paraId="3530EB57" w14:textId="6A74FD0C" w:rsidR="000D7C60" w:rsidRDefault="000D7C60">
      <w:pPr>
        <w:pStyle w:val="Body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iCs/>
          <w:lang w:val="en-GB"/>
        </w:rPr>
      </w:pPr>
      <w:r>
        <w:rPr>
          <w:rFonts w:ascii="Arial" w:hAnsi="Arial" w:cs="Arial"/>
          <w:iCs/>
          <w:lang w:val="en-GB"/>
        </w:rPr>
        <w:t>C</w:t>
      </w:r>
      <w:r w:rsidRPr="004D4C68">
        <w:rPr>
          <w:rFonts w:ascii="Arial" w:hAnsi="Arial" w:cs="Arial"/>
          <w:iCs/>
          <w:lang w:val="en-GB"/>
        </w:rPr>
        <w:t>ontinuous (maintenance) infusion dose (mg/h)</w:t>
      </w:r>
      <w:r w:rsidR="004E41E0">
        <w:rPr>
          <w:rFonts w:ascii="Arial" w:hAnsi="Arial" w:cs="Arial"/>
          <w:iCs/>
          <w:lang w:val="en-GB"/>
        </w:rPr>
        <w:t xml:space="preserve"> </w:t>
      </w:r>
      <w:r w:rsidRPr="004D4C68">
        <w:rPr>
          <w:rFonts w:ascii="Arial" w:hAnsi="Arial" w:cs="Arial"/>
          <w:iCs/>
          <w:lang w:val="en-GB"/>
        </w:rPr>
        <w:t>=</w:t>
      </w:r>
      <w:r w:rsidR="004E41E0">
        <w:rPr>
          <w:rFonts w:ascii="Arial" w:hAnsi="Arial" w:cs="Arial"/>
          <w:iCs/>
          <w:lang w:val="en-GB"/>
        </w:rPr>
        <w:t xml:space="preserve"> </w:t>
      </w:r>
      <w:r w:rsidRPr="004D4C68">
        <w:rPr>
          <w:rFonts w:ascii="Arial" w:hAnsi="Arial" w:cs="Arial"/>
          <w:iCs/>
          <w:lang w:val="en-GB"/>
        </w:rPr>
        <w:t>target concentration</w:t>
      </w:r>
      <w:r>
        <w:rPr>
          <w:rFonts w:ascii="Arial" w:hAnsi="Arial" w:cs="Arial"/>
          <w:iCs/>
          <w:lang w:val="en-GB"/>
        </w:rPr>
        <w:t xml:space="preserve"> of free drug</w:t>
      </w:r>
      <w:r w:rsidRPr="004D4C68">
        <w:rPr>
          <w:rFonts w:ascii="Arial" w:hAnsi="Arial" w:cs="Arial"/>
          <w:iCs/>
          <w:lang w:val="en-GB"/>
        </w:rPr>
        <w:t xml:space="preserve"> (64mg/L</w:t>
      </w:r>
      <w:r w:rsidR="004132E2">
        <w:rPr>
          <w:rFonts w:ascii="Arial" w:hAnsi="Arial" w:cs="Arial"/>
          <w:iCs/>
          <w:lang w:val="en-GB"/>
        </w:rPr>
        <w:t xml:space="preserve">) </w:t>
      </w:r>
      <w:r>
        <w:rPr>
          <w:rFonts w:ascii="Arial" w:hAnsi="Arial" w:cs="Arial"/>
          <w:iCs/>
          <w:lang w:val="en-GB"/>
        </w:rPr>
        <w:t>/</w:t>
      </w:r>
      <w:r w:rsidR="004132E2">
        <w:rPr>
          <w:rFonts w:ascii="Arial" w:hAnsi="Arial" w:cs="Arial"/>
          <w:iCs/>
          <w:lang w:val="en-GB"/>
        </w:rPr>
        <w:t xml:space="preserve"> </w:t>
      </w:r>
      <w:r>
        <w:rPr>
          <w:rFonts w:ascii="Arial" w:hAnsi="Arial" w:cs="Arial"/>
          <w:iCs/>
          <w:lang w:val="en-GB"/>
        </w:rPr>
        <w:t>0.</w:t>
      </w:r>
      <w:r w:rsidR="004132E2">
        <w:rPr>
          <w:rFonts w:ascii="Arial" w:hAnsi="Arial" w:cs="Arial"/>
          <w:iCs/>
          <w:lang w:val="en-GB"/>
        </w:rPr>
        <w:t xml:space="preserve">67 </w:t>
      </w:r>
      <w:r w:rsidRPr="004D4C68">
        <w:rPr>
          <w:rFonts w:ascii="Arial" w:hAnsi="Arial" w:cs="Arial"/>
          <w:iCs/>
          <w:lang w:val="en-GB"/>
        </w:rPr>
        <w:t>x total body clearance (L/h)</w:t>
      </w:r>
      <w:r>
        <w:rPr>
          <w:rFonts w:ascii="Arial" w:hAnsi="Arial" w:cs="Arial"/>
          <w:iCs/>
          <w:lang w:val="en-GB"/>
        </w:rPr>
        <w:t xml:space="preserve">. </w:t>
      </w:r>
    </w:p>
    <w:p w14:paraId="30C14944" w14:textId="153D513E" w:rsidR="000D7C60" w:rsidRDefault="000D7C60">
      <w:pPr>
        <w:pStyle w:val="Body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iCs/>
          <w:lang w:val="en-GB"/>
        </w:rPr>
      </w:pPr>
      <w:r w:rsidRPr="004D4C68">
        <w:rPr>
          <w:rFonts w:ascii="Arial" w:hAnsi="Arial" w:cs="Arial"/>
          <w:iCs/>
          <w:lang w:val="en-GB"/>
        </w:rPr>
        <w:t>The continuous infusion rate in renal impairment</w:t>
      </w:r>
      <w:r>
        <w:rPr>
          <w:rFonts w:ascii="Arial" w:hAnsi="Arial" w:cs="Arial"/>
          <w:iCs/>
          <w:lang w:val="en-GB"/>
        </w:rPr>
        <w:t xml:space="preserve"> (creatinine clearance</w:t>
      </w:r>
      <w:r w:rsidR="004E41E0">
        <w:rPr>
          <w:rFonts w:ascii="Arial" w:hAnsi="Arial" w:cs="Arial"/>
          <w:iCs/>
          <w:lang w:val="en-GB"/>
        </w:rPr>
        <w:t xml:space="preserve"> </w:t>
      </w:r>
      <w:r>
        <w:rPr>
          <w:rFonts w:ascii="Arial" w:hAnsi="Arial" w:cs="Arial"/>
          <w:iCs/>
          <w:lang w:val="en-GB"/>
        </w:rPr>
        <w:t>&lt;</w:t>
      </w:r>
      <w:r w:rsidR="004E41E0">
        <w:rPr>
          <w:rFonts w:ascii="Arial" w:hAnsi="Arial" w:cs="Arial"/>
          <w:iCs/>
          <w:lang w:val="en-GB"/>
        </w:rPr>
        <w:t xml:space="preserve"> </w:t>
      </w:r>
      <w:r w:rsidR="00452F52">
        <w:rPr>
          <w:rFonts w:ascii="Arial" w:hAnsi="Arial" w:cs="Arial"/>
          <w:iCs/>
          <w:lang w:val="en-GB"/>
        </w:rPr>
        <w:t>90</w:t>
      </w:r>
      <w:r w:rsidR="00182DF1">
        <w:rPr>
          <w:rFonts w:ascii="Arial" w:hAnsi="Arial" w:cs="Arial"/>
          <w:iCs/>
          <w:lang w:val="en-GB"/>
        </w:rPr>
        <w:t xml:space="preserve"> </w:t>
      </w:r>
      <w:r w:rsidR="00452F52">
        <w:rPr>
          <w:rFonts w:ascii="Arial" w:hAnsi="Arial" w:cs="Arial"/>
          <w:iCs/>
          <w:lang w:val="en-GB"/>
        </w:rPr>
        <w:t>mL</w:t>
      </w:r>
      <w:r>
        <w:rPr>
          <w:rFonts w:ascii="Arial" w:hAnsi="Arial" w:cs="Arial"/>
          <w:iCs/>
          <w:lang w:val="en-GB"/>
        </w:rPr>
        <w:t>/min)</w:t>
      </w:r>
      <w:r w:rsidRPr="004D4C68">
        <w:rPr>
          <w:rFonts w:ascii="Arial" w:hAnsi="Arial" w:cs="Arial"/>
          <w:iCs/>
          <w:lang w:val="en-GB"/>
        </w:rPr>
        <w:t xml:space="preserve"> (mg/h)</w:t>
      </w:r>
      <w:r w:rsidR="004E41E0">
        <w:rPr>
          <w:rFonts w:ascii="Arial" w:hAnsi="Arial" w:cs="Arial"/>
          <w:iCs/>
          <w:lang w:val="en-GB"/>
        </w:rPr>
        <w:t xml:space="preserve"> </w:t>
      </w:r>
      <w:r w:rsidRPr="004D4C68">
        <w:rPr>
          <w:rFonts w:ascii="Arial" w:hAnsi="Arial" w:cs="Arial"/>
          <w:iCs/>
          <w:lang w:val="en-GB"/>
        </w:rPr>
        <w:t>=</w:t>
      </w:r>
      <w:r w:rsidR="004E41E0">
        <w:rPr>
          <w:rFonts w:ascii="Arial" w:hAnsi="Arial" w:cs="Arial"/>
          <w:iCs/>
          <w:lang w:val="en-GB"/>
        </w:rPr>
        <w:t xml:space="preserve"> </w:t>
      </w:r>
      <w:r w:rsidRPr="004D4C68">
        <w:rPr>
          <w:rFonts w:ascii="Arial" w:hAnsi="Arial" w:cs="Arial"/>
          <w:iCs/>
          <w:lang w:val="en-GB"/>
        </w:rPr>
        <w:t xml:space="preserve">continuous infusion rate x (Creatinine clearance/100). </w:t>
      </w:r>
    </w:p>
    <w:p w14:paraId="02248C53" w14:textId="3E3400BF" w:rsidR="000D7C60" w:rsidRDefault="000D7C60">
      <w:pPr>
        <w:pStyle w:val="Body"/>
        <w:spacing w:after="0" w:line="480" w:lineRule="auto"/>
        <w:jc w:val="both"/>
        <w:rPr>
          <w:rFonts w:ascii="Arial" w:hAnsi="Arial" w:cs="Arial"/>
          <w:iCs/>
          <w:lang w:val="en-GB"/>
        </w:rPr>
      </w:pPr>
      <w:r>
        <w:rPr>
          <w:rFonts w:ascii="Arial" w:hAnsi="Arial" w:cs="Arial"/>
          <w:iCs/>
          <w:lang w:val="en-GB"/>
        </w:rPr>
        <w:t>The resulting dosing regimen</w:t>
      </w:r>
      <w:r w:rsidR="00A22687">
        <w:rPr>
          <w:rFonts w:ascii="Arial" w:hAnsi="Arial" w:cs="Arial"/>
          <w:iCs/>
          <w:lang w:val="en-GB"/>
        </w:rPr>
        <w:t>s</w:t>
      </w:r>
      <w:r>
        <w:rPr>
          <w:rFonts w:ascii="Arial" w:hAnsi="Arial" w:cs="Arial"/>
          <w:iCs/>
          <w:lang w:val="en-GB"/>
        </w:rPr>
        <w:t xml:space="preserve"> </w:t>
      </w:r>
      <w:r w:rsidR="00A22687">
        <w:rPr>
          <w:rFonts w:ascii="Arial" w:hAnsi="Arial" w:cs="Arial"/>
          <w:iCs/>
          <w:lang w:val="en-GB"/>
        </w:rPr>
        <w:t>are</w:t>
      </w:r>
      <w:r>
        <w:rPr>
          <w:rFonts w:ascii="Arial" w:hAnsi="Arial" w:cs="Arial"/>
          <w:iCs/>
          <w:lang w:val="en-GB"/>
        </w:rPr>
        <w:t xml:space="preserve"> shown in Table 4.</w:t>
      </w:r>
    </w:p>
    <w:p w14:paraId="4F27FEBA" w14:textId="77777777" w:rsidR="000D7C60" w:rsidRDefault="000D7C60">
      <w:pPr>
        <w:pStyle w:val="Body"/>
        <w:spacing w:after="0" w:line="480" w:lineRule="auto"/>
        <w:jc w:val="both"/>
        <w:rPr>
          <w:rFonts w:ascii="Arial" w:hAnsi="Arial" w:cs="Arial"/>
          <w:iCs/>
          <w:lang w:val="en-GB"/>
        </w:rPr>
      </w:pPr>
    </w:p>
    <w:p w14:paraId="1D775748" w14:textId="1D43E9C7" w:rsidR="0044722F" w:rsidRDefault="000D7C60">
      <w:pPr>
        <w:pStyle w:val="Body"/>
        <w:spacing w:after="0" w:line="480" w:lineRule="auto"/>
        <w:jc w:val="both"/>
        <w:rPr>
          <w:rFonts w:ascii="Arial" w:hAnsi="Arial" w:cs="Arial"/>
          <w:iCs/>
          <w:lang w:val="en-GB"/>
        </w:rPr>
      </w:pPr>
      <w:r w:rsidRPr="00465B5D">
        <w:rPr>
          <w:rFonts w:ascii="Arial" w:hAnsi="Arial" w:cs="Arial"/>
          <w:b/>
          <w:bCs/>
          <w:iCs/>
          <w:lang w:val="en-GB"/>
        </w:rPr>
        <w:t>Compartment</w:t>
      </w:r>
      <w:r w:rsidR="00177297">
        <w:rPr>
          <w:rFonts w:ascii="Arial" w:hAnsi="Arial" w:cs="Arial"/>
          <w:b/>
          <w:bCs/>
          <w:iCs/>
          <w:lang w:val="en-GB"/>
        </w:rPr>
        <w:t>al analysis</w:t>
      </w:r>
      <w:r w:rsidRPr="00465B5D">
        <w:rPr>
          <w:rFonts w:ascii="Arial" w:hAnsi="Arial" w:cs="Arial"/>
          <w:b/>
          <w:bCs/>
          <w:iCs/>
          <w:lang w:val="en-GB"/>
        </w:rPr>
        <w:t xml:space="preserve"> based model</w:t>
      </w:r>
      <w:r>
        <w:rPr>
          <w:rFonts w:ascii="Arial" w:hAnsi="Arial" w:cs="Arial"/>
          <w:iCs/>
          <w:lang w:val="en-GB"/>
        </w:rPr>
        <w:t xml:space="preserve">: </w:t>
      </w:r>
      <w:r w:rsidR="0044722F">
        <w:rPr>
          <w:rFonts w:ascii="Arial" w:hAnsi="Arial" w:cs="Arial"/>
          <w:iCs/>
          <w:lang w:val="en-GB"/>
        </w:rPr>
        <w:t>The following expression was used to calculate the loading dose using pharmacokinetic parameters obtained from a population pharmacokinetic analysis in which the plasma concentration vs</w:t>
      </w:r>
      <w:r w:rsidR="004E41E0">
        <w:rPr>
          <w:rFonts w:ascii="Arial" w:hAnsi="Arial" w:cs="Arial"/>
          <w:iCs/>
          <w:lang w:val="en-GB"/>
        </w:rPr>
        <w:t>.</w:t>
      </w:r>
      <w:r w:rsidR="0044722F">
        <w:rPr>
          <w:rFonts w:ascii="Arial" w:hAnsi="Arial" w:cs="Arial"/>
          <w:iCs/>
          <w:lang w:val="en-GB"/>
        </w:rPr>
        <w:t xml:space="preserve"> time profiles of cefuroxime were described with a two compartments model [26]</w:t>
      </w:r>
      <w:r w:rsidR="004868B5">
        <w:rPr>
          <w:rFonts w:ascii="Arial" w:hAnsi="Arial" w:cs="Arial"/>
          <w:iCs/>
          <w:lang w:val="en-GB"/>
        </w:rPr>
        <w:t>, and assuming that the ratio between the areas under the unbound concentration vs</w:t>
      </w:r>
      <w:r w:rsidR="004E41E0">
        <w:rPr>
          <w:rFonts w:ascii="Arial" w:hAnsi="Arial" w:cs="Arial"/>
          <w:iCs/>
          <w:lang w:val="en-GB"/>
        </w:rPr>
        <w:t>.</w:t>
      </w:r>
      <w:r w:rsidR="004868B5">
        <w:rPr>
          <w:rFonts w:ascii="Arial" w:hAnsi="Arial" w:cs="Arial"/>
          <w:iCs/>
          <w:lang w:val="en-GB"/>
        </w:rPr>
        <w:t xml:space="preserve"> time curves </w:t>
      </w:r>
      <w:r w:rsidR="003675E1">
        <w:rPr>
          <w:rFonts w:ascii="Arial" w:hAnsi="Arial" w:cs="Arial"/>
          <w:iCs/>
          <w:lang w:val="en-GB"/>
        </w:rPr>
        <w:t xml:space="preserve">in muscle and </w:t>
      </w:r>
      <w:r w:rsidR="00583E77">
        <w:rPr>
          <w:rFonts w:ascii="Arial" w:hAnsi="Arial" w:cs="Arial"/>
          <w:iCs/>
          <w:lang w:val="en-GB"/>
        </w:rPr>
        <w:t xml:space="preserve">total </w:t>
      </w:r>
      <w:r w:rsidR="003675E1">
        <w:rPr>
          <w:rFonts w:ascii="Arial" w:hAnsi="Arial" w:cs="Arial"/>
          <w:iCs/>
          <w:lang w:val="en-GB"/>
        </w:rPr>
        <w:t>plasma equals 1</w:t>
      </w:r>
      <w:r w:rsidR="002C287A">
        <w:rPr>
          <w:rFonts w:ascii="Arial" w:hAnsi="Arial" w:cs="Arial"/>
          <w:iCs/>
          <w:lang w:val="en-GB"/>
        </w:rPr>
        <w:t xml:space="preserve"> [27]</w:t>
      </w:r>
      <w:r w:rsidR="003675E1">
        <w:rPr>
          <w:rFonts w:ascii="Arial" w:hAnsi="Arial" w:cs="Arial"/>
          <w:iCs/>
          <w:lang w:val="en-GB"/>
        </w:rPr>
        <w:t>.</w:t>
      </w:r>
      <w:r w:rsidR="0044722F">
        <w:rPr>
          <w:rFonts w:ascii="Arial" w:hAnsi="Arial" w:cs="Arial"/>
          <w:iCs/>
          <w:lang w:val="en-GB"/>
        </w:rPr>
        <w:t xml:space="preserve"> </w:t>
      </w:r>
    </w:p>
    <w:p w14:paraId="065C1C62" w14:textId="23308972" w:rsidR="00177297" w:rsidRDefault="00177297">
      <w:pPr>
        <w:pStyle w:val="Body"/>
        <w:spacing w:after="0" w:line="480" w:lineRule="auto"/>
        <w:jc w:val="both"/>
        <w:rPr>
          <w:rFonts w:ascii="Arial" w:hAnsi="Arial" w:cs="Arial"/>
          <w:iCs/>
          <w:lang w:val="en-GB"/>
        </w:rPr>
      </w:pPr>
      <m:oMathPara>
        <m:oMath>
          <m:r>
            <w:rPr>
              <w:rFonts w:ascii="Cambria Math" w:hAnsi="Cambria Math" w:cs="Arial"/>
              <w:lang w:val="en-GB"/>
            </w:rPr>
            <m:t xml:space="preserve">Loading dose </m:t>
          </m:r>
          <m:d>
            <m:dPr>
              <m:ctrlPr>
                <w:rPr>
                  <w:rFonts w:ascii="Cambria Math" w:hAnsi="Cambria Math" w:cs="Arial"/>
                  <w:i/>
                  <w:iCs/>
                  <w:lang w:val="en-GB"/>
                </w:rPr>
              </m:ctrlPr>
            </m:dPr>
            <m:e>
              <m:r>
                <w:rPr>
                  <w:rFonts w:ascii="Cambria Math" w:hAnsi="Cambria Math" w:cs="Arial"/>
                  <w:lang w:val="en-GB"/>
                </w:rPr>
                <m:t>mg</m:t>
              </m:r>
            </m:e>
          </m:d>
          <m:r>
            <w:rPr>
              <w:rFonts w:ascii="Cambria Math" w:hAnsi="Cambria Math" w:cs="Arial"/>
              <w:lang w:val="en-GB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lang w:val="en-GB"/>
                    </w:rPr>
                    <m:t>fC</m:t>
                  </m:r>
                </m:e>
                <m:sub>
                  <m:r>
                    <w:rPr>
                      <w:rFonts w:ascii="Cambria Math" w:hAnsi="Cambria Math" w:cs="Arial"/>
                      <w:lang w:val="en-GB"/>
                    </w:rPr>
                    <m:t>Target</m:t>
                  </m:r>
                </m:sub>
              </m:sSub>
            </m:num>
            <m:den>
              <m:r>
                <w:rPr>
                  <w:rFonts w:ascii="Cambria Math" w:hAnsi="Cambria Math" w:cs="Arial"/>
                  <w:lang w:val="en-GB"/>
                </w:rPr>
                <m:t>(1-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lang w:val="en-GB"/>
                    </w:rPr>
                    <m:t>f</m:t>
                  </m:r>
                </m:e>
                <m:sub>
                  <m:r>
                    <w:rPr>
                      <w:rFonts w:ascii="Cambria Math" w:hAnsi="Cambria Math" w:cs="Arial"/>
                      <w:lang w:val="en-GB"/>
                    </w:rPr>
                    <m:t>u</m:t>
                  </m:r>
                </m:sub>
              </m:sSub>
              <m:r>
                <w:rPr>
                  <w:rFonts w:ascii="Cambria Math" w:hAnsi="Cambria Math" w:cs="Arial"/>
                  <w:lang w:val="en-GB"/>
                </w:rPr>
                <m:t>)</m:t>
              </m:r>
            </m:den>
          </m:f>
          <m:r>
            <w:rPr>
              <w:rFonts w:ascii="Cambria Math" w:hAnsi="Cambria Math" w:cs="Arial"/>
              <w:lang w:val="en-GB"/>
            </w:rPr>
            <m:t>×</m:t>
          </m:r>
          <m:sSub>
            <m:sSubPr>
              <m:ctrlPr>
                <w:rPr>
                  <w:rFonts w:ascii="Cambria Math" w:hAnsi="Cambria Math" w:cs="Arial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Arial"/>
                  <w:lang w:val="en-GB"/>
                </w:rPr>
                <m:t>V</m:t>
              </m:r>
            </m:e>
            <m:sub>
              <m:r>
                <w:rPr>
                  <w:rFonts w:ascii="Cambria Math" w:hAnsi="Cambria Math" w:cs="Arial"/>
                  <w:lang w:val="en-GB"/>
                </w:rPr>
                <m:t>1</m:t>
              </m:r>
            </m:sub>
          </m:sSub>
          <m:r>
            <w:rPr>
              <w:rFonts w:ascii="Cambria Math" w:hAnsi="Cambria Math" w:cs="Arial"/>
              <w:lang w:val="en-GB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 w:cs="Arial"/>
                  <w:lang w:val="en-GB"/>
                </w:rPr>
                <m:t>fC</m:t>
              </m:r>
            </m:e>
            <m:sub>
              <m:r>
                <w:rPr>
                  <w:rFonts w:ascii="Cambria Math" w:hAnsi="Cambria Math" w:cs="Arial"/>
                  <w:lang w:val="en-GB"/>
                </w:rPr>
                <m:t>Target</m:t>
              </m:r>
            </m:sub>
          </m:sSub>
          <m:r>
            <w:rPr>
              <w:rFonts w:ascii="Cambria Math" w:hAnsi="Cambria Math" w:cs="Arial"/>
              <w:lang w:val="en-GB"/>
            </w:rPr>
            <m:t>×</m:t>
          </m:r>
          <m:sSub>
            <m:sSubPr>
              <m:ctrlPr>
                <w:rPr>
                  <w:rFonts w:ascii="Cambria Math" w:hAnsi="Cambria Math" w:cs="Arial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 w:cs="Arial"/>
                  <w:lang w:val="en-GB"/>
                </w:rPr>
                <m:t>V</m:t>
              </m:r>
            </m:e>
            <m:sub>
              <m:r>
                <w:rPr>
                  <w:rFonts w:ascii="Cambria Math" w:hAnsi="Cambria Math" w:cs="Arial"/>
                  <w:lang w:val="en-GB"/>
                </w:rPr>
                <m:t>2</m:t>
              </m:r>
            </m:sub>
          </m:sSub>
        </m:oMath>
      </m:oMathPara>
    </w:p>
    <w:p w14:paraId="6A507FE0" w14:textId="4297A405" w:rsidR="00B12789" w:rsidRPr="00207B20" w:rsidRDefault="0044722F" w:rsidP="00FD727B">
      <w:pPr>
        <w:spacing w:after="0" w:line="480" w:lineRule="auto"/>
        <w:contextualSpacing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Where </w:t>
      </w:r>
      <w:proofErr w:type="spellStart"/>
      <w:r w:rsidR="00A22687">
        <w:rPr>
          <w:rFonts w:ascii="Arial" w:eastAsiaTheme="minorHAnsi" w:hAnsi="Arial" w:cs="Arial"/>
        </w:rPr>
        <w:t>f</w:t>
      </w:r>
      <w:r w:rsidR="00A22687" w:rsidRPr="00207B20">
        <w:rPr>
          <w:rFonts w:ascii="Arial" w:eastAsiaTheme="minorHAnsi" w:hAnsi="Arial" w:cs="Arial"/>
          <w:vertAlign w:val="subscript"/>
        </w:rPr>
        <w:t>u</w:t>
      </w:r>
      <w:proofErr w:type="spellEnd"/>
      <w:r w:rsidR="00A22687">
        <w:rPr>
          <w:rFonts w:ascii="Arial" w:eastAsiaTheme="minorHAnsi" w:hAnsi="Arial" w:cs="Arial"/>
        </w:rPr>
        <w:t xml:space="preserve"> is the typical unbound fraction in plasma of cefuroxime (</w:t>
      </w:r>
      <w:proofErr w:type="spellStart"/>
      <w:r w:rsidR="00A22687">
        <w:rPr>
          <w:rFonts w:ascii="Arial" w:eastAsiaTheme="minorHAnsi" w:hAnsi="Arial" w:cs="Arial"/>
        </w:rPr>
        <w:t>f</w:t>
      </w:r>
      <w:r w:rsidR="00A22687" w:rsidRPr="00207B20">
        <w:rPr>
          <w:rFonts w:ascii="Arial" w:eastAsiaTheme="minorHAnsi" w:hAnsi="Arial" w:cs="Arial"/>
          <w:vertAlign w:val="subscript"/>
        </w:rPr>
        <w:t>u</w:t>
      </w:r>
      <w:proofErr w:type="spellEnd"/>
      <w:r w:rsidR="004132E2" w:rsidRPr="0071743B">
        <w:rPr>
          <w:rFonts w:ascii="Arial" w:eastAsiaTheme="minorHAnsi" w:hAnsi="Arial" w:cs="Arial"/>
        </w:rPr>
        <w:t xml:space="preserve"> </w:t>
      </w:r>
      <w:r w:rsidR="00A22687">
        <w:rPr>
          <w:rFonts w:ascii="Arial" w:eastAsiaTheme="minorHAnsi" w:hAnsi="Arial" w:cs="Arial"/>
        </w:rPr>
        <w:t>=</w:t>
      </w:r>
      <w:r w:rsidR="004132E2">
        <w:rPr>
          <w:rFonts w:ascii="Arial" w:eastAsiaTheme="minorHAnsi" w:hAnsi="Arial" w:cs="Arial"/>
        </w:rPr>
        <w:t xml:space="preserve"> </w:t>
      </w:r>
      <w:r w:rsidR="00A22687">
        <w:rPr>
          <w:rFonts w:ascii="Arial" w:eastAsiaTheme="minorHAnsi" w:hAnsi="Arial" w:cs="Arial"/>
        </w:rPr>
        <w:t>0.4</w:t>
      </w:r>
      <w:r w:rsidR="004132E2">
        <w:rPr>
          <w:rFonts w:ascii="Arial" w:eastAsiaTheme="minorHAnsi" w:hAnsi="Arial" w:cs="Arial"/>
        </w:rPr>
        <w:t xml:space="preserve"> [28]</w:t>
      </w:r>
      <w:r w:rsidR="00A22687">
        <w:rPr>
          <w:rFonts w:ascii="Arial" w:eastAsiaTheme="minorHAnsi" w:hAnsi="Arial" w:cs="Arial"/>
        </w:rPr>
        <w:t xml:space="preserve">) </w:t>
      </w:r>
      <w:r>
        <w:rPr>
          <w:rFonts w:ascii="Arial" w:eastAsiaTheme="minorHAnsi" w:hAnsi="Arial" w:cs="Arial"/>
        </w:rPr>
        <w:t>and V</w:t>
      </w:r>
      <w:r w:rsidRPr="00207B20">
        <w:rPr>
          <w:rFonts w:ascii="Arial" w:eastAsiaTheme="minorHAnsi" w:hAnsi="Arial" w:cs="Arial"/>
          <w:vertAlign w:val="subscript"/>
        </w:rPr>
        <w:t>1</w:t>
      </w:r>
      <w:r>
        <w:rPr>
          <w:rFonts w:ascii="Arial" w:eastAsiaTheme="minorHAnsi" w:hAnsi="Arial" w:cs="Arial"/>
        </w:rPr>
        <w:t xml:space="preserve"> </w:t>
      </w:r>
      <w:r w:rsidR="00A22687">
        <w:rPr>
          <w:rFonts w:ascii="Arial" w:eastAsiaTheme="minorHAnsi" w:hAnsi="Arial" w:cs="Arial"/>
        </w:rPr>
        <w:t>and V</w:t>
      </w:r>
      <w:r w:rsidR="00A22687" w:rsidRPr="00207B20">
        <w:rPr>
          <w:rFonts w:ascii="Arial" w:eastAsiaTheme="minorHAnsi" w:hAnsi="Arial" w:cs="Arial"/>
          <w:vertAlign w:val="subscript"/>
        </w:rPr>
        <w:t>2</w:t>
      </w:r>
      <w:r w:rsidR="00A22687">
        <w:rPr>
          <w:rFonts w:ascii="Arial" w:eastAsiaTheme="minorHAnsi" w:hAnsi="Arial" w:cs="Arial"/>
        </w:rPr>
        <w:t xml:space="preserve"> represent</w:t>
      </w:r>
      <w:r>
        <w:rPr>
          <w:rFonts w:ascii="Arial" w:eastAsiaTheme="minorHAnsi" w:hAnsi="Arial" w:cs="Arial"/>
        </w:rPr>
        <w:t xml:space="preserve"> the apparent </w:t>
      </w:r>
      <w:r w:rsidR="00A22687">
        <w:rPr>
          <w:rFonts w:ascii="Arial" w:eastAsiaTheme="minorHAnsi" w:hAnsi="Arial" w:cs="Arial"/>
        </w:rPr>
        <w:t xml:space="preserve">volume of distribution </w:t>
      </w:r>
      <w:r>
        <w:rPr>
          <w:rFonts w:ascii="Arial" w:eastAsiaTheme="minorHAnsi" w:hAnsi="Arial" w:cs="Arial"/>
        </w:rPr>
        <w:t xml:space="preserve">of the central </w:t>
      </w:r>
      <w:r w:rsidR="004868B5">
        <w:rPr>
          <w:rFonts w:ascii="Arial" w:eastAsiaTheme="minorHAnsi" w:hAnsi="Arial" w:cs="Arial"/>
        </w:rPr>
        <w:t xml:space="preserve">and peripheral </w:t>
      </w:r>
      <w:r>
        <w:rPr>
          <w:rFonts w:ascii="Arial" w:eastAsiaTheme="minorHAnsi" w:hAnsi="Arial" w:cs="Arial"/>
        </w:rPr>
        <w:t>compartment</w:t>
      </w:r>
      <w:r w:rsidR="004868B5">
        <w:rPr>
          <w:rFonts w:ascii="Arial" w:eastAsiaTheme="minorHAnsi" w:hAnsi="Arial" w:cs="Arial"/>
        </w:rPr>
        <w:t xml:space="preserve">s </w:t>
      </w:r>
      <w:r w:rsidR="004868B5">
        <w:rPr>
          <w:rFonts w:ascii="Arial" w:eastAsiaTheme="minorHAnsi" w:hAnsi="Arial" w:cs="Arial"/>
        </w:rPr>
        <w:lastRenderedPageBreak/>
        <w:t>respectively.</w:t>
      </w:r>
      <w:r w:rsidR="003675E1">
        <w:rPr>
          <w:rFonts w:ascii="Arial" w:eastAsiaTheme="minorHAnsi" w:hAnsi="Arial" w:cs="Arial"/>
        </w:rPr>
        <w:t xml:space="preserve"> </w:t>
      </w:r>
      <w:r w:rsidR="00B12789">
        <w:rPr>
          <w:rFonts w:ascii="Arial" w:hAnsi="Arial" w:cs="Arial"/>
          <w:iCs/>
        </w:rPr>
        <w:t xml:space="preserve">Additionally, </w:t>
      </w:r>
      <w:r w:rsidR="00B12789">
        <w:rPr>
          <w:rFonts w:ascii="Arial" w:hAnsi="Arial" w:cs="Arial"/>
          <w:shd w:val="clear" w:color="auto" w:fill="FFFFFF"/>
        </w:rPr>
        <w:t>t</w:t>
      </w:r>
      <w:r w:rsidR="00B12789" w:rsidRPr="00207B20">
        <w:rPr>
          <w:rFonts w:ascii="Arial" w:hAnsi="Arial" w:cs="Arial"/>
          <w:shd w:val="clear" w:color="auto" w:fill="FFFFFF"/>
        </w:rPr>
        <w:t>he maintenance infusion rate was estimated using the following equation:</w:t>
      </w:r>
    </w:p>
    <w:p w14:paraId="2D46A931" w14:textId="77777777" w:rsidR="00B12789" w:rsidRPr="00EB348A" w:rsidRDefault="00B12789" w:rsidP="00EB348A">
      <w:pPr>
        <w:spacing w:after="0" w:line="480" w:lineRule="auto"/>
        <w:contextualSpacing/>
        <w:jc w:val="both"/>
        <w:rPr>
          <w:rFonts w:ascii="Arial" w:eastAsiaTheme="minorHAnsi" w:hAnsi="Arial" w:cs="Arial"/>
        </w:rPr>
      </w:pPr>
      <m:oMathPara>
        <m:oMathParaPr>
          <m:jc m:val="center"/>
        </m:oMathParaPr>
        <m:oMath>
          <m:r>
            <w:rPr>
              <w:rFonts w:ascii="Cambria Math" w:eastAsiaTheme="minorHAnsi" w:hAnsi="Cambria Math" w:cs="Arial"/>
            </w:rPr>
            <m:t xml:space="preserve">Maintenance infusion rate </m:t>
          </m:r>
          <m:d>
            <m:dPr>
              <m:ctrlPr>
                <w:rPr>
                  <w:rFonts w:ascii="Cambria Math" w:eastAsiaTheme="minorHAnsi" w:hAnsi="Cambria Math" w:cs="Arial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eastAsiaTheme="minorHAnsi" w:hAnsi="Cambria Math" w:cs="Arial"/>
                    </w:rPr>
                    <m:t>mg</m:t>
                  </m:r>
                </m:num>
                <m:den>
                  <m:r>
                    <w:rPr>
                      <w:rFonts w:ascii="Cambria Math" w:eastAsiaTheme="minorHAnsi" w:hAnsi="Cambria Math" w:cs="Arial"/>
                    </w:rPr>
                    <m:t>h</m:t>
                  </m:r>
                </m:den>
              </m:f>
            </m:e>
          </m:d>
          <m:r>
            <w:rPr>
              <w:rFonts w:ascii="Cambria Math" w:eastAsiaTheme="minorHAnsi" w:hAnsi="Cambria Math" w:cs="Arial"/>
            </w:rPr>
            <m:t>=</m:t>
          </m:r>
          <m:f>
            <m:fPr>
              <m:ctrlPr>
                <w:rPr>
                  <w:rFonts w:ascii="Cambria Math" w:eastAsiaTheme="minorHAnsi" w:hAnsi="Cambria Math" w:cs="Arial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HAnsi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eastAsiaTheme="minorHAnsi" w:hAnsi="Cambria Math" w:cs="Arial"/>
                    </w:rPr>
                    <m:t>fC</m:t>
                  </m:r>
                </m:e>
                <m:sub>
                  <m:r>
                    <w:rPr>
                      <w:rFonts w:ascii="Cambria Math" w:eastAsiaTheme="minorHAnsi" w:hAnsi="Cambria Math" w:cs="Arial"/>
                    </w:rPr>
                    <m:t>Target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eastAsiaTheme="minorHAnsi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HAnsi" w:hAnsi="Cambria Math" w:cs="Arial"/>
                    </w:rPr>
                    <m:t>1-</m:t>
                  </m:r>
                  <m:sSub>
                    <m:sSubPr>
                      <m:ctrlPr>
                        <w:rPr>
                          <w:rFonts w:ascii="Cambria Math" w:eastAsiaTheme="minorHAnsi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 w:cs="Arial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HAnsi" w:hAnsi="Cambria Math" w:cs="Arial"/>
                        </w:rPr>
                        <m:t>u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HAnsi" w:hAnsi="Cambria Math" w:cs="Arial"/>
            </w:rPr>
            <m:t xml:space="preserve"> ×CL</m:t>
          </m:r>
        </m:oMath>
      </m:oMathPara>
    </w:p>
    <w:p w14:paraId="66F22C9A" w14:textId="5284BF40" w:rsidR="003675E1" w:rsidRDefault="003675E1" w:rsidP="00FD727B">
      <w:pPr>
        <w:spacing w:after="0" w:line="480" w:lineRule="auto"/>
        <w:contextualSpacing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Individual estimates of V</w:t>
      </w:r>
      <w:r w:rsidRPr="00207B20">
        <w:rPr>
          <w:rFonts w:ascii="Arial" w:eastAsiaTheme="minorHAnsi" w:hAnsi="Arial" w:cs="Arial"/>
          <w:vertAlign w:val="subscript"/>
        </w:rPr>
        <w:t>1</w:t>
      </w:r>
      <w:r>
        <w:rPr>
          <w:rFonts w:ascii="Arial" w:eastAsiaTheme="minorHAnsi" w:hAnsi="Arial" w:cs="Arial"/>
        </w:rPr>
        <w:t>, V</w:t>
      </w:r>
      <w:r w:rsidRPr="00207B20">
        <w:rPr>
          <w:rFonts w:ascii="Arial" w:eastAsiaTheme="minorHAnsi" w:hAnsi="Arial" w:cs="Arial"/>
          <w:vertAlign w:val="subscript"/>
        </w:rPr>
        <w:t>2</w:t>
      </w:r>
      <w:r>
        <w:rPr>
          <w:rFonts w:ascii="Arial" w:eastAsiaTheme="minorHAnsi" w:hAnsi="Arial" w:cs="Arial"/>
        </w:rPr>
        <w:t xml:space="preserve">, and CL, total plasma clearance, were generated using the values shown in table 5 </w:t>
      </w:r>
      <w:r w:rsidR="00B12789">
        <w:rPr>
          <w:rFonts w:ascii="Arial" w:eastAsiaTheme="minorHAnsi" w:hAnsi="Arial" w:cs="Arial"/>
        </w:rPr>
        <w:t xml:space="preserve">applying a conservative approach in order to guarantee that the majority of the patient population (&gt;80%) achieved cefuroxime concentrations higher than the target concentration based on the parameter distributions </w:t>
      </w:r>
      <w:r w:rsidR="00695841">
        <w:rPr>
          <w:rFonts w:ascii="Arial" w:eastAsiaTheme="minorHAnsi" w:hAnsi="Arial" w:cs="Arial"/>
        </w:rPr>
        <w:t>using the following equation.</w:t>
      </w:r>
      <w:r w:rsidR="00B12789">
        <w:rPr>
          <w:rFonts w:ascii="Arial" w:eastAsiaTheme="minorHAnsi" w:hAnsi="Arial" w:cs="Arial"/>
        </w:rPr>
        <w:t xml:space="preserve"> </w:t>
      </w:r>
    </w:p>
    <w:p w14:paraId="73A5F0E6" w14:textId="0B3F639A" w:rsidR="003675E1" w:rsidRDefault="00B0300A" w:rsidP="00FD727B">
      <w:pPr>
        <w:spacing w:after="0" w:line="480" w:lineRule="auto"/>
        <w:contextualSpacing/>
        <w:jc w:val="center"/>
        <w:rPr>
          <w:rFonts w:ascii="Arial" w:eastAsiaTheme="minorHAnsi" w:hAnsi="Arial" w:cs="Arial"/>
        </w:rPr>
      </w:pPr>
      <m:oMathPara>
        <m:oMath>
          <m:sSub>
            <m:sSubPr>
              <m:ctrlPr>
                <w:rPr>
                  <w:rFonts w:ascii="Cambria Math" w:eastAsiaTheme="minorHAnsi" w:hAnsi="Cambria Math" w:cs="Arial"/>
                  <w:i/>
                </w:rPr>
              </m:ctrlPr>
            </m:sSubPr>
            <m:e>
              <m:r>
                <w:rPr>
                  <w:rFonts w:ascii="Cambria Math" w:eastAsiaTheme="minorHAnsi" w:hAnsi="Cambria Math" w:cs="Arial"/>
                </w:rPr>
                <m:t>P</m:t>
              </m:r>
            </m:e>
            <m:sub>
              <m:r>
                <w:rPr>
                  <w:rFonts w:ascii="Cambria Math" w:eastAsiaTheme="minorHAnsi" w:hAnsi="Cambria Math" w:cs="Arial"/>
                </w:rPr>
                <m:t>i</m:t>
              </m:r>
            </m:sub>
          </m:sSub>
          <m:r>
            <w:rPr>
              <w:rFonts w:ascii="Cambria Math" w:eastAsiaTheme="minorHAnsi" w:hAnsi="Cambria Math" w:cs="Arial"/>
            </w:rPr>
            <m:t>=</m:t>
          </m:r>
          <m:sSub>
            <m:sSubPr>
              <m:ctrlPr>
                <w:rPr>
                  <w:rFonts w:ascii="Cambria Math" w:eastAsiaTheme="minorHAnsi" w:hAnsi="Cambria Math" w:cs="Arial"/>
                  <w:i/>
                </w:rPr>
              </m:ctrlPr>
            </m:sSubPr>
            <m:e>
              <m:r>
                <w:rPr>
                  <w:rFonts w:ascii="Cambria Math" w:eastAsiaTheme="minorHAnsi" w:hAnsi="Cambria Math" w:cs="Arial"/>
                </w:rPr>
                <m:t>P</m:t>
              </m:r>
            </m:e>
            <m:sub>
              <m:r>
                <w:rPr>
                  <w:rFonts w:ascii="Cambria Math" w:eastAsiaTheme="minorHAnsi" w:hAnsi="Cambria Math" w:cs="Arial"/>
                </w:rPr>
                <m:t xml:space="preserve">pop </m:t>
              </m:r>
            </m:sub>
          </m:sSub>
          <m:r>
            <w:rPr>
              <w:rFonts w:ascii="Cambria Math" w:eastAsiaTheme="minorHAnsi" w:hAnsi="Cambria Math" w:cs="Arial"/>
            </w:rPr>
            <m:t>×</m:t>
          </m:r>
          <m:d>
            <m:dPr>
              <m:ctrlPr>
                <w:rPr>
                  <w:rFonts w:ascii="Cambria Math" w:eastAsiaTheme="minorHAnsi" w:hAnsi="Cambria Math" w:cs="Arial"/>
                  <w:i/>
                </w:rPr>
              </m:ctrlPr>
            </m:dPr>
            <m:e>
              <m:r>
                <w:rPr>
                  <w:rFonts w:ascii="Cambria Math" w:eastAsiaTheme="minorHAnsi" w:hAnsi="Cambria Math" w:cs="Arial"/>
                </w:rPr>
                <m:t>1+</m:t>
              </m:r>
              <m:rad>
                <m:radPr>
                  <m:degHide m:val="1"/>
                  <m:ctrlPr>
                    <w:rPr>
                      <w:rFonts w:ascii="Cambria Math" w:eastAsiaTheme="minorHAnsi" w:hAnsi="Cambria Math" w:cs="Arial"/>
                      <w:i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eastAsiaTheme="minorHAnsi" w:hAnsi="Cambria Math" w:cs="Arial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HAnsi" w:hAnsi="Cambria Math" w:cs="Arial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HAnsi" w:hAnsi="Cambria Math" w:cs="Arial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eastAsiaTheme="minorHAnsi" w:hAnsi="Cambria Math" w:cs="Arial"/>
                        </w:rPr>
                        <m:t>2</m:t>
                      </m:r>
                    </m:sup>
                  </m:sSubSup>
                </m:e>
              </m:rad>
            </m:e>
          </m:d>
        </m:oMath>
      </m:oMathPara>
    </w:p>
    <w:p w14:paraId="4017A968" w14:textId="75D751ED" w:rsidR="0044722F" w:rsidRPr="00B60420" w:rsidRDefault="00177297" w:rsidP="00FD727B">
      <w:pPr>
        <w:spacing w:after="0" w:line="480" w:lineRule="auto"/>
        <w:contextualSpacing/>
        <w:jc w:val="both"/>
        <w:rPr>
          <w:rFonts w:ascii="Arial" w:hAnsi="Arial" w:cs="Arial"/>
          <w:shd w:val="clear" w:color="auto" w:fill="FFFFFF"/>
          <w:vertAlign w:val="superscript"/>
        </w:rPr>
      </w:pPr>
      <w:r>
        <w:rPr>
          <w:rFonts w:ascii="Arial" w:eastAsiaTheme="minorHAnsi" w:hAnsi="Arial" w:cs="Arial"/>
        </w:rPr>
        <w:t>Where P</w:t>
      </w:r>
      <w:r w:rsidRPr="00207B20">
        <w:rPr>
          <w:rFonts w:ascii="Arial" w:eastAsiaTheme="minorHAnsi" w:hAnsi="Arial" w:cs="Arial"/>
          <w:vertAlign w:val="subscript"/>
        </w:rPr>
        <w:t xml:space="preserve">i </w:t>
      </w:r>
      <w:r>
        <w:rPr>
          <w:rFonts w:ascii="Arial" w:eastAsiaTheme="minorHAnsi" w:hAnsi="Arial" w:cs="Arial"/>
        </w:rPr>
        <w:t>is the individual pharmacokinetic parameter value</w:t>
      </w:r>
      <w:r w:rsidR="00695841">
        <w:rPr>
          <w:rFonts w:ascii="Arial" w:eastAsiaTheme="minorHAnsi" w:hAnsi="Arial" w:cs="Arial"/>
        </w:rPr>
        <w:t xml:space="preserve"> used in the above</w:t>
      </w:r>
      <w:r w:rsidR="00AB1147">
        <w:rPr>
          <w:rFonts w:ascii="Arial" w:eastAsiaTheme="minorHAnsi" w:hAnsi="Arial" w:cs="Arial"/>
        </w:rPr>
        <w:t xml:space="preserve"> </w:t>
      </w:r>
      <w:r w:rsidR="00695841">
        <w:rPr>
          <w:rFonts w:ascii="Arial" w:eastAsiaTheme="minorHAnsi" w:hAnsi="Arial" w:cs="Arial"/>
        </w:rPr>
        <w:t xml:space="preserve">mentioned </w:t>
      </w:r>
      <w:r w:rsidR="00B81A95">
        <w:rPr>
          <w:rFonts w:ascii="Arial" w:eastAsiaTheme="minorHAnsi" w:hAnsi="Arial" w:cs="Arial"/>
        </w:rPr>
        <w:t>dose estimations</w:t>
      </w:r>
      <w:r>
        <w:rPr>
          <w:rFonts w:ascii="Arial" w:eastAsiaTheme="minorHAnsi" w:hAnsi="Arial" w:cs="Arial"/>
        </w:rPr>
        <w:t xml:space="preserve">, </w:t>
      </w:r>
      <w:proofErr w:type="spellStart"/>
      <w:r>
        <w:rPr>
          <w:rFonts w:ascii="Arial" w:eastAsiaTheme="minorHAnsi" w:hAnsi="Arial" w:cs="Arial"/>
        </w:rPr>
        <w:t>P</w:t>
      </w:r>
      <w:r w:rsidRPr="00207B20">
        <w:rPr>
          <w:rFonts w:ascii="Arial" w:eastAsiaTheme="minorHAnsi" w:hAnsi="Arial" w:cs="Arial"/>
          <w:vertAlign w:val="subscript"/>
        </w:rPr>
        <w:t>pop</w:t>
      </w:r>
      <w:proofErr w:type="spellEnd"/>
      <w:r>
        <w:rPr>
          <w:rFonts w:ascii="Arial" w:eastAsiaTheme="minorHAnsi" w:hAnsi="Arial" w:cs="Arial"/>
        </w:rPr>
        <w:t xml:space="preserve">, is the typical (same for all generated patients) population estimate, and </w:t>
      </w:r>
      <m:oMath>
        <m:sSubSup>
          <m:sSubSupPr>
            <m:ctrlPr>
              <w:rPr>
                <w:rFonts w:ascii="Cambria Math" w:eastAsiaTheme="minorHAnsi" w:hAnsi="Cambria Math" w:cs="Arial"/>
                <w:i/>
              </w:rPr>
            </m:ctrlPr>
          </m:sSubSupPr>
          <m:e>
            <m:r>
              <w:rPr>
                <w:rFonts w:ascii="Cambria Math" w:eastAsiaTheme="minorHAnsi" w:hAnsi="Cambria Math" w:cs="Arial"/>
              </w:rPr>
              <m:t>ω</m:t>
            </m:r>
          </m:e>
          <m:sub>
            <m:r>
              <w:rPr>
                <w:rFonts w:ascii="Cambria Math" w:eastAsiaTheme="minorHAnsi" w:hAnsi="Cambria Math" w:cs="Arial"/>
              </w:rPr>
              <m:t>P</m:t>
            </m:r>
          </m:sub>
          <m:sup>
            <m:r>
              <w:rPr>
                <w:rFonts w:ascii="Cambria Math" w:eastAsiaTheme="minorHAnsi" w:hAnsi="Cambria Math" w:cs="Arial"/>
              </w:rPr>
              <m:t>2</m:t>
            </m:r>
          </m:sup>
        </m:sSubSup>
      </m:oMath>
      <w:r>
        <w:rPr>
          <w:rFonts w:ascii="Arial" w:eastAsiaTheme="minorHAnsi" w:hAnsi="Arial" w:cs="Arial"/>
        </w:rPr>
        <w:t xml:space="preserve">, is the </w:t>
      </w:r>
      <w:r w:rsidR="00B12789">
        <w:rPr>
          <w:rFonts w:ascii="Arial" w:eastAsiaTheme="minorHAnsi" w:hAnsi="Arial" w:cs="Arial"/>
        </w:rPr>
        <w:t>estimated variance for the</w:t>
      </w:r>
      <w:r w:rsidR="0025318F">
        <w:rPr>
          <w:rFonts w:ascii="Arial" w:eastAsiaTheme="minorHAnsi" w:hAnsi="Arial" w:cs="Arial"/>
        </w:rPr>
        <w:t xml:space="preserve"> corresponding</w:t>
      </w:r>
      <w:r w:rsidR="00B12789">
        <w:rPr>
          <w:rFonts w:ascii="Arial" w:eastAsiaTheme="minorHAnsi" w:hAnsi="Arial" w:cs="Arial"/>
        </w:rPr>
        <w:t xml:space="preserve"> parameter </w:t>
      </w:r>
      <w:r w:rsidR="0025318F">
        <w:rPr>
          <w:rFonts w:ascii="Arial" w:eastAsiaTheme="minorHAnsi" w:hAnsi="Arial" w:cs="Arial"/>
        </w:rPr>
        <w:t>(</w:t>
      </w:r>
      <w:r w:rsidR="00B12789" w:rsidRPr="0025318F">
        <w:rPr>
          <w:rFonts w:ascii="Arial" w:eastAsiaTheme="minorHAnsi" w:hAnsi="Arial" w:cs="Arial"/>
          <w:i/>
        </w:rPr>
        <w:t>P</w:t>
      </w:r>
      <w:r w:rsidR="0025318F" w:rsidRPr="00B56043">
        <w:rPr>
          <w:rFonts w:ascii="Arial" w:eastAsiaTheme="minorHAnsi" w:hAnsi="Arial" w:cs="Arial"/>
        </w:rPr>
        <w:t>)</w:t>
      </w:r>
      <w:r w:rsidR="00B12789">
        <w:rPr>
          <w:rFonts w:ascii="Arial" w:eastAsiaTheme="minorHAnsi" w:hAnsi="Arial" w:cs="Arial"/>
        </w:rPr>
        <w:t xml:space="preserve"> </w:t>
      </w:r>
      <w:r w:rsidR="00695841">
        <w:rPr>
          <w:rFonts w:ascii="Arial" w:eastAsiaTheme="minorHAnsi" w:hAnsi="Arial" w:cs="Arial"/>
        </w:rPr>
        <w:t>that</w:t>
      </w:r>
      <w:r w:rsidR="00B12789">
        <w:rPr>
          <w:rFonts w:ascii="Arial" w:eastAsiaTheme="minorHAnsi" w:hAnsi="Arial" w:cs="Arial"/>
        </w:rPr>
        <w:t xml:space="preserve"> reflects the </w:t>
      </w:r>
      <w:r>
        <w:rPr>
          <w:rFonts w:ascii="Arial" w:eastAsiaTheme="minorHAnsi" w:hAnsi="Arial" w:cs="Arial"/>
        </w:rPr>
        <w:t>discrepancy between P</w:t>
      </w:r>
      <w:r w:rsidRPr="00207B20">
        <w:rPr>
          <w:rFonts w:ascii="Arial" w:eastAsiaTheme="minorHAnsi" w:hAnsi="Arial" w:cs="Arial"/>
          <w:vertAlign w:val="subscript"/>
        </w:rPr>
        <w:t xml:space="preserve">i </w:t>
      </w:r>
      <w:r>
        <w:rPr>
          <w:rFonts w:ascii="Arial" w:eastAsiaTheme="minorHAnsi" w:hAnsi="Arial" w:cs="Arial"/>
        </w:rPr>
        <w:t xml:space="preserve">and </w:t>
      </w:r>
      <w:proofErr w:type="spellStart"/>
      <w:r>
        <w:rPr>
          <w:rFonts w:ascii="Arial" w:eastAsiaTheme="minorHAnsi" w:hAnsi="Arial" w:cs="Arial"/>
        </w:rPr>
        <w:t>P</w:t>
      </w:r>
      <w:r w:rsidRPr="00207B20">
        <w:rPr>
          <w:rFonts w:ascii="Arial" w:eastAsiaTheme="minorHAnsi" w:hAnsi="Arial" w:cs="Arial"/>
          <w:vertAlign w:val="subscript"/>
        </w:rPr>
        <w:t>pop</w:t>
      </w:r>
      <w:proofErr w:type="spellEnd"/>
      <w:r>
        <w:rPr>
          <w:rFonts w:ascii="Arial" w:eastAsiaTheme="minorHAnsi" w:hAnsi="Arial" w:cs="Arial"/>
        </w:rPr>
        <w:t xml:space="preserve">. </w:t>
      </w:r>
      <w:r w:rsidR="00F57985">
        <w:rPr>
          <w:rFonts w:ascii="Arial" w:eastAsiaTheme="minorHAnsi" w:hAnsi="Arial" w:cs="Arial"/>
        </w:rPr>
        <w:t xml:space="preserve">Table 5 lists the typical population values of the pharmacokinetic parameters and their corresponding variances and co-variances. Please note </w:t>
      </w:r>
      <w:r w:rsidR="00E46997">
        <w:rPr>
          <w:rFonts w:ascii="Arial" w:eastAsiaTheme="minorHAnsi" w:hAnsi="Arial" w:cs="Arial"/>
        </w:rPr>
        <w:t>that for the case of CL, there are two typical population values depending on the creatinine clearance.</w:t>
      </w:r>
      <w:r w:rsidR="00600D57">
        <w:rPr>
          <w:rFonts w:ascii="Arial" w:eastAsiaTheme="minorHAnsi" w:hAnsi="Arial" w:cs="Arial"/>
        </w:rPr>
        <w:t xml:space="preserve"> </w:t>
      </w:r>
    </w:p>
    <w:p w14:paraId="04A2FA70" w14:textId="2B8003C7" w:rsidR="000D7C60" w:rsidRDefault="000D7C60" w:rsidP="00FD727B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 the reference pharmacokinetic model did not reveal</w:t>
      </w:r>
      <w:r w:rsidRPr="001B7EEA">
        <w:rPr>
          <w:rFonts w:ascii="Arial" w:hAnsi="Arial" w:cs="Arial"/>
        </w:rPr>
        <w:t xml:space="preserve"> body weight </w:t>
      </w:r>
      <w:r>
        <w:rPr>
          <w:rFonts w:ascii="Arial" w:hAnsi="Arial" w:cs="Arial"/>
        </w:rPr>
        <w:t xml:space="preserve">(between 40-110kg) as </w:t>
      </w:r>
      <w:r w:rsidRPr="001B7EEA">
        <w:rPr>
          <w:rFonts w:ascii="Arial" w:hAnsi="Arial" w:cs="Arial"/>
        </w:rPr>
        <w:t>a covariate of cefuroxime</w:t>
      </w:r>
      <w:r>
        <w:rPr>
          <w:rFonts w:ascii="Arial" w:hAnsi="Arial" w:cs="Arial"/>
        </w:rPr>
        <w:t xml:space="preserve"> pharmacokinetics, t</w:t>
      </w:r>
      <w:r w:rsidRPr="00F644CD">
        <w:rPr>
          <w:rFonts w:ascii="Arial" w:hAnsi="Arial" w:cs="Arial"/>
        </w:rPr>
        <w:t xml:space="preserve">he intervention </w:t>
      </w:r>
      <w:r>
        <w:rPr>
          <w:rFonts w:ascii="Arial" w:hAnsi="Arial" w:cs="Arial"/>
        </w:rPr>
        <w:t>is</w:t>
      </w:r>
      <w:r w:rsidRPr="00F644CD">
        <w:rPr>
          <w:rFonts w:ascii="Arial" w:hAnsi="Arial" w:cs="Arial"/>
        </w:rPr>
        <w:t xml:space="preserve"> therefore dosed </w:t>
      </w:r>
      <w:r>
        <w:rPr>
          <w:rFonts w:ascii="Arial" w:hAnsi="Arial" w:cs="Arial"/>
        </w:rPr>
        <w:t>by</w:t>
      </w:r>
      <w:r w:rsidRPr="00F644CD">
        <w:rPr>
          <w:rFonts w:ascii="Arial" w:hAnsi="Arial" w:cs="Arial"/>
        </w:rPr>
        <w:t xml:space="preserve"> renal function (</w:t>
      </w:r>
      <w:r w:rsidR="00695841">
        <w:rPr>
          <w:rFonts w:ascii="Arial" w:hAnsi="Arial" w:cs="Arial"/>
        </w:rPr>
        <w:t xml:space="preserve">using the creatinine clearance as a discrete variable  the middle value for each range of renal function, </w:t>
      </w:r>
      <w:r w:rsidRPr="00F644CD">
        <w:rPr>
          <w:rFonts w:ascii="Arial" w:hAnsi="Arial" w:cs="Arial"/>
        </w:rPr>
        <w:t xml:space="preserve">Table </w:t>
      </w:r>
      <w:r>
        <w:rPr>
          <w:rFonts w:ascii="Arial" w:hAnsi="Arial" w:cs="Arial"/>
        </w:rPr>
        <w:t>4</w:t>
      </w:r>
      <w:r w:rsidRPr="00F644CD">
        <w:rPr>
          <w:rFonts w:ascii="Arial" w:hAnsi="Arial" w:cs="Arial"/>
        </w:rPr>
        <w:t xml:space="preserve">), for a </w:t>
      </w:r>
      <w:r w:rsidRPr="00B56F9D">
        <w:rPr>
          <w:rFonts w:ascii="Arial" w:hAnsi="Arial" w:cs="Arial"/>
        </w:rPr>
        <w:t xml:space="preserve">maximum duration of 6 hours. In cases where </w:t>
      </w:r>
      <w:r>
        <w:rPr>
          <w:rFonts w:ascii="Arial" w:hAnsi="Arial" w:cs="Arial"/>
        </w:rPr>
        <w:t>the duration of surgery is</w:t>
      </w:r>
      <w:r w:rsidRPr="00B56F9D">
        <w:rPr>
          <w:rFonts w:ascii="Arial" w:hAnsi="Arial" w:cs="Arial"/>
        </w:rPr>
        <w:t xml:space="preserve"> longer than 6 hours, the infusion is stopped and the dosing regimen is reverted to</w:t>
      </w:r>
      <w:r>
        <w:rPr>
          <w:rFonts w:ascii="Arial" w:hAnsi="Arial" w:cs="Arial"/>
        </w:rPr>
        <w:t xml:space="preserve"> a</w:t>
      </w:r>
      <w:r w:rsidRPr="00B56F9D">
        <w:rPr>
          <w:rFonts w:ascii="Arial" w:hAnsi="Arial" w:cs="Arial"/>
        </w:rPr>
        <w:t xml:space="preserve"> 4-hourly bolus dose from hour 10. The loading dose </w:t>
      </w:r>
      <w:r>
        <w:rPr>
          <w:rFonts w:ascii="Arial" w:hAnsi="Arial" w:cs="Arial"/>
        </w:rPr>
        <w:t>i</w:t>
      </w:r>
      <w:r w:rsidRPr="00B56F9D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administered</w:t>
      </w:r>
      <w:r w:rsidRPr="00B56F9D">
        <w:rPr>
          <w:rFonts w:ascii="Arial" w:hAnsi="Arial" w:cs="Arial"/>
        </w:rPr>
        <w:t xml:space="preserve"> within the hour before surgery, with initiation of the continuous infusion before surgery.</w:t>
      </w:r>
      <w:r>
        <w:rPr>
          <w:rFonts w:ascii="Arial" w:hAnsi="Arial" w:cs="Arial"/>
        </w:rPr>
        <w:t xml:space="preserve"> The dosing regimen is s</w:t>
      </w:r>
      <w:r w:rsidR="008B7B8B">
        <w:rPr>
          <w:rFonts w:ascii="Arial" w:hAnsi="Arial" w:cs="Arial"/>
        </w:rPr>
        <w:t>h</w:t>
      </w:r>
      <w:r>
        <w:rPr>
          <w:rFonts w:ascii="Arial" w:hAnsi="Arial" w:cs="Arial"/>
        </w:rPr>
        <w:t>own in Table 4.</w:t>
      </w:r>
    </w:p>
    <w:p w14:paraId="76AB02CC" w14:textId="141EB716" w:rsidR="00452F52" w:rsidRDefault="000D7C60" w:rsidP="00895CD7">
      <w:pPr>
        <w:spacing w:after="0" w:line="480" w:lineRule="auto"/>
        <w:jc w:val="both"/>
        <w:rPr>
          <w:rFonts w:ascii="Arial" w:eastAsia="Calibri" w:hAnsi="Arial" w:cs="Arial"/>
          <w:color w:val="000000"/>
          <w:u w:color="000000"/>
          <w:bdr w:val="nil"/>
          <w:lang w:eastAsia="en-US"/>
        </w:rPr>
      </w:pPr>
      <w:r>
        <w:rPr>
          <w:rFonts w:ascii="Arial" w:hAnsi="Arial" w:cs="Arial"/>
        </w:rPr>
        <w:t xml:space="preserve">The </w:t>
      </w:r>
      <w:r w:rsidR="00A62C3E">
        <w:rPr>
          <w:rFonts w:ascii="Arial" w:hAnsi="Arial" w:cs="Arial"/>
        </w:rPr>
        <w:t>therapeutic success of the calculated</w:t>
      </w:r>
      <w:r>
        <w:rPr>
          <w:rFonts w:ascii="Arial" w:hAnsi="Arial" w:cs="Arial"/>
        </w:rPr>
        <w:t xml:space="preserve"> doses </w:t>
      </w:r>
      <w:r w:rsidR="00695841">
        <w:rPr>
          <w:rFonts w:ascii="Arial" w:hAnsi="Arial" w:cs="Arial"/>
        </w:rPr>
        <w:t xml:space="preserve">(expressed as probabilities of achieving the target concentration &gt; 80%) </w:t>
      </w:r>
      <w:r>
        <w:rPr>
          <w:rFonts w:ascii="Arial" w:hAnsi="Arial" w:cs="Arial"/>
        </w:rPr>
        <w:t xml:space="preserve">were confirmed by visual inspection of simulated free </w:t>
      </w:r>
      <w:r>
        <w:rPr>
          <w:rFonts w:ascii="Arial" w:hAnsi="Arial" w:cs="Arial"/>
        </w:rPr>
        <w:lastRenderedPageBreak/>
        <w:t>cefuroxime concentration profiles of one thousand virtual patients depending on the renal function using ‘</w:t>
      </w:r>
      <w:proofErr w:type="spellStart"/>
      <w:r>
        <w:rPr>
          <w:rFonts w:ascii="Arial" w:hAnsi="Arial" w:cs="Arial"/>
        </w:rPr>
        <w:t>mlxR</w:t>
      </w:r>
      <w:proofErr w:type="spellEnd"/>
      <w:r>
        <w:rPr>
          <w:rFonts w:ascii="Arial" w:hAnsi="Arial" w:cs="Arial"/>
        </w:rPr>
        <w:t xml:space="preserve">’ package on R </w:t>
      </w:r>
      <w:r w:rsidRPr="00F64C5C">
        <w:rPr>
          <w:rFonts w:ascii="Arial" w:hAnsi="Arial" w:cs="Arial"/>
        </w:rPr>
        <w:t>version 3.2.0</w:t>
      </w:r>
      <w:r>
        <w:rPr>
          <w:rFonts w:ascii="Arial" w:hAnsi="Arial" w:cs="Arial"/>
        </w:rPr>
        <w:t xml:space="preserve"> [</w:t>
      </w:r>
      <w:r w:rsidR="002C287A">
        <w:rPr>
          <w:rFonts w:ascii="Arial" w:hAnsi="Arial" w:cs="Arial"/>
        </w:rPr>
        <w:t>2</w:t>
      </w:r>
      <w:r w:rsidR="008B7B8B">
        <w:rPr>
          <w:rFonts w:ascii="Arial" w:hAnsi="Arial" w:cs="Arial"/>
        </w:rPr>
        <w:t>9</w:t>
      </w:r>
      <w:r>
        <w:rPr>
          <w:rFonts w:ascii="Arial" w:hAnsi="Arial" w:cs="Arial"/>
        </w:rPr>
        <w:t>].</w:t>
      </w:r>
      <w:r w:rsidR="00452F52">
        <w:rPr>
          <w:rFonts w:ascii="Arial" w:hAnsi="Arial" w:cs="Arial"/>
        </w:rPr>
        <w:br w:type="page"/>
      </w:r>
    </w:p>
    <w:p w14:paraId="659440F0" w14:textId="0D5B9D19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 xml:space="preserve">Table 4: </w:t>
      </w:r>
      <w:r w:rsidRPr="000823AC">
        <w:rPr>
          <w:rFonts w:ascii="Arial" w:hAnsi="Arial" w:cs="Arial"/>
          <w:lang w:val="en-GB"/>
        </w:rPr>
        <w:t>Cefuroxime dosing regimens for the intervent</w:t>
      </w:r>
      <w:r>
        <w:rPr>
          <w:rFonts w:ascii="Arial" w:hAnsi="Arial" w:cs="Arial"/>
          <w:lang w:val="en-GB"/>
        </w:rPr>
        <w:t>ion treatment</w:t>
      </w:r>
    </w:p>
    <w:p w14:paraId="62A8907B" w14:textId="77777777" w:rsidR="00BD66F1" w:rsidRDefault="00BD66F1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tbl>
      <w:tblPr>
        <w:tblStyle w:val="TableGrid"/>
        <w:tblpPr w:leftFromText="180" w:rightFromText="180" w:vertAnchor="text" w:horzAnchor="margin" w:tblpY="-50"/>
        <w:tblW w:w="0" w:type="auto"/>
        <w:tblLook w:val="04A0" w:firstRow="1" w:lastRow="0" w:firstColumn="1" w:lastColumn="0" w:noHBand="0" w:noVBand="1"/>
      </w:tblPr>
      <w:tblGrid>
        <w:gridCol w:w="988"/>
        <w:gridCol w:w="1412"/>
        <w:gridCol w:w="830"/>
        <w:gridCol w:w="830"/>
        <w:gridCol w:w="830"/>
        <w:gridCol w:w="830"/>
        <w:gridCol w:w="830"/>
        <w:gridCol w:w="830"/>
      </w:tblGrid>
      <w:tr w:rsidR="000D7C60" w:rsidRPr="000823AC" w14:paraId="1839BF06" w14:textId="77777777" w:rsidTr="0071743B">
        <w:trPr>
          <w:trHeight w:val="371"/>
        </w:trPr>
        <w:tc>
          <w:tcPr>
            <w:tcW w:w="988" w:type="dxa"/>
            <w:vMerge w:val="restart"/>
            <w:noWrap/>
          </w:tcPr>
          <w:p w14:paraId="038C135A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 Weight (kg)</w:t>
            </w:r>
          </w:p>
        </w:tc>
        <w:tc>
          <w:tcPr>
            <w:tcW w:w="1412" w:type="dxa"/>
            <w:vMerge w:val="restart"/>
          </w:tcPr>
          <w:p w14:paraId="2FCF2735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Loading dose (mg)</w:t>
            </w:r>
          </w:p>
        </w:tc>
        <w:tc>
          <w:tcPr>
            <w:tcW w:w="4980" w:type="dxa"/>
            <w:gridSpan w:val="6"/>
            <w:noWrap/>
          </w:tcPr>
          <w:p w14:paraId="391FE8FB" w14:textId="77777777" w:rsidR="000D7C60" w:rsidRPr="000823AC" w:rsidRDefault="000D7C60" w:rsidP="00B85B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Continuous infusion dose per hour: Based on creatinine clearance (ml/min)</w:t>
            </w:r>
          </w:p>
        </w:tc>
      </w:tr>
      <w:tr w:rsidR="000D7C60" w:rsidRPr="000823AC" w14:paraId="73229E69" w14:textId="77777777" w:rsidTr="0071743B">
        <w:trPr>
          <w:trHeight w:val="300"/>
        </w:trPr>
        <w:tc>
          <w:tcPr>
            <w:tcW w:w="988" w:type="dxa"/>
            <w:vMerge/>
            <w:noWrap/>
          </w:tcPr>
          <w:p w14:paraId="7A621AD9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14:paraId="20ACF696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0" w:type="dxa"/>
            <w:noWrap/>
          </w:tcPr>
          <w:p w14:paraId="267CA6CB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40-50</w:t>
            </w:r>
          </w:p>
        </w:tc>
        <w:tc>
          <w:tcPr>
            <w:tcW w:w="830" w:type="dxa"/>
            <w:noWrap/>
          </w:tcPr>
          <w:p w14:paraId="17178C78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50-60</w:t>
            </w:r>
          </w:p>
        </w:tc>
        <w:tc>
          <w:tcPr>
            <w:tcW w:w="830" w:type="dxa"/>
            <w:noWrap/>
          </w:tcPr>
          <w:p w14:paraId="7D749F72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60-70</w:t>
            </w:r>
          </w:p>
        </w:tc>
        <w:tc>
          <w:tcPr>
            <w:tcW w:w="830" w:type="dxa"/>
            <w:noWrap/>
          </w:tcPr>
          <w:p w14:paraId="7E15E008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70-80</w:t>
            </w:r>
          </w:p>
        </w:tc>
        <w:tc>
          <w:tcPr>
            <w:tcW w:w="830" w:type="dxa"/>
            <w:noWrap/>
          </w:tcPr>
          <w:p w14:paraId="28408A6B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80-90</w:t>
            </w:r>
          </w:p>
        </w:tc>
        <w:tc>
          <w:tcPr>
            <w:tcW w:w="830" w:type="dxa"/>
            <w:noWrap/>
          </w:tcPr>
          <w:p w14:paraId="4F0AF9EB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&gt;90</w:t>
            </w:r>
          </w:p>
        </w:tc>
      </w:tr>
      <w:tr w:rsidR="000D7C60" w:rsidRPr="000823AC" w14:paraId="0C276609" w14:textId="77777777" w:rsidTr="00B85BFF">
        <w:trPr>
          <w:trHeight w:val="300"/>
        </w:trPr>
        <w:tc>
          <w:tcPr>
            <w:tcW w:w="7380" w:type="dxa"/>
            <w:gridSpan w:val="8"/>
            <w:noWrap/>
          </w:tcPr>
          <w:p w14:paraId="12240D85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Non compartment model</w:t>
            </w:r>
          </w:p>
        </w:tc>
      </w:tr>
      <w:tr w:rsidR="000D7C60" w:rsidRPr="000823AC" w14:paraId="3001011C" w14:textId="77777777" w:rsidTr="0071743B">
        <w:trPr>
          <w:trHeight w:val="300"/>
        </w:trPr>
        <w:tc>
          <w:tcPr>
            <w:tcW w:w="988" w:type="dxa"/>
            <w:noWrap/>
          </w:tcPr>
          <w:p w14:paraId="5E821C04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30-40</w:t>
            </w:r>
          </w:p>
        </w:tc>
        <w:tc>
          <w:tcPr>
            <w:tcW w:w="1412" w:type="dxa"/>
            <w:vAlign w:val="bottom"/>
          </w:tcPr>
          <w:p w14:paraId="4079C0DC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617</w:t>
            </w:r>
          </w:p>
        </w:tc>
        <w:tc>
          <w:tcPr>
            <w:tcW w:w="830" w:type="dxa"/>
            <w:noWrap/>
          </w:tcPr>
          <w:p w14:paraId="19E897FC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128</w:t>
            </w:r>
          </w:p>
        </w:tc>
        <w:tc>
          <w:tcPr>
            <w:tcW w:w="830" w:type="dxa"/>
            <w:noWrap/>
          </w:tcPr>
          <w:p w14:paraId="0B1B4CC8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157</w:t>
            </w:r>
          </w:p>
        </w:tc>
        <w:tc>
          <w:tcPr>
            <w:tcW w:w="830" w:type="dxa"/>
            <w:noWrap/>
          </w:tcPr>
          <w:p w14:paraId="315D4AE8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185</w:t>
            </w:r>
          </w:p>
        </w:tc>
        <w:tc>
          <w:tcPr>
            <w:tcW w:w="830" w:type="dxa"/>
            <w:noWrap/>
          </w:tcPr>
          <w:p w14:paraId="630F6D3D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214</w:t>
            </w:r>
          </w:p>
        </w:tc>
        <w:tc>
          <w:tcPr>
            <w:tcW w:w="830" w:type="dxa"/>
            <w:noWrap/>
          </w:tcPr>
          <w:p w14:paraId="61DE9786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242</w:t>
            </w:r>
          </w:p>
        </w:tc>
        <w:tc>
          <w:tcPr>
            <w:tcW w:w="830" w:type="dxa"/>
            <w:noWrap/>
          </w:tcPr>
          <w:p w14:paraId="3367CBC5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285</w:t>
            </w:r>
          </w:p>
        </w:tc>
      </w:tr>
      <w:tr w:rsidR="000D7C60" w:rsidRPr="000823AC" w14:paraId="487D7F71" w14:textId="77777777" w:rsidTr="0071743B">
        <w:trPr>
          <w:trHeight w:val="255"/>
        </w:trPr>
        <w:tc>
          <w:tcPr>
            <w:tcW w:w="988" w:type="dxa"/>
            <w:noWrap/>
          </w:tcPr>
          <w:p w14:paraId="31946005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40-50</w:t>
            </w:r>
          </w:p>
        </w:tc>
        <w:tc>
          <w:tcPr>
            <w:tcW w:w="1412" w:type="dxa"/>
            <w:vAlign w:val="bottom"/>
          </w:tcPr>
          <w:p w14:paraId="24347948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793</w:t>
            </w:r>
          </w:p>
        </w:tc>
        <w:tc>
          <w:tcPr>
            <w:tcW w:w="830" w:type="dxa"/>
            <w:noWrap/>
          </w:tcPr>
          <w:p w14:paraId="0C1D945A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165</w:t>
            </w:r>
          </w:p>
        </w:tc>
        <w:tc>
          <w:tcPr>
            <w:tcW w:w="830" w:type="dxa"/>
            <w:noWrap/>
          </w:tcPr>
          <w:p w14:paraId="65D10853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202</w:t>
            </w:r>
          </w:p>
        </w:tc>
        <w:tc>
          <w:tcPr>
            <w:tcW w:w="830" w:type="dxa"/>
            <w:noWrap/>
          </w:tcPr>
          <w:p w14:paraId="1F394ADF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238</w:t>
            </w:r>
          </w:p>
        </w:tc>
        <w:tc>
          <w:tcPr>
            <w:tcW w:w="830" w:type="dxa"/>
            <w:noWrap/>
          </w:tcPr>
          <w:p w14:paraId="73FA0402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275</w:t>
            </w:r>
          </w:p>
        </w:tc>
        <w:tc>
          <w:tcPr>
            <w:tcW w:w="830" w:type="dxa"/>
            <w:noWrap/>
          </w:tcPr>
          <w:p w14:paraId="5978A701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312</w:t>
            </w:r>
          </w:p>
        </w:tc>
        <w:tc>
          <w:tcPr>
            <w:tcW w:w="830" w:type="dxa"/>
            <w:noWrap/>
          </w:tcPr>
          <w:p w14:paraId="04ABA8F5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367</w:t>
            </w:r>
          </w:p>
        </w:tc>
      </w:tr>
      <w:tr w:rsidR="000D7C60" w:rsidRPr="000823AC" w14:paraId="756A70FA" w14:textId="77777777" w:rsidTr="0071743B">
        <w:trPr>
          <w:trHeight w:val="300"/>
        </w:trPr>
        <w:tc>
          <w:tcPr>
            <w:tcW w:w="988" w:type="dxa"/>
            <w:noWrap/>
          </w:tcPr>
          <w:p w14:paraId="118EF3FC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50-60</w:t>
            </w:r>
          </w:p>
        </w:tc>
        <w:tc>
          <w:tcPr>
            <w:tcW w:w="1412" w:type="dxa"/>
            <w:vAlign w:val="bottom"/>
          </w:tcPr>
          <w:p w14:paraId="3432CD89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970</w:t>
            </w:r>
          </w:p>
        </w:tc>
        <w:tc>
          <w:tcPr>
            <w:tcW w:w="830" w:type="dxa"/>
            <w:noWrap/>
          </w:tcPr>
          <w:p w14:paraId="1C03C315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202</w:t>
            </w:r>
          </w:p>
        </w:tc>
        <w:tc>
          <w:tcPr>
            <w:tcW w:w="830" w:type="dxa"/>
            <w:noWrap/>
          </w:tcPr>
          <w:p w14:paraId="575FCCF3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246</w:t>
            </w:r>
          </w:p>
        </w:tc>
        <w:tc>
          <w:tcPr>
            <w:tcW w:w="830" w:type="dxa"/>
            <w:noWrap/>
          </w:tcPr>
          <w:p w14:paraId="11467BB1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291</w:t>
            </w:r>
          </w:p>
        </w:tc>
        <w:tc>
          <w:tcPr>
            <w:tcW w:w="830" w:type="dxa"/>
            <w:noWrap/>
          </w:tcPr>
          <w:p w14:paraId="580400FA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336</w:t>
            </w:r>
          </w:p>
        </w:tc>
        <w:tc>
          <w:tcPr>
            <w:tcW w:w="830" w:type="dxa"/>
            <w:noWrap/>
          </w:tcPr>
          <w:p w14:paraId="2CA66232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381</w:t>
            </w:r>
          </w:p>
        </w:tc>
        <w:tc>
          <w:tcPr>
            <w:tcW w:w="830" w:type="dxa"/>
            <w:noWrap/>
          </w:tcPr>
          <w:p w14:paraId="0611D6CF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448</w:t>
            </w:r>
          </w:p>
        </w:tc>
      </w:tr>
      <w:tr w:rsidR="000D7C60" w:rsidRPr="000823AC" w14:paraId="4A9EA4DD" w14:textId="77777777" w:rsidTr="0071743B">
        <w:trPr>
          <w:trHeight w:val="255"/>
        </w:trPr>
        <w:tc>
          <w:tcPr>
            <w:tcW w:w="988" w:type="dxa"/>
            <w:noWrap/>
          </w:tcPr>
          <w:p w14:paraId="0F7D265A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60-70</w:t>
            </w:r>
          </w:p>
        </w:tc>
        <w:tc>
          <w:tcPr>
            <w:tcW w:w="1412" w:type="dxa"/>
            <w:vAlign w:val="bottom"/>
          </w:tcPr>
          <w:p w14:paraId="4F35042A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1146</w:t>
            </w:r>
          </w:p>
        </w:tc>
        <w:tc>
          <w:tcPr>
            <w:tcW w:w="830" w:type="dxa"/>
            <w:noWrap/>
          </w:tcPr>
          <w:p w14:paraId="3FEDA54F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238</w:t>
            </w:r>
          </w:p>
        </w:tc>
        <w:tc>
          <w:tcPr>
            <w:tcW w:w="830" w:type="dxa"/>
            <w:noWrap/>
          </w:tcPr>
          <w:p w14:paraId="1AEBB0AD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291</w:t>
            </w:r>
          </w:p>
        </w:tc>
        <w:tc>
          <w:tcPr>
            <w:tcW w:w="830" w:type="dxa"/>
            <w:noWrap/>
          </w:tcPr>
          <w:p w14:paraId="5EE5A2AE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344</w:t>
            </w:r>
          </w:p>
        </w:tc>
        <w:tc>
          <w:tcPr>
            <w:tcW w:w="830" w:type="dxa"/>
            <w:noWrap/>
          </w:tcPr>
          <w:p w14:paraId="2A9ED224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397</w:t>
            </w:r>
          </w:p>
        </w:tc>
        <w:tc>
          <w:tcPr>
            <w:tcW w:w="830" w:type="dxa"/>
            <w:noWrap/>
          </w:tcPr>
          <w:p w14:paraId="29F07C42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450</w:t>
            </w:r>
          </w:p>
        </w:tc>
        <w:tc>
          <w:tcPr>
            <w:tcW w:w="830" w:type="dxa"/>
            <w:noWrap/>
          </w:tcPr>
          <w:p w14:paraId="09DBA6E7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529</w:t>
            </w:r>
          </w:p>
        </w:tc>
      </w:tr>
      <w:tr w:rsidR="000D7C60" w:rsidRPr="000823AC" w14:paraId="67FA6FB2" w14:textId="77777777" w:rsidTr="0071743B">
        <w:trPr>
          <w:trHeight w:val="255"/>
        </w:trPr>
        <w:tc>
          <w:tcPr>
            <w:tcW w:w="988" w:type="dxa"/>
            <w:noWrap/>
          </w:tcPr>
          <w:p w14:paraId="43278DEC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70-80</w:t>
            </w:r>
          </w:p>
        </w:tc>
        <w:tc>
          <w:tcPr>
            <w:tcW w:w="1412" w:type="dxa"/>
            <w:vAlign w:val="bottom"/>
          </w:tcPr>
          <w:p w14:paraId="5F7C7631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1322</w:t>
            </w:r>
          </w:p>
        </w:tc>
        <w:tc>
          <w:tcPr>
            <w:tcW w:w="830" w:type="dxa"/>
            <w:noWrap/>
          </w:tcPr>
          <w:p w14:paraId="44CF1F60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275</w:t>
            </w:r>
          </w:p>
        </w:tc>
        <w:tc>
          <w:tcPr>
            <w:tcW w:w="830" w:type="dxa"/>
            <w:noWrap/>
          </w:tcPr>
          <w:p w14:paraId="58F37D17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336</w:t>
            </w:r>
          </w:p>
        </w:tc>
        <w:tc>
          <w:tcPr>
            <w:tcW w:w="830" w:type="dxa"/>
            <w:noWrap/>
          </w:tcPr>
          <w:p w14:paraId="1012C5AF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397</w:t>
            </w:r>
          </w:p>
        </w:tc>
        <w:tc>
          <w:tcPr>
            <w:tcW w:w="830" w:type="dxa"/>
            <w:noWrap/>
          </w:tcPr>
          <w:p w14:paraId="3B367463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458</w:t>
            </w:r>
          </w:p>
        </w:tc>
        <w:tc>
          <w:tcPr>
            <w:tcW w:w="830" w:type="dxa"/>
            <w:noWrap/>
          </w:tcPr>
          <w:p w14:paraId="331BBB14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519</w:t>
            </w:r>
          </w:p>
        </w:tc>
        <w:tc>
          <w:tcPr>
            <w:tcW w:w="830" w:type="dxa"/>
            <w:noWrap/>
          </w:tcPr>
          <w:p w14:paraId="49E4C22F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611</w:t>
            </w:r>
          </w:p>
        </w:tc>
      </w:tr>
      <w:tr w:rsidR="000D7C60" w:rsidRPr="000823AC" w14:paraId="599A876D" w14:textId="77777777" w:rsidTr="0071743B">
        <w:trPr>
          <w:trHeight w:val="255"/>
        </w:trPr>
        <w:tc>
          <w:tcPr>
            <w:tcW w:w="988" w:type="dxa"/>
            <w:noWrap/>
          </w:tcPr>
          <w:p w14:paraId="0D9BEBB7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80-90</w:t>
            </w:r>
          </w:p>
        </w:tc>
        <w:tc>
          <w:tcPr>
            <w:tcW w:w="1412" w:type="dxa"/>
            <w:vAlign w:val="bottom"/>
          </w:tcPr>
          <w:p w14:paraId="31AE7C1C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1499</w:t>
            </w:r>
          </w:p>
        </w:tc>
        <w:tc>
          <w:tcPr>
            <w:tcW w:w="830" w:type="dxa"/>
            <w:noWrap/>
          </w:tcPr>
          <w:p w14:paraId="0DDC1398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312</w:t>
            </w:r>
          </w:p>
        </w:tc>
        <w:tc>
          <w:tcPr>
            <w:tcW w:w="830" w:type="dxa"/>
            <w:noWrap/>
          </w:tcPr>
          <w:p w14:paraId="4EE86464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381</w:t>
            </w:r>
          </w:p>
        </w:tc>
        <w:tc>
          <w:tcPr>
            <w:tcW w:w="830" w:type="dxa"/>
            <w:noWrap/>
          </w:tcPr>
          <w:p w14:paraId="446036AE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450</w:t>
            </w:r>
          </w:p>
        </w:tc>
        <w:tc>
          <w:tcPr>
            <w:tcW w:w="830" w:type="dxa"/>
            <w:noWrap/>
          </w:tcPr>
          <w:p w14:paraId="3A1E8FB2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519</w:t>
            </w:r>
          </w:p>
        </w:tc>
        <w:tc>
          <w:tcPr>
            <w:tcW w:w="830" w:type="dxa"/>
            <w:noWrap/>
          </w:tcPr>
          <w:p w14:paraId="417B7B60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589</w:t>
            </w:r>
          </w:p>
        </w:tc>
        <w:tc>
          <w:tcPr>
            <w:tcW w:w="830" w:type="dxa"/>
            <w:noWrap/>
          </w:tcPr>
          <w:p w14:paraId="3938F84D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692</w:t>
            </w:r>
          </w:p>
        </w:tc>
      </w:tr>
      <w:tr w:rsidR="000D7C60" w:rsidRPr="000823AC" w14:paraId="247B59D6" w14:textId="77777777" w:rsidTr="0071743B">
        <w:trPr>
          <w:trHeight w:val="303"/>
        </w:trPr>
        <w:tc>
          <w:tcPr>
            <w:tcW w:w="988" w:type="dxa"/>
            <w:noWrap/>
          </w:tcPr>
          <w:p w14:paraId="184A3831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90-100</w:t>
            </w:r>
          </w:p>
        </w:tc>
        <w:tc>
          <w:tcPr>
            <w:tcW w:w="1412" w:type="dxa"/>
            <w:vAlign w:val="bottom"/>
          </w:tcPr>
          <w:p w14:paraId="725A703D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1675</w:t>
            </w:r>
          </w:p>
        </w:tc>
        <w:tc>
          <w:tcPr>
            <w:tcW w:w="830" w:type="dxa"/>
            <w:noWrap/>
          </w:tcPr>
          <w:p w14:paraId="1290B618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348</w:t>
            </w:r>
          </w:p>
        </w:tc>
        <w:tc>
          <w:tcPr>
            <w:tcW w:w="830" w:type="dxa"/>
            <w:noWrap/>
          </w:tcPr>
          <w:p w14:paraId="54A679C7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426</w:t>
            </w:r>
          </w:p>
        </w:tc>
        <w:tc>
          <w:tcPr>
            <w:tcW w:w="830" w:type="dxa"/>
            <w:noWrap/>
          </w:tcPr>
          <w:p w14:paraId="119AB6F0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503</w:t>
            </w:r>
          </w:p>
        </w:tc>
        <w:tc>
          <w:tcPr>
            <w:tcW w:w="830" w:type="dxa"/>
            <w:noWrap/>
          </w:tcPr>
          <w:p w14:paraId="7768E163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580</w:t>
            </w:r>
          </w:p>
        </w:tc>
        <w:tc>
          <w:tcPr>
            <w:tcW w:w="830" w:type="dxa"/>
            <w:noWrap/>
          </w:tcPr>
          <w:p w14:paraId="0D9B88C1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658</w:t>
            </w:r>
          </w:p>
        </w:tc>
        <w:tc>
          <w:tcPr>
            <w:tcW w:w="830" w:type="dxa"/>
            <w:noWrap/>
          </w:tcPr>
          <w:p w14:paraId="22DA1C45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774</w:t>
            </w:r>
          </w:p>
        </w:tc>
      </w:tr>
      <w:tr w:rsidR="000D7C60" w:rsidRPr="000823AC" w14:paraId="5348B277" w14:textId="77777777" w:rsidTr="0071743B">
        <w:trPr>
          <w:trHeight w:val="255"/>
        </w:trPr>
        <w:tc>
          <w:tcPr>
            <w:tcW w:w="988" w:type="dxa"/>
            <w:noWrap/>
          </w:tcPr>
          <w:p w14:paraId="2B322742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100-110</w:t>
            </w:r>
          </w:p>
        </w:tc>
        <w:tc>
          <w:tcPr>
            <w:tcW w:w="1412" w:type="dxa"/>
            <w:vAlign w:val="bottom"/>
          </w:tcPr>
          <w:p w14:paraId="3E18D183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1851</w:t>
            </w:r>
          </w:p>
        </w:tc>
        <w:tc>
          <w:tcPr>
            <w:tcW w:w="830" w:type="dxa"/>
            <w:noWrap/>
          </w:tcPr>
          <w:p w14:paraId="592A73D1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385</w:t>
            </w:r>
          </w:p>
        </w:tc>
        <w:tc>
          <w:tcPr>
            <w:tcW w:w="830" w:type="dxa"/>
            <w:noWrap/>
          </w:tcPr>
          <w:p w14:paraId="4CAA01FA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470</w:t>
            </w:r>
          </w:p>
        </w:tc>
        <w:tc>
          <w:tcPr>
            <w:tcW w:w="830" w:type="dxa"/>
            <w:noWrap/>
          </w:tcPr>
          <w:p w14:paraId="311AA0A0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556</w:t>
            </w:r>
          </w:p>
        </w:tc>
        <w:tc>
          <w:tcPr>
            <w:tcW w:w="830" w:type="dxa"/>
            <w:noWrap/>
          </w:tcPr>
          <w:p w14:paraId="6590D491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641</w:t>
            </w:r>
          </w:p>
        </w:tc>
        <w:tc>
          <w:tcPr>
            <w:tcW w:w="830" w:type="dxa"/>
            <w:noWrap/>
          </w:tcPr>
          <w:p w14:paraId="0037B298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727</w:t>
            </w:r>
          </w:p>
        </w:tc>
        <w:tc>
          <w:tcPr>
            <w:tcW w:w="830" w:type="dxa"/>
            <w:noWrap/>
          </w:tcPr>
          <w:p w14:paraId="73CB249E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855</w:t>
            </w:r>
          </w:p>
        </w:tc>
      </w:tr>
      <w:tr w:rsidR="000D7C60" w:rsidRPr="000823AC" w14:paraId="636479EA" w14:textId="77777777" w:rsidTr="00B85BFF">
        <w:trPr>
          <w:trHeight w:val="255"/>
        </w:trPr>
        <w:tc>
          <w:tcPr>
            <w:tcW w:w="7380" w:type="dxa"/>
            <w:gridSpan w:val="8"/>
            <w:noWrap/>
          </w:tcPr>
          <w:p w14:paraId="26F36B34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eastAsia="Times New Roman" w:cstheme="minorHAnsi"/>
                <w:color w:val="000000"/>
                <w:sz w:val="20"/>
                <w:szCs w:val="20"/>
              </w:rPr>
              <w:t>Compartment model</w:t>
            </w:r>
          </w:p>
        </w:tc>
      </w:tr>
      <w:tr w:rsidR="000D7C60" w:rsidRPr="000823AC" w14:paraId="23390CB5" w14:textId="77777777" w:rsidTr="0071743B">
        <w:trPr>
          <w:trHeight w:val="255"/>
        </w:trPr>
        <w:tc>
          <w:tcPr>
            <w:tcW w:w="988" w:type="dxa"/>
            <w:noWrap/>
          </w:tcPr>
          <w:p w14:paraId="20A5DF8D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1412" w:type="dxa"/>
            <w:vAlign w:val="center"/>
          </w:tcPr>
          <w:p w14:paraId="167DDA06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2331</w:t>
            </w:r>
          </w:p>
        </w:tc>
        <w:tc>
          <w:tcPr>
            <w:tcW w:w="830" w:type="dxa"/>
            <w:noWrap/>
            <w:vAlign w:val="center"/>
          </w:tcPr>
          <w:p w14:paraId="7521DBB0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723</w:t>
            </w:r>
          </w:p>
        </w:tc>
        <w:tc>
          <w:tcPr>
            <w:tcW w:w="830" w:type="dxa"/>
            <w:noWrap/>
            <w:vAlign w:val="center"/>
          </w:tcPr>
          <w:p w14:paraId="2EF5E207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867</w:t>
            </w:r>
          </w:p>
        </w:tc>
        <w:tc>
          <w:tcPr>
            <w:tcW w:w="830" w:type="dxa"/>
            <w:noWrap/>
            <w:vAlign w:val="center"/>
          </w:tcPr>
          <w:p w14:paraId="29ED0062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1011</w:t>
            </w:r>
          </w:p>
        </w:tc>
        <w:tc>
          <w:tcPr>
            <w:tcW w:w="830" w:type="dxa"/>
            <w:noWrap/>
            <w:vAlign w:val="center"/>
          </w:tcPr>
          <w:p w14:paraId="04348147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1155</w:t>
            </w:r>
          </w:p>
        </w:tc>
        <w:tc>
          <w:tcPr>
            <w:tcW w:w="830" w:type="dxa"/>
            <w:noWrap/>
            <w:vAlign w:val="center"/>
          </w:tcPr>
          <w:p w14:paraId="6D5033D1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1227</w:t>
            </w:r>
          </w:p>
        </w:tc>
        <w:tc>
          <w:tcPr>
            <w:tcW w:w="830" w:type="dxa"/>
            <w:noWrap/>
            <w:vAlign w:val="center"/>
          </w:tcPr>
          <w:p w14:paraId="38E0CD84" w14:textId="77777777" w:rsidR="000D7C60" w:rsidRPr="000823AC" w:rsidRDefault="000D7C60" w:rsidP="00B85BFF">
            <w:pPr>
              <w:rPr>
                <w:rFonts w:cstheme="minorHAnsi"/>
                <w:sz w:val="20"/>
                <w:szCs w:val="20"/>
              </w:rPr>
            </w:pPr>
            <w:r w:rsidRPr="000823AC">
              <w:rPr>
                <w:rFonts w:cstheme="minorHAnsi"/>
                <w:sz w:val="20"/>
                <w:szCs w:val="20"/>
              </w:rPr>
              <w:t>1227</w:t>
            </w:r>
          </w:p>
        </w:tc>
      </w:tr>
    </w:tbl>
    <w:p w14:paraId="5EA947BB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1F31B1D1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507F7372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447CB20F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7EC7B486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4E657908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25E10797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44ED03F9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53BE324F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429CEC26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191C336A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69ED3987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4CC4EFF2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3A35F314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42BB09C7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1C72E406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7EA26DA7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385597B4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46A9ADEE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76825F9F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lang w:val="en-GB"/>
        </w:rPr>
      </w:pPr>
    </w:p>
    <w:p w14:paraId="3E8B243B" w14:textId="77777777" w:rsidR="0071743B" w:rsidRDefault="0071743B">
      <w:pPr>
        <w:rPr>
          <w:rFonts w:ascii="Arial" w:eastAsia="MS PGothic" w:hAnsi="Arial" w:cs="Arial"/>
        </w:rPr>
      </w:pPr>
      <w:r>
        <w:rPr>
          <w:rFonts w:ascii="Arial" w:eastAsia="MS PGothic" w:hAnsi="Arial" w:cs="Arial"/>
        </w:rPr>
        <w:br w:type="page"/>
      </w:r>
    </w:p>
    <w:p w14:paraId="029B40A4" w14:textId="0717FE80" w:rsidR="000D7C60" w:rsidRDefault="000D7C60" w:rsidP="001C4826">
      <w:pPr>
        <w:keepNext/>
        <w:keepLines/>
        <w:spacing w:after="120" w:line="480" w:lineRule="auto"/>
        <w:outlineLvl w:val="0"/>
        <w:rPr>
          <w:rFonts w:ascii="Arial" w:eastAsia="MS PGothic" w:hAnsi="Arial" w:cs="Arial"/>
        </w:rPr>
      </w:pPr>
      <w:r>
        <w:rPr>
          <w:rFonts w:ascii="Arial" w:eastAsia="MS PGothic" w:hAnsi="Arial" w:cs="Arial"/>
        </w:rPr>
        <w:lastRenderedPageBreak/>
        <w:t>Table 5</w:t>
      </w:r>
      <w:r w:rsidRPr="001113D1">
        <w:rPr>
          <w:rFonts w:ascii="Arial" w:eastAsia="MS PGothic" w:hAnsi="Arial" w:cs="Arial"/>
        </w:rPr>
        <w:t xml:space="preserve">: </w:t>
      </w:r>
      <w:r w:rsidRPr="001113D1">
        <w:rPr>
          <w:rFonts w:ascii="Arial" w:hAnsi="Arial" w:cs="Arial"/>
        </w:rPr>
        <w:t xml:space="preserve">Parameter estimations based on cefuroxime model </w:t>
      </w:r>
      <w:r w:rsidR="001C4826">
        <w:rPr>
          <w:rFonts w:ascii="Arial" w:hAnsi="Arial" w:cs="Arial"/>
          <w:noProof/>
        </w:rPr>
        <w:t>[26</w:t>
      </w:r>
      <w:r w:rsidRPr="001113D1">
        <w:rPr>
          <w:rFonts w:ascii="Arial" w:hAnsi="Arial" w:cs="Arial"/>
          <w:noProof/>
        </w:rPr>
        <w:t>]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0D7C60" w14:paraId="1307C3E4" w14:textId="77777777" w:rsidTr="0071743B">
        <w:trPr>
          <w:trHeight w:val="332"/>
        </w:trPr>
        <w:tc>
          <w:tcPr>
            <w:tcW w:w="8630" w:type="dxa"/>
            <w:gridSpan w:val="2"/>
            <w:vAlign w:val="center"/>
          </w:tcPr>
          <w:p w14:paraId="182D0AE5" w14:textId="77777777" w:rsidR="000D7C60" w:rsidRPr="005C6269" w:rsidRDefault="000D7C60" w:rsidP="00B85BFF">
            <w:pPr>
              <w:keepNext/>
              <w:keepLines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5C6269">
              <w:rPr>
                <w:rFonts w:ascii="Arial" w:hAnsi="Arial" w:cs="Arial"/>
                <w:b/>
                <w:sz w:val="22"/>
                <w:szCs w:val="22"/>
              </w:rPr>
              <w:t>PARAMETER ESTIMATES</w:t>
            </w:r>
          </w:p>
        </w:tc>
      </w:tr>
      <w:tr w:rsidR="000D7C60" w14:paraId="613B6082" w14:textId="77777777" w:rsidTr="0071743B">
        <w:tc>
          <w:tcPr>
            <w:tcW w:w="4315" w:type="dxa"/>
          </w:tcPr>
          <w:p w14:paraId="2BF2CD5B" w14:textId="77777777" w:rsidR="000D7C60" w:rsidRPr="00013D68" w:rsidRDefault="000D7C60" w:rsidP="00B85BFF">
            <w:pPr>
              <w:keepNext/>
              <w:keepLines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F0BF2">
              <w:rPr>
                <w:rFonts w:ascii="Arial" w:hAnsi="Arial" w:cs="Arial"/>
                <w:b/>
                <w:sz w:val="20"/>
                <w:szCs w:val="20"/>
              </w:rPr>
              <w:t>CL</w:t>
            </w:r>
            <w:r w:rsidRPr="00013D68">
              <w:rPr>
                <w:rFonts w:ascii="Arial" w:hAnsi="Arial" w:cs="Arial"/>
                <w:sz w:val="20"/>
                <w:szCs w:val="20"/>
              </w:rPr>
              <w:t xml:space="preserve"> (L/h)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13D68">
              <w:rPr>
                <w:rFonts w:ascii="Arial" w:hAnsi="Arial" w:cs="Arial"/>
                <w:sz w:val="20"/>
                <w:szCs w:val="20"/>
              </w:rPr>
              <w:t>= 8.77+ (CL</w:t>
            </w:r>
            <w:r w:rsidRPr="00013D68">
              <w:rPr>
                <w:rFonts w:ascii="Arial" w:hAnsi="Arial" w:cs="Arial"/>
                <w:sz w:val="20"/>
                <w:szCs w:val="20"/>
                <w:vertAlign w:val="subscript"/>
              </w:rPr>
              <w:t>CR</w:t>
            </w:r>
            <w:r w:rsidRPr="00013D68">
              <w:rPr>
                <w:rFonts w:ascii="Arial" w:hAnsi="Arial" w:cs="Arial"/>
                <w:sz w:val="20"/>
                <w:szCs w:val="20"/>
              </w:rPr>
              <w:t xml:space="preserve"> - 4.8) × 1.71</w:t>
            </w:r>
          </w:p>
          <w:p w14:paraId="1CBCF97F" w14:textId="77777777" w:rsidR="000D7C60" w:rsidRPr="00013D68" w:rsidRDefault="000D7C60" w:rsidP="00B85BFF">
            <w:pPr>
              <w:keepNext/>
              <w:keepLines/>
              <w:ind w:left="288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013D68">
              <w:rPr>
                <w:rFonts w:ascii="Arial" w:hAnsi="Arial" w:cs="Arial"/>
                <w:sz w:val="20"/>
                <w:szCs w:val="20"/>
              </w:rPr>
              <w:t>if (CL</w:t>
            </w:r>
            <w:r w:rsidRPr="00013D68">
              <w:rPr>
                <w:rFonts w:ascii="Arial" w:hAnsi="Arial" w:cs="Arial"/>
                <w:sz w:val="20"/>
                <w:szCs w:val="20"/>
                <w:vertAlign w:val="subscript"/>
              </w:rPr>
              <w:t>CR</w:t>
            </w:r>
            <w:r w:rsidRPr="00013D68">
              <w:rPr>
                <w:rFonts w:ascii="Arial" w:hAnsi="Arial" w:cs="Arial"/>
                <w:sz w:val="20"/>
                <w:szCs w:val="20"/>
              </w:rPr>
              <w:t xml:space="preserve"> ≥ 4.8 L/h) </w:t>
            </w:r>
            <w:r w:rsidRPr="00013D68">
              <w:rPr>
                <w:rFonts w:ascii="Arial" w:hAnsi="Arial" w:cs="Arial" w:hint="eastAsia"/>
                <w:sz w:val="20"/>
                <w:szCs w:val="20"/>
              </w:rPr>
              <w:t>→</w:t>
            </w:r>
            <w:r w:rsidRPr="00013D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3FD7">
              <w:rPr>
                <w:rFonts w:ascii="Arial" w:hAnsi="Arial" w:cs="Arial"/>
                <w:b/>
                <w:sz w:val="20"/>
                <w:szCs w:val="20"/>
              </w:rPr>
              <w:t>CL</w:t>
            </w:r>
            <w:r w:rsidRPr="00013D68">
              <w:rPr>
                <w:rFonts w:ascii="Arial" w:hAnsi="Arial" w:cs="Arial"/>
                <w:sz w:val="20"/>
                <w:szCs w:val="20"/>
              </w:rPr>
              <w:t xml:space="preserve"> (L/h) = 8.77</w:t>
            </w:r>
          </w:p>
          <w:p w14:paraId="18BC4406" w14:textId="77777777" w:rsidR="000D7C60" w:rsidRPr="00013D68" w:rsidRDefault="000D7C60" w:rsidP="00B85BFF">
            <w:pPr>
              <w:keepNext/>
              <w:keepLines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F0BF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V1</w:t>
            </w:r>
            <w:r w:rsidRPr="00013D68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(L) = 11.27</w:t>
            </w:r>
          </w:p>
          <w:p w14:paraId="098A4737" w14:textId="77777777" w:rsidR="000D7C60" w:rsidRPr="00013D68" w:rsidRDefault="000D7C60" w:rsidP="00B85BFF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DF0BF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Q</w:t>
            </w:r>
            <w:r w:rsidRPr="00013D68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(L/h) = 7.11</w:t>
            </w:r>
          </w:p>
          <w:p w14:paraId="18DAC2D4" w14:textId="77777777" w:rsidR="000D7C60" w:rsidRPr="00013D68" w:rsidRDefault="000D7C60" w:rsidP="00B85BFF">
            <w:pPr>
              <w:rPr>
                <w:rFonts w:ascii="Arial" w:hAnsi="Arial" w:cs="Arial"/>
                <w:sz w:val="20"/>
                <w:szCs w:val="20"/>
              </w:rPr>
            </w:pPr>
            <w:r w:rsidRPr="00DF0BF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V2</w:t>
            </w:r>
            <w:r w:rsidRPr="00013D68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(L) = 7.30</w:t>
            </w:r>
          </w:p>
        </w:tc>
        <w:tc>
          <w:tcPr>
            <w:tcW w:w="4315" w:type="dxa"/>
          </w:tcPr>
          <w:p w14:paraId="26B1547B" w14:textId="290F1768" w:rsidR="00452F52" w:rsidRPr="0071743B" w:rsidRDefault="0071743B" w:rsidP="00B85BFF">
            <w:pPr>
              <w:keepNext/>
              <w:keepLines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Symbol" w:char="F077"/>
            </w:r>
            <w:r w:rsidR="00452F52" w:rsidRPr="0071743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452F52" w:rsidRPr="0071743B">
              <w:rPr>
                <w:rFonts w:ascii="Arial" w:hAnsi="Arial" w:cs="Arial"/>
                <w:sz w:val="20"/>
                <w:szCs w:val="20"/>
                <w:vertAlign w:val="subscript"/>
              </w:rPr>
              <w:t>V1</w:t>
            </w:r>
            <w:r w:rsidR="00452F52" w:rsidRPr="0071743B">
              <w:rPr>
                <w:rFonts w:ascii="Arial" w:hAnsi="Arial" w:cs="Arial"/>
                <w:sz w:val="20"/>
                <w:szCs w:val="20"/>
              </w:rPr>
              <w:t xml:space="preserve"> = </w:t>
            </w:r>
            <w:r w:rsidRPr="0071743B">
              <w:rPr>
                <w:rFonts w:ascii="Arial" w:hAnsi="Arial" w:cs="Arial"/>
                <w:sz w:val="20"/>
                <w:szCs w:val="20"/>
              </w:rPr>
              <w:t>0.304</w:t>
            </w:r>
          </w:p>
          <w:p w14:paraId="607D4A3B" w14:textId="5226FA3C" w:rsidR="00452F52" w:rsidRPr="0071743B" w:rsidRDefault="0071743B" w:rsidP="00B85BFF">
            <w:pPr>
              <w:keepNext/>
              <w:keepLines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Symbol" w:char="F077"/>
            </w:r>
            <w:r w:rsidR="00452F52" w:rsidRPr="0071743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452F52" w:rsidRPr="0071743B">
              <w:rPr>
                <w:rFonts w:ascii="Arial" w:hAnsi="Arial" w:cs="Arial"/>
                <w:sz w:val="20"/>
                <w:szCs w:val="20"/>
                <w:vertAlign w:val="subscript"/>
              </w:rPr>
              <w:t>CL</w:t>
            </w:r>
            <w:r w:rsidR="00452F52" w:rsidRPr="0071743B">
              <w:rPr>
                <w:rFonts w:ascii="Arial" w:hAnsi="Arial" w:cs="Arial"/>
                <w:sz w:val="20"/>
                <w:szCs w:val="20"/>
              </w:rPr>
              <w:t xml:space="preserve"> =</w:t>
            </w:r>
            <w:r w:rsidRPr="0071743B">
              <w:rPr>
                <w:rFonts w:ascii="Arial" w:hAnsi="Arial" w:cs="Arial"/>
                <w:sz w:val="20"/>
                <w:szCs w:val="20"/>
              </w:rPr>
              <w:t xml:space="preserve"> 0.0966</w:t>
            </w:r>
          </w:p>
          <w:p w14:paraId="1B70FB30" w14:textId="3CC24A73" w:rsidR="000D7C60" w:rsidRPr="0071743B" w:rsidRDefault="00452F52" w:rsidP="00B85BFF">
            <w:pPr>
              <w:keepNext/>
              <w:keepLines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1743B">
              <w:rPr>
                <w:rFonts w:ascii="Arial" w:hAnsi="Arial" w:cs="Arial"/>
                <w:sz w:val="20"/>
                <w:szCs w:val="20"/>
              </w:rPr>
              <w:t>Covariance (</w:t>
            </w:r>
            <w:r w:rsidR="0071743B">
              <w:rPr>
                <w:rFonts w:ascii="Arial" w:hAnsi="Arial" w:cs="Arial"/>
                <w:sz w:val="20"/>
                <w:szCs w:val="20"/>
              </w:rPr>
              <w:sym w:font="Symbol" w:char="F077"/>
            </w:r>
            <w:r w:rsidRPr="0071743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71743B">
              <w:rPr>
                <w:rFonts w:ascii="Arial" w:hAnsi="Arial" w:cs="Arial"/>
                <w:sz w:val="20"/>
                <w:szCs w:val="20"/>
                <w:vertAlign w:val="subscript"/>
              </w:rPr>
              <w:t>V1</w:t>
            </w:r>
            <w:r w:rsidRPr="0071743B">
              <w:rPr>
                <w:rFonts w:ascii="Arial" w:hAnsi="Arial" w:cs="Arial"/>
                <w:sz w:val="20"/>
                <w:szCs w:val="20"/>
              </w:rPr>
              <w:t>,</w:t>
            </w:r>
            <w:r w:rsidR="00717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1743B">
              <w:rPr>
                <w:rFonts w:ascii="Arial" w:hAnsi="Arial" w:cs="Arial"/>
                <w:sz w:val="20"/>
                <w:szCs w:val="20"/>
              </w:rPr>
              <w:sym w:font="Symbol" w:char="F077"/>
            </w:r>
            <w:r w:rsidRPr="0071743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71743B">
              <w:rPr>
                <w:rFonts w:ascii="Arial" w:hAnsi="Arial" w:cs="Arial"/>
                <w:sz w:val="20"/>
                <w:szCs w:val="20"/>
                <w:vertAlign w:val="subscript"/>
              </w:rPr>
              <w:t>CL</w:t>
            </w:r>
            <w:r w:rsidRPr="0071743B">
              <w:rPr>
                <w:rFonts w:ascii="Arial" w:hAnsi="Arial" w:cs="Arial"/>
                <w:sz w:val="20"/>
                <w:szCs w:val="20"/>
              </w:rPr>
              <w:t>)</w:t>
            </w:r>
            <w:r w:rsidR="0071743B" w:rsidRPr="00717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743B">
              <w:rPr>
                <w:rFonts w:ascii="Arial" w:hAnsi="Arial" w:cs="Arial"/>
                <w:sz w:val="20"/>
                <w:szCs w:val="20"/>
              </w:rPr>
              <w:t>=</w:t>
            </w:r>
            <w:r w:rsidRPr="0071743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71743B" w:rsidRPr="0071743B">
              <w:rPr>
                <w:rFonts w:ascii="Arial" w:hAnsi="Arial" w:cs="Arial"/>
                <w:sz w:val="20"/>
                <w:szCs w:val="20"/>
              </w:rPr>
              <w:t>0.135</w:t>
            </w:r>
          </w:p>
          <w:p w14:paraId="060DF9F8" w14:textId="77777777" w:rsidR="000D7C60" w:rsidRPr="00013D68" w:rsidRDefault="000D7C60" w:rsidP="00B85BFF">
            <w:pPr>
              <w:keepNext/>
              <w:keepLines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D7C60" w14:paraId="10E73775" w14:textId="77777777" w:rsidTr="0071743B">
        <w:tc>
          <w:tcPr>
            <w:tcW w:w="8630" w:type="dxa"/>
            <w:gridSpan w:val="2"/>
          </w:tcPr>
          <w:p w14:paraId="3DF23BA6" w14:textId="77777777" w:rsidR="000D7C60" w:rsidRPr="00013D68" w:rsidRDefault="000D7C60" w:rsidP="00B85BF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A2A94">
              <w:rPr>
                <w:rFonts w:ascii="Arial" w:hAnsi="Arial" w:cs="Arial"/>
                <w:sz w:val="22"/>
                <w:szCs w:val="22"/>
              </w:rPr>
              <w:t>CL: Total body clearance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  <w:r w:rsidRPr="009A2A94">
              <w:rPr>
                <w:rFonts w:ascii="Arial" w:hAnsi="Arial" w:cs="Arial"/>
                <w:sz w:val="22"/>
                <w:szCs w:val="22"/>
              </w:rPr>
              <w:t xml:space="preserve"> CL</w:t>
            </w:r>
            <w:r w:rsidRPr="009A2A94">
              <w:rPr>
                <w:rFonts w:ascii="Arial" w:hAnsi="Arial" w:cs="Arial"/>
                <w:sz w:val="22"/>
                <w:szCs w:val="22"/>
                <w:vertAlign w:val="subscript"/>
              </w:rPr>
              <w:t>CR</w:t>
            </w:r>
            <w:r w:rsidRPr="009A2A94">
              <w:rPr>
                <w:rFonts w:ascii="Arial" w:hAnsi="Arial" w:cs="Arial"/>
                <w:sz w:val="22"/>
                <w:szCs w:val="22"/>
              </w:rPr>
              <w:t xml:space="preserve">: creatinine clearance; V1: apparent volume of distribution of the central compartment (plasma); Q: inter-compartment </w:t>
            </w:r>
            <w:r w:rsidRPr="00D07591">
              <w:rPr>
                <w:rFonts w:ascii="Arial" w:hAnsi="Arial" w:cs="Arial"/>
                <w:sz w:val="22"/>
                <w:szCs w:val="22"/>
              </w:rPr>
              <w:t>clearance; V2: apparent volume of distribution of the peripheral compartment; IIV: inter-individual variability.</w:t>
            </w:r>
          </w:p>
        </w:tc>
      </w:tr>
    </w:tbl>
    <w:p w14:paraId="1147496A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eastAsia="MS PGothic" w:hAnsi="Arial" w:cs="Arial"/>
        </w:rPr>
      </w:pPr>
    </w:p>
    <w:p w14:paraId="76D82D0A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eastAsia="MS PGothic" w:hAnsi="Arial" w:cs="Arial"/>
        </w:rPr>
      </w:pPr>
    </w:p>
    <w:p w14:paraId="5E44C80D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eastAsia="MS PGothic" w:hAnsi="Arial" w:cs="Arial"/>
        </w:rPr>
      </w:pPr>
    </w:p>
    <w:p w14:paraId="0FBB7876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hAnsi="Arial" w:cs="Arial"/>
        </w:rPr>
      </w:pPr>
    </w:p>
    <w:p w14:paraId="26090343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hAnsi="Arial" w:cs="Arial"/>
        </w:rPr>
      </w:pPr>
    </w:p>
    <w:p w14:paraId="42CEE440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hAnsi="Arial" w:cs="Arial"/>
        </w:rPr>
      </w:pPr>
    </w:p>
    <w:p w14:paraId="16174CF6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hAnsi="Arial" w:cs="Arial"/>
        </w:rPr>
      </w:pPr>
    </w:p>
    <w:p w14:paraId="16F02773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hAnsi="Arial" w:cs="Arial"/>
        </w:rPr>
      </w:pPr>
    </w:p>
    <w:p w14:paraId="16263574" w14:textId="77777777" w:rsidR="000D7C60" w:rsidRDefault="000D7C60" w:rsidP="00B85BFF">
      <w:pPr>
        <w:keepNext/>
        <w:keepLines/>
        <w:spacing w:after="120" w:line="480" w:lineRule="auto"/>
        <w:outlineLvl w:val="0"/>
        <w:rPr>
          <w:rFonts w:ascii="Arial" w:hAnsi="Arial" w:cs="Arial"/>
        </w:rPr>
      </w:pPr>
    </w:p>
    <w:p w14:paraId="52DD7257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14784D39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66374079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70B147B5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5C18DE38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4111E0BD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65E776B1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7BC161CD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44D1FF31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eastAsiaTheme="minorEastAsia" w:hAnsi="Arial" w:cs="Arial"/>
          <w:color w:val="auto"/>
          <w:bdr w:val="none" w:sz="0" w:space="0" w:color="auto"/>
          <w:lang w:val="en-GB" w:eastAsia="zh-CN"/>
        </w:rPr>
      </w:pPr>
    </w:p>
    <w:p w14:paraId="25113389" w14:textId="77777777" w:rsidR="00182DF1" w:rsidRDefault="00182DF1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br w:type="page"/>
      </w:r>
    </w:p>
    <w:p w14:paraId="4737CF3F" w14:textId="37D5EDD1" w:rsidR="000D7C60" w:rsidRDefault="000D7C60" w:rsidP="001C4826">
      <w:pPr>
        <w:spacing w:after="0" w:line="480" w:lineRule="auto"/>
        <w:rPr>
          <w:rFonts w:asciiTheme="minorBidi" w:hAnsiTheme="minorBidi"/>
          <w:b/>
          <w:bCs/>
        </w:rPr>
      </w:pPr>
      <w:r w:rsidRPr="008E0B0A">
        <w:rPr>
          <w:rFonts w:asciiTheme="minorBidi" w:hAnsiTheme="minorBidi"/>
          <w:b/>
          <w:bCs/>
        </w:rPr>
        <w:lastRenderedPageBreak/>
        <w:t>References</w:t>
      </w:r>
    </w:p>
    <w:p w14:paraId="4BD6CC73" w14:textId="77777777" w:rsidR="00B0300A" w:rsidRDefault="00B0300A" w:rsidP="00B0300A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Theme="minorBidi" w:hAnsiTheme="minorBidi"/>
        </w:rPr>
      </w:pPr>
      <w:r w:rsidRPr="00B0300A">
        <w:rPr>
          <w:rFonts w:asciiTheme="minorBidi" w:hAnsiTheme="minorBidi"/>
        </w:rPr>
        <w:t xml:space="preserve"> </w:t>
      </w:r>
      <w:proofErr w:type="spellStart"/>
      <w:r w:rsidR="000D7C60" w:rsidRPr="00B0300A">
        <w:rPr>
          <w:rFonts w:asciiTheme="minorBidi" w:hAnsiTheme="minorBidi"/>
        </w:rPr>
        <w:t>Nascimento</w:t>
      </w:r>
      <w:proofErr w:type="spellEnd"/>
      <w:r w:rsidR="000D7C60" w:rsidRPr="00B0300A">
        <w:rPr>
          <w:rFonts w:asciiTheme="minorBidi" w:hAnsiTheme="minorBidi"/>
        </w:rPr>
        <w:t xml:space="preserve"> JW, Carmona MJ, </w:t>
      </w:r>
      <w:proofErr w:type="spellStart"/>
      <w:r w:rsidR="000D7C60" w:rsidRPr="00B0300A">
        <w:rPr>
          <w:rFonts w:asciiTheme="minorBidi" w:hAnsiTheme="minorBidi"/>
        </w:rPr>
        <w:t>Strabelli</w:t>
      </w:r>
      <w:proofErr w:type="spellEnd"/>
      <w:r w:rsidR="000D7C60" w:rsidRPr="00B0300A">
        <w:rPr>
          <w:rFonts w:asciiTheme="minorBidi" w:hAnsiTheme="minorBidi"/>
        </w:rPr>
        <w:t xml:space="preserve"> TM, </w:t>
      </w:r>
      <w:proofErr w:type="spellStart"/>
      <w:r w:rsidR="000D7C60" w:rsidRPr="00B0300A">
        <w:rPr>
          <w:rFonts w:asciiTheme="minorBidi" w:hAnsiTheme="minorBidi"/>
        </w:rPr>
        <w:t>Auler</w:t>
      </w:r>
      <w:proofErr w:type="spellEnd"/>
      <w:r w:rsidR="000D7C60" w:rsidRPr="00B0300A">
        <w:rPr>
          <w:rFonts w:asciiTheme="minorBidi" w:hAnsiTheme="minorBidi"/>
        </w:rPr>
        <w:t xml:space="preserve"> JO Jr, Santos SR (2007) Perioperative cefuroxime pharmacokinetics in cardiac surgery. Clinics (Sao Paulo) 62:257-60.</w:t>
      </w:r>
    </w:p>
    <w:p w14:paraId="04F6FD6B" w14:textId="0A6E44CD" w:rsidR="00B0300A" w:rsidRPr="00B0300A" w:rsidRDefault="000D7C60" w:rsidP="00B0300A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Theme="minorBidi" w:hAnsiTheme="minorBidi"/>
        </w:rPr>
      </w:pPr>
      <w:r w:rsidRPr="00B0300A">
        <w:rPr>
          <w:rFonts w:asciiTheme="minorBidi" w:hAnsiTheme="minorBidi"/>
        </w:rPr>
        <w:t xml:space="preserve">Asín-Prieto E, </w:t>
      </w:r>
      <w:proofErr w:type="spellStart"/>
      <w:r w:rsidRPr="00B0300A">
        <w:rPr>
          <w:rFonts w:asciiTheme="minorBidi" w:hAnsiTheme="minorBidi"/>
        </w:rPr>
        <w:t>Soraluce</w:t>
      </w:r>
      <w:proofErr w:type="spellEnd"/>
      <w:r w:rsidRPr="00B0300A">
        <w:rPr>
          <w:rFonts w:asciiTheme="minorBidi" w:hAnsiTheme="minorBidi"/>
        </w:rPr>
        <w:t xml:space="preserve"> A, Trocóniz IF, Campo </w:t>
      </w:r>
      <w:proofErr w:type="spellStart"/>
      <w:r w:rsidRPr="00B0300A">
        <w:rPr>
          <w:rFonts w:asciiTheme="minorBidi" w:hAnsiTheme="minorBidi"/>
        </w:rPr>
        <w:t>Cimarras</w:t>
      </w:r>
      <w:proofErr w:type="spellEnd"/>
      <w:r w:rsidRPr="00B0300A">
        <w:rPr>
          <w:rFonts w:asciiTheme="minorBidi" w:hAnsiTheme="minorBidi"/>
        </w:rPr>
        <w:t xml:space="preserve"> E, </w:t>
      </w:r>
      <w:proofErr w:type="spellStart"/>
      <w:r w:rsidRPr="00B0300A">
        <w:rPr>
          <w:rFonts w:asciiTheme="minorBidi" w:hAnsiTheme="minorBidi"/>
        </w:rPr>
        <w:t>Sáenz</w:t>
      </w:r>
      <w:proofErr w:type="spellEnd"/>
      <w:r w:rsidRPr="00B0300A">
        <w:rPr>
          <w:rFonts w:asciiTheme="minorBidi" w:hAnsiTheme="minorBidi"/>
        </w:rPr>
        <w:t xml:space="preserve"> de </w:t>
      </w:r>
      <w:proofErr w:type="spellStart"/>
      <w:r w:rsidRPr="00B0300A">
        <w:rPr>
          <w:rFonts w:asciiTheme="minorBidi" w:hAnsiTheme="minorBidi"/>
        </w:rPr>
        <w:t>Ugarte</w:t>
      </w:r>
      <w:proofErr w:type="spellEnd"/>
      <w:r w:rsidRPr="00B0300A">
        <w:rPr>
          <w:rFonts w:asciiTheme="minorBidi" w:hAnsiTheme="minorBidi"/>
        </w:rPr>
        <w:t xml:space="preserve"> </w:t>
      </w:r>
      <w:proofErr w:type="spellStart"/>
      <w:r w:rsidRPr="00B0300A">
        <w:rPr>
          <w:rFonts w:asciiTheme="minorBidi" w:hAnsiTheme="minorBidi"/>
        </w:rPr>
        <w:t>Sobró</w:t>
      </w:r>
      <w:r w:rsidR="001C4826" w:rsidRPr="00B0300A">
        <w:rPr>
          <w:rFonts w:asciiTheme="minorBidi" w:hAnsiTheme="minorBidi"/>
        </w:rPr>
        <w:t>n</w:t>
      </w:r>
      <w:proofErr w:type="spellEnd"/>
      <w:r w:rsidR="001C4826" w:rsidRPr="00B0300A">
        <w:rPr>
          <w:rFonts w:asciiTheme="minorBidi" w:hAnsiTheme="minorBidi"/>
        </w:rPr>
        <w:t xml:space="preserve"> J, Rodríguez-</w:t>
      </w:r>
      <w:proofErr w:type="spellStart"/>
      <w:r w:rsidR="001C4826" w:rsidRPr="00B0300A">
        <w:rPr>
          <w:rFonts w:asciiTheme="minorBidi" w:hAnsiTheme="minorBidi"/>
        </w:rPr>
        <w:t>Gascón</w:t>
      </w:r>
      <w:proofErr w:type="spellEnd"/>
      <w:r w:rsidR="001C4826" w:rsidRPr="00B0300A">
        <w:rPr>
          <w:rFonts w:asciiTheme="minorBidi" w:hAnsiTheme="minorBidi"/>
        </w:rPr>
        <w:t xml:space="preserve"> A, Isla A (2015) </w:t>
      </w:r>
      <w:r w:rsidRPr="00B0300A">
        <w:rPr>
          <w:rFonts w:asciiTheme="minorBidi" w:hAnsiTheme="minorBidi"/>
        </w:rPr>
        <w:t>Population pharmacokinetic models for cefuroxime and metronidazole used in combination as prophylactic agents in colorectal surgery: Model-based ev</w:t>
      </w:r>
      <w:bookmarkStart w:id="0" w:name="_GoBack"/>
      <w:bookmarkEnd w:id="0"/>
      <w:r w:rsidRPr="00B0300A">
        <w:rPr>
          <w:rFonts w:asciiTheme="minorBidi" w:hAnsiTheme="minorBidi"/>
        </w:rPr>
        <w:t>aluation of standard dosing regimens.</w:t>
      </w:r>
      <w:r w:rsidR="001C4826" w:rsidRPr="00B0300A">
        <w:rPr>
          <w:rFonts w:asciiTheme="minorBidi" w:hAnsiTheme="minorBidi"/>
        </w:rPr>
        <w:t xml:space="preserve"> </w:t>
      </w:r>
      <w:proofErr w:type="spellStart"/>
      <w:r w:rsidR="001C4826" w:rsidRPr="00B0300A">
        <w:rPr>
          <w:rFonts w:asciiTheme="minorBidi" w:hAnsiTheme="minorBidi"/>
        </w:rPr>
        <w:t>Int</w:t>
      </w:r>
      <w:proofErr w:type="spellEnd"/>
      <w:r w:rsidR="001C4826" w:rsidRPr="00B0300A">
        <w:rPr>
          <w:rFonts w:asciiTheme="minorBidi" w:hAnsiTheme="minorBidi"/>
        </w:rPr>
        <w:t xml:space="preserve"> J </w:t>
      </w:r>
      <w:proofErr w:type="spellStart"/>
      <w:r w:rsidR="001C4826" w:rsidRPr="00B0300A">
        <w:rPr>
          <w:rFonts w:asciiTheme="minorBidi" w:hAnsiTheme="minorBidi"/>
        </w:rPr>
        <w:t>Antimicrob</w:t>
      </w:r>
      <w:proofErr w:type="spellEnd"/>
      <w:r w:rsidR="001C4826" w:rsidRPr="00B0300A">
        <w:rPr>
          <w:rFonts w:asciiTheme="minorBidi" w:hAnsiTheme="minorBidi"/>
        </w:rPr>
        <w:t xml:space="preserve"> Agents</w:t>
      </w:r>
      <w:r w:rsidRPr="00B0300A">
        <w:rPr>
          <w:rFonts w:asciiTheme="minorBidi" w:hAnsiTheme="minorBidi"/>
        </w:rPr>
        <w:t>;45:504–511</w:t>
      </w:r>
      <w:r w:rsidR="001C4826" w:rsidRPr="00B0300A">
        <w:rPr>
          <w:rFonts w:asciiTheme="minorBidi" w:hAnsiTheme="minorBidi"/>
        </w:rPr>
        <w:t>.</w:t>
      </w:r>
    </w:p>
    <w:p w14:paraId="26FA43B7" w14:textId="77777777" w:rsidR="00B0300A" w:rsidRDefault="002C287A" w:rsidP="00B0300A">
      <w:pPr>
        <w:pStyle w:val="ListParagraph"/>
        <w:numPr>
          <w:ilvl w:val="0"/>
          <w:numId w:val="6"/>
        </w:numPr>
        <w:spacing w:after="0" w:line="480" w:lineRule="auto"/>
        <w:rPr>
          <w:rFonts w:asciiTheme="minorBidi" w:hAnsiTheme="minorBidi"/>
        </w:rPr>
      </w:pPr>
      <w:r w:rsidRPr="00B0300A">
        <w:rPr>
          <w:rFonts w:asciiTheme="minorBidi" w:hAnsiTheme="minorBidi"/>
        </w:rPr>
        <w:t xml:space="preserve">Barbour A, Schmidt S, Rout WR, Ben-David K, Burkhardt O, </w:t>
      </w:r>
      <w:proofErr w:type="spellStart"/>
      <w:r w:rsidRPr="00B0300A">
        <w:rPr>
          <w:rFonts w:asciiTheme="minorBidi" w:hAnsiTheme="minorBidi"/>
        </w:rPr>
        <w:t>Derendorf</w:t>
      </w:r>
      <w:proofErr w:type="spellEnd"/>
      <w:r w:rsidRPr="00B0300A">
        <w:rPr>
          <w:rFonts w:asciiTheme="minorBidi" w:hAnsiTheme="minorBidi"/>
        </w:rPr>
        <w:t xml:space="preserve"> H (2009) Soft tissue penetration of cefuroxime determined by clinical </w:t>
      </w:r>
      <w:proofErr w:type="spellStart"/>
      <w:r w:rsidRPr="00B0300A">
        <w:rPr>
          <w:rFonts w:asciiTheme="minorBidi" w:hAnsiTheme="minorBidi"/>
        </w:rPr>
        <w:t>microdialysis</w:t>
      </w:r>
      <w:proofErr w:type="spellEnd"/>
      <w:r w:rsidRPr="00B0300A">
        <w:rPr>
          <w:rFonts w:asciiTheme="minorBidi" w:hAnsiTheme="minorBidi"/>
        </w:rPr>
        <w:t xml:space="preserve"> in morbidly obese patients undergoing abdominal surgery. </w:t>
      </w:r>
      <w:proofErr w:type="spellStart"/>
      <w:r w:rsidRPr="00B0300A">
        <w:rPr>
          <w:rFonts w:asciiTheme="minorBidi" w:hAnsiTheme="minorBidi"/>
        </w:rPr>
        <w:t>Int</w:t>
      </w:r>
      <w:proofErr w:type="spellEnd"/>
      <w:r w:rsidRPr="00B0300A">
        <w:rPr>
          <w:rFonts w:asciiTheme="minorBidi" w:hAnsiTheme="minorBidi"/>
        </w:rPr>
        <w:t xml:space="preserve"> J </w:t>
      </w:r>
      <w:proofErr w:type="spellStart"/>
      <w:r w:rsidRPr="00B0300A">
        <w:rPr>
          <w:rFonts w:asciiTheme="minorBidi" w:hAnsiTheme="minorBidi"/>
        </w:rPr>
        <w:t>Antimicrob</w:t>
      </w:r>
      <w:proofErr w:type="spellEnd"/>
      <w:r w:rsidRPr="00B0300A">
        <w:rPr>
          <w:rFonts w:asciiTheme="minorBidi" w:hAnsiTheme="minorBidi"/>
        </w:rPr>
        <w:t xml:space="preserve"> Agents;34:231-235</w:t>
      </w:r>
    </w:p>
    <w:p w14:paraId="5C83ECDB" w14:textId="59F751D4" w:rsidR="00B0300A" w:rsidRDefault="008B7B8B" w:rsidP="00B0300A">
      <w:pPr>
        <w:pStyle w:val="ListParagraph"/>
        <w:numPr>
          <w:ilvl w:val="0"/>
          <w:numId w:val="6"/>
        </w:numPr>
        <w:spacing w:after="0" w:line="480" w:lineRule="auto"/>
        <w:rPr>
          <w:rFonts w:asciiTheme="minorBidi" w:hAnsiTheme="minorBidi"/>
        </w:rPr>
      </w:pPr>
      <w:r w:rsidRPr="00B0300A">
        <w:rPr>
          <w:rFonts w:asciiTheme="minorBidi" w:hAnsiTheme="minorBidi"/>
        </w:rPr>
        <w:t xml:space="preserve">European Committee on Antimicrobial Susceptibility Testing. Cefuroxime: Rationale for the clinical breakpoints, version 1.0, 2010. </w:t>
      </w:r>
      <w:hyperlink r:id="rId9" w:history="1">
        <w:r w:rsidR="00B0300A" w:rsidRPr="00701BAD">
          <w:rPr>
            <w:rStyle w:val="Hyperlink"/>
            <w:rFonts w:asciiTheme="minorBidi" w:hAnsiTheme="minorBidi"/>
          </w:rPr>
          <w:t>http://www.eucast.org</w:t>
        </w:r>
      </w:hyperlink>
    </w:p>
    <w:p w14:paraId="5E19F434" w14:textId="4C2285BE" w:rsidR="000D7C60" w:rsidRPr="00B0300A" w:rsidRDefault="000D7C60" w:rsidP="00B0300A">
      <w:pPr>
        <w:pStyle w:val="ListParagraph"/>
        <w:numPr>
          <w:ilvl w:val="0"/>
          <w:numId w:val="6"/>
        </w:numPr>
        <w:spacing w:after="0" w:line="480" w:lineRule="auto"/>
        <w:rPr>
          <w:rFonts w:asciiTheme="minorBidi" w:hAnsiTheme="minorBidi"/>
        </w:rPr>
      </w:pPr>
      <w:r w:rsidRPr="00B0300A">
        <w:rPr>
          <w:rFonts w:asciiTheme="minorBidi" w:hAnsiTheme="minorBidi"/>
        </w:rPr>
        <w:t xml:space="preserve">Marc </w:t>
      </w:r>
      <w:proofErr w:type="spellStart"/>
      <w:r w:rsidRPr="00B0300A">
        <w:rPr>
          <w:rFonts w:asciiTheme="minorBidi" w:hAnsiTheme="minorBidi"/>
        </w:rPr>
        <w:t>Lavielle</w:t>
      </w:r>
      <w:proofErr w:type="spellEnd"/>
      <w:r w:rsidRPr="00B0300A">
        <w:rPr>
          <w:rFonts w:asciiTheme="minorBidi" w:hAnsiTheme="minorBidi"/>
        </w:rPr>
        <w:t xml:space="preserve"> (2016) </w:t>
      </w:r>
      <w:proofErr w:type="spellStart"/>
      <w:r w:rsidRPr="00B0300A">
        <w:rPr>
          <w:rFonts w:asciiTheme="minorBidi" w:hAnsiTheme="minorBidi"/>
        </w:rPr>
        <w:t>mlxR</w:t>
      </w:r>
      <w:proofErr w:type="spellEnd"/>
      <w:r w:rsidRPr="00B0300A">
        <w:rPr>
          <w:rFonts w:asciiTheme="minorBidi" w:hAnsiTheme="minorBidi"/>
        </w:rPr>
        <w:t>: Simulation of Longitudinal Data. R package version 3.0.0. Available at: http://CRAN.R-project.org/</w:t>
      </w:r>
      <w:r w:rsidRPr="00B0300A">
        <w:rPr>
          <w:rFonts w:asciiTheme="minorBidi" w:hAnsiTheme="minorBidi"/>
          <w:color w:val="000000" w:themeColor="text1"/>
        </w:rPr>
        <w:t>package=mlxR</w:t>
      </w:r>
      <w:r w:rsidRPr="00B0300A">
        <w:rPr>
          <w:rStyle w:val="Hyperlink"/>
          <w:rFonts w:asciiTheme="minorBidi" w:hAnsiTheme="minorBidi"/>
          <w:color w:val="000000" w:themeColor="text1"/>
          <w:u w:val="none"/>
        </w:rPr>
        <w:t>. Accessed 11 June 2018.</w:t>
      </w:r>
    </w:p>
    <w:p w14:paraId="24BA5206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1AE96F92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086A0125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65BA9865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42753E1F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26DD0687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085025AA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05C19C37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6F9298F5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6602EAEF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18FBBD73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0C9FAA77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645B47DB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1CE09858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</w:p>
    <w:p w14:paraId="2A11368F" w14:textId="77777777" w:rsidR="000D7C60" w:rsidRPr="00406E08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  <w:r w:rsidRPr="00406E08">
        <w:rPr>
          <w:rFonts w:ascii="Arial" w:hAnsi="Arial" w:cs="Arial"/>
          <w:b/>
          <w:bCs/>
          <w:color w:val="666666"/>
          <w:sz w:val="18"/>
          <w:szCs w:val="18"/>
          <w:lang w:val="en-GB"/>
        </w:rPr>
        <w:lastRenderedPageBreak/>
        <w:t>Title</w:t>
      </w:r>
      <w:r w:rsidRPr="00406E08">
        <w:rPr>
          <w:rFonts w:ascii="Arial" w:hAnsi="Arial" w:cs="Arial"/>
          <w:color w:val="666666"/>
          <w:sz w:val="18"/>
          <w:szCs w:val="18"/>
          <w:lang w:val="en-GB"/>
        </w:rPr>
        <w:t>: Colo-Pro Pilot: A pilot randomised controlled trial to compare standard bolus dosed cefuroxime prophylaxis to bolus-continuous infusion dosed cefuroxime prophylaxis for the prevention of infections after colorectal surgery.</w:t>
      </w:r>
    </w:p>
    <w:p w14:paraId="7166C32B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 w:rsidRPr="00406E08">
        <w:rPr>
          <w:rFonts w:ascii="Arial" w:hAnsi="Arial" w:cs="Arial"/>
          <w:b/>
          <w:bCs/>
          <w:color w:val="666666"/>
          <w:sz w:val="18"/>
          <w:szCs w:val="18"/>
          <w:lang w:val="en"/>
        </w:rPr>
        <w:t>Journal name</w:t>
      </w:r>
      <w:r>
        <w:rPr>
          <w:rFonts w:ascii="Arial" w:hAnsi="Arial" w:cs="Arial"/>
          <w:color w:val="666666"/>
          <w:sz w:val="18"/>
          <w:szCs w:val="18"/>
          <w:lang w:val="en"/>
        </w:rPr>
        <w:t>: European Journal of Clinical Microbiology and Infectious Diseases</w:t>
      </w:r>
    </w:p>
    <w:p w14:paraId="0E5A43CE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 w:rsidRPr="00406E08">
        <w:rPr>
          <w:rFonts w:ascii="Arial" w:hAnsi="Arial" w:cs="Arial"/>
          <w:b/>
          <w:bCs/>
          <w:color w:val="666666"/>
          <w:sz w:val="18"/>
          <w:szCs w:val="18"/>
          <w:lang w:val="en"/>
        </w:rPr>
        <w:t>Authors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: Andrew Kirby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1,2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*, Eduardo </w:t>
      </w:r>
      <w:proofErr w:type="spellStart"/>
      <w:r w:rsidRPr="00406E08">
        <w:rPr>
          <w:rFonts w:ascii="Arial" w:hAnsi="Arial" w:cs="Arial"/>
          <w:color w:val="666666"/>
          <w:sz w:val="18"/>
          <w:szCs w:val="18"/>
          <w:lang w:val="en"/>
        </w:rPr>
        <w:t>Asín</w:t>
      </w:r>
      <w:proofErr w:type="spellEnd"/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 Prieto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3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, Duncan Ewin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2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, Flora Agnes Burns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, Agamemnon Pericleous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, </w:t>
      </w:r>
      <w:proofErr w:type="spellStart"/>
      <w:r w:rsidRPr="00406E08">
        <w:rPr>
          <w:rFonts w:ascii="Arial" w:hAnsi="Arial" w:cs="Arial"/>
          <w:color w:val="666666"/>
          <w:sz w:val="18"/>
          <w:szCs w:val="18"/>
          <w:lang w:val="en"/>
        </w:rPr>
        <w:t>Mithun</w:t>
      </w:r>
      <w:proofErr w:type="spellEnd"/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 Kailavasan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, </w:t>
      </w:r>
      <w:proofErr w:type="spellStart"/>
      <w:r w:rsidRPr="00406E08">
        <w:rPr>
          <w:rFonts w:ascii="Arial" w:hAnsi="Arial" w:cs="Arial"/>
          <w:color w:val="666666"/>
          <w:sz w:val="18"/>
          <w:szCs w:val="18"/>
          <w:lang w:val="en"/>
        </w:rPr>
        <w:t>Kavi</w:t>
      </w:r>
      <w:proofErr w:type="spellEnd"/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 Fatania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, </w:t>
      </w:r>
      <w:proofErr w:type="spellStart"/>
      <w:r w:rsidRPr="00406E08">
        <w:rPr>
          <w:rFonts w:ascii="Arial" w:hAnsi="Arial" w:cs="Arial"/>
          <w:color w:val="666666"/>
          <w:sz w:val="18"/>
          <w:szCs w:val="18"/>
          <w:lang w:val="en"/>
        </w:rPr>
        <w:t>Saira</w:t>
      </w:r>
      <w:proofErr w:type="spellEnd"/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 Nasir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, </w:t>
      </w:r>
      <w:proofErr w:type="spellStart"/>
      <w:r w:rsidRPr="00406E08">
        <w:rPr>
          <w:rFonts w:ascii="Arial" w:hAnsi="Arial" w:cs="Arial"/>
          <w:color w:val="666666"/>
          <w:sz w:val="18"/>
          <w:szCs w:val="18"/>
          <w:lang w:val="en"/>
        </w:rPr>
        <w:t>Iñaki</w:t>
      </w:r>
      <w:proofErr w:type="spellEnd"/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 F.Trocóniz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3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, Dermot Burke</w:t>
      </w:r>
      <w:r w:rsidRPr="00406E08"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1,2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.</w:t>
      </w:r>
    </w:p>
    <w:p w14:paraId="37E800FD" w14:textId="77777777" w:rsidR="000D7C60" w:rsidRPr="00406E08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 w:rsidRPr="00406E08">
        <w:rPr>
          <w:rFonts w:ascii="Arial" w:hAnsi="Arial" w:cs="Arial"/>
          <w:b/>
          <w:bCs/>
          <w:color w:val="666666"/>
          <w:sz w:val="18"/>
          <w:szCs w:val="18"/>
          <w:lang w:val="en"/>
        </w:rPr>
        <w:t>Affiliations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 xml:space="preserve">: 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ab/>
      </w:r>
    </w:p>
    <w:p w14:paraId="5A7ACADE" w14:textId="77777777" w:rsidR="000D7C60" w:rsidRPr="00406E08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 w:rsidRPr="00406E08">
        <w:rPr>
          <w:rFonts w:ascii="Arial" w:hAnsi="Arial" w:cs="Arial"/>
          <w:color w:val="666666"/>
          <w:sz w:val="18"/>
          <w:szCs w:val="18"/>
          <w:lang w:val="en"/>
        </w:rPr>
        <w:t>1</w:t>
      </w:r>
      <w:r>
        <w:rPr>
          <w:rFonts w:ascii="Arial" w:hAnsi="Arial" w:cs="Arial"/>
          <w:color w:val="666666"/>
          <w:sz w:val="18"/>
          <w:szCs w:val="18"/>
          <w:lang w:val="en"/>
        </w:rPr>
        <w:t>-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Leeds Teaching Hospitals NHS Trust, Leeds, UK</w:t>
      </w:r>
    </w:p>
    <w:p w14:paraId="33C58223" w14:textId="77777777" w:rsidR="000D7C60" w:rsidRPr="00406E08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 w:rsidRPr="00406E08">
        <w:rPr>
          <w:rFonts w:ascii="Arial" w:hAnsi="Arial" w:cs="Arial"/>
          <w:color w:val="666666"/>
          <w:sz w:val="18"/>
          <w:szCs w:val="18"/>
          <w:lang w:val="en"/>
        </w:rPr>
        <w:t>2</w:t>
      </w:r>
      <w:r>
        <w:rPr>
          <w:rFonts w:ascii="Arial" w:hAnsi="Arial" w:cs="Arial"/>
          <w:color w:val="666666"/>
          <w:sz w:val="18"/>
          <w:szCs w:val="18"/>
          <w:lang w:val="en"/>
        </w:rPr>
        <w:t>-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University of Leeds, Leeds LS3 1EX</w:t>
      </w:r>
    </w:p>
    <w:p w14:paraId="3B1E4A3D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 w:rsidRPr="00406E08">
        <w:rPr>
          <w:rFonts w:ascii="Arial" w:hAnsi="Arial" w:cs="Arial"/>
          <w:color w:val="666666"/>
          <w:sz w:val="18"/>
          <w:szCs w:val="18"/>
          <w:lang w:val="en"/>
        </w:rPr>
        <w:t>3</w:t>
      </w:r>
      <w:r>
        <w:rPr>
          <w:rFonts w:ascii="Arial" w:hAnsi="Arial" w:cs="Arial"/>
          <w:color w:val="666666"/>
          <w:sz w:val="18"/>
          <w:szCs w:val="18"/>
          <w:lang w:val="en"/>
        </w:rPr>
        <w:t>-</w:t>
      </w:r>
      <w:r w:rsidRPr="00406E08">
        <w:rPr>
          <w:rFonts w:ascii="Arial" w:hAnsi="Arial" w:cs="Arial"/>
          <w:color w:val="666666"/>
          <w:sz w:val="18"/>
          <w:szCs w:val="18"/>
          <w:lang w:val="en"/>
        </w:rPr>
        <w:t>Department of Pharmacy and Pharmaceutical Technology, University of Navarra, Pamplona, Spain</w:t>
      </w:r>
    </w:p>
    <w:p w14:paraId="1412D19E" w14:textId="77777777" w:rsidR="000D7C60" w:rsidRPr="00406E08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-GB"/>
        </w:rPr>
      </w:pPr>
      <w:r w:rsidRPr="00406E08">
        <w:rPr>
          <w:rFonts w:ascii="Arial" w:hAnsi="Arial" w:cs="Arial"/>
          <w:b/>
          <w:color w:val="666666"/>
          <w:sz w:val="18"/>
          <w:szCs w:val="18"/>
          <w:lang w:val="en-GB"/>
        </w:rPr>
        <w:t xml:space="preserve">*Correspondence: </w:t>
      </w:r>
      <w:r w:rsidRPr="00406E08">
        <w:rPr>
          <w:rFonts w:ascii="Arial" w:hAnsi="Arial" w:cs="Arial"/>
          <w:color w:val="666666"/>
          <w:sz w:val="18"/>
          <w:szCs w:val="18"/>
          <w:lang w:val="en-GB"/>
        </w:rPr>
        <w:t>Dr Andrew Kirby, Old Medical School, Leeds General Infirmary, Leeds, LS1 3EX. Tel: 0113 3923929. E-mail: a.kirby@leeds.ac.uk</w:t>
      </w:r>
    </w:p>
    <w:p w14:paraId="31004A81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</w:p>
    <w:p w14:paraId="733701DD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lang w:val="en-GB"/>
        </w:rPr>
      </w:pPr>
    </w:p>
    <w:p w14:paraId="204F74AC" w14:textId="77777777" w:rsidR="000D7C60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lang w:val="en-GB"/>
        </w:rPr>
      </w:pPr>
    </w:p>
    <w:p w14:paraId="233BA7DA" w14:textId="77777777" w:rsidR="000D7C60" w:rsidRPr="00DC7ECE" w:rsidRDefault="000D7C60" w:rsidP="00B85BFF">
      <w:pPr>
        <w:pStyle w:val="Body"/>
        <w:spacing w:after="0" w:line="480" w:lineRule="auto"/>
        <w:jc w:val="both"/>
        <w:rPr>
          <w:rFonts w:ascii="Arial" w:hAnsi="Arial" w:cs="Arial"/>
          <w:b/>
          <w:bCs/>
          <w:lang w:val="en-GB"/>
        </w:rPr>
      </w:pPr>
    </w:p>
    <w:p w14:paraId="42A326F8" w14:textId="77777777" w:rsidR="000D7C60" w:rsidRDefault="000D7C60"/>
    <w:p w14:paraId="081ACA98" w14:textId="77777777" w:rsidR="00B85BFF" w:rsidRDefault="00B85BFF"/>
    <w:sectPr w:rsidR="00B85BFF" w:rsidSect="00B85BFF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6705B" w14:textId="77777777" w:rsidR="00F952CE" w:rsidRDefault="00F952CE" w:rsidP="00AA7979">
      <w:pPr>
        <w:spacing w:after="0" w:line="240" w:lineRule="auto"/>
      </w:pPr>
      <w:r>
        <w:separator/>
      </w:r>
    </w:p>
  </w:endnote>
  <w:endnote w:type="continuationSeparator" w:id="0">
    <w:p w14:paraId="55DB6B73" w14:textId="77777777" w:rsidR="00F952CE" w:rsidRDefault="00F952CE" w:rsidP="00AA7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6479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1EF5C0" w14:textId="1467E3FF" w:rsidR="00AA7979" w:rsidRDefault="00AA79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30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C68D09" w14:textId="77777777" w:rsidR="00AA7979" w:rsidRDefault="00AA79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D6584" w14:textId="77777777" w:rsidR="00F952CE" w:rsidRDefault="00F952CE" w:rsidP="00AA7979">
      <w:pPr>
        <w:spacing w:after="0" w:line="240" w:lineRule="auto"/>
      </w:pPr>
      <w:r>
        <w:separator/>
      </w:r>
    </w:p>
  </w:footnote>
  <w:footnote w:type="continuationSeparator" w:id="0">
    <w:p w14:paraId="13E581F0" w14:textId="77777777" w:rsidR="00F952CE" w:rsidRDefault="00F952CE" w:rsidP="00AA7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8234D"/>
    <w:multiLevelType w:val="hybridMultilevel"/>
    <w:tmpl w:val="BE6A7990"/>
    <w:lvl w:ilvl="0" w:tplc="9DFA2188">
      <w:start w:val="25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890E24"/>
    <w:multiLevelType w:val="hybridMultilevel"/>
    <w:tmpl w:val="4C641646"/>
    <w:lvl w:ilvl="0" w:tplc="2FF4F8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6C51B9"/>
    <w:multiLevelType w:val="hybridMultilevel"/>
    <w:tmpl w:val="3FF2A350"/>
    <w:lvl w:ilvl="0" w:tplc="E22C36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B36617"/>
    <w:multiLevelType w:val="hybridMultilevel"/>
    <w:tmpl w:val="5EECF976"/>
    <w:lvl w:ilvl="0" w:tplc="7542DBAE">
      <w:start w:val="27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96428F"/>
    <w:multiLevelType w:val="hybridMultilevel"/>
    <w:tmpl w:val="338E1B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EF38F6"/>
    <w:multiLevelType w:val="hybridMultilevel"/>
    <w:tmpl w:val="E822E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917BC1"/>
    <w:multiLevelType w:val="hybridMultilevel"/>
    <w:tmpl w:val="4630F212"/>
    <w:lvl w:ilvl="0" w:tplc="2FF4F884">
      <w:start w:val="2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D7C60"/>
    <w:rsid w:val="000248C9"/>
    <w:rsid w:val="00034FC0"/>
    <w:rsid w:val="000D7C60"/>
    <w:rsid w:val="00120937"/>
    <w:rsid w:val="00121F06"/>
    <w:rsid w:val="00154682"/>
    <w:rsid w:val="001626F6"/>
    <w:rsid w:val="00177297"/>
    <w:rsid w:val="00182DF1"/>
    <w:rsid w:val="001C4826"/>
    <w:rsid w:val="001F53F2"/>
    <w:rsid w:val="00207B20"/>
    <w:rsid w:val="0025318F"/>
    <w:rsid w:val="002C287A"/>
    <w:rsid w:val="003155D5"/>
    <w:rsid w:val="003675E1"/>
    <w:rsid w:val="003C2F0F"/>
    <w:rsid w:val="004132E2"/>
    <w:rsid w:val="0044722F"/>
    <w:rsid w:val="00452F52"/>
    <w:rsid w:val="004868B5"/>
    <w:rsid w:val="004D4E6D"/>
    <w:rsid w:val="004E41E0"/>
    <w:rsid w:val="005676A7"/>
    <w:rsid w:val="00583E77"/>
    <w:rsid w:val="00600D57"/>
    <w:rsid w:val="00666399"/>
    <w:rsid w:val="00695841"/>
    <w:rsid w:val="0071743B"/>
    <w:rsid w:val="00722E55"/>
    <w:rsid w:val="007344A9"/>
    <w:rsid w:val="008631E4"/>
    <w:rsid w:val="008641CE"/>
    <w:rsid w:val="00895CD7"/>
    <w:rsid w:val="008B7B8B"/>
    <w:rsid w:val="009130F9"/>
    <w:rsid w:val="00A22687"/>
    <w:rsid w:val="00A30A80"/>
    <w:rsid w:val="00A62C3E"/>
    <w:rsid w:val="00AA7979"/>
    <w:rsid w:val="00AB1147"/>
    <w:rsid w:val="00B0300A"/>
    <w:rsid w:val="00B12789"/>
    <w:rsid w:val="00B56043"/>
    <w:rsid w:val="00B81A95"/>
    <w:rsid w:val="00B85BFF"/>
    <w:rsid w:val="00BD66F1"/>
    <w:rsid w:val="00C348CF"/>
    <w:rsid w:val="00CC2EE6"/>
    <w:rsid w:val="00D25894"/>
    <w:rsid w:val="00E46997"/>
    <w:rsid w:val="00EB348A"/>
    <w:rsid w:val="00F57985"/>
    <w:rsid w:val="00F6479C"/>
    <w:rsid w:val="00F6780C"/>
    <w:rsid w:val="00F952CE"/>
    <w:rsid w:val="00FD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E7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C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rsid w:val="000D7C6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character" w:customStyle="1" w:styleId="BodyChar">
    <w:name w:val="Body Char"/>
    <w:basedOn w:val="DefaultParagraphFont"/>
    <w:link w:val="Body"/>
    <w:rsid w:val="000D7C60"/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table" w:styleId="TableGrid">
    <w:name w:val="Table Grid"/>
    <w:basedOn w:val="TableNormal"/>
    <w:uiPriority w:val="59"/>
    <w:rsid w:val="000D7C60"/>
    <w:pPr>
      <w:spacing w:after="0" w:line="240" w:lineRule="auto"/>
    </w:pPr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D7C60"/>
    <w:pPr>
      <w:spacing w:after="0" w:line="240" w:lineRule="auto"/>
    </w:pPr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C60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60"/>
    <w:rPr>
      <w:rFonts w:ascii="Arial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7C6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7C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7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C60"/>
  </w:style>
  <w:style w:type="paragraph" w:styleId="Footer">
    <w:name w:val="footer"/>
    <w:basedOn w:val="Normal"/>
    <w:link w:val="FooterChar"/>
    <w:uiPriority w:val="99"/>
    <w:unhideWhenUsed/>
    <w:rsid w:val="000D7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C60"/>
  </w:style>
  <w:style w:type="character" w:styleId="CommentReference">
    <w:name w:val="annotation reference"/>
    <w:basedOn w:val="DefaultParagraphFont"/>
    <w:uiPriority w:val="99"/>
    <w:semiHidden/>
    <w:unhideWhenUsed/>
    <w:rsid w:val="003675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5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5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5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5E1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7729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C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rsid w:val="000D7C6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character" w:customStyle="1" w:styleId="BodyChar">
    <w:name w:val="Body Char"/>
    <w:basedOn w:val="DefaultParagraphFont"/>
    <w:link w:val="Body"/>
    <w:rsid w:val="000D7C60"/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table" w:styleId="TableGrid">
    <w:name w:val="Table Grid"/>
    <w:basedOn w:val="TableNormal"/>
    <w:uiPriority w:val="59"/>
    <w:rsid w:val="000D7C60"/>
    <w:pPr>
      <w:spacing w:after="0" w:line="240" w:lineRule="auto"/>
    </w:pPr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D7C60"/>
    <w:pPr>
      <w:spacing w:after="0" w:line="240" w:lineRule="auto"/>
    </w:pPr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C60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60"/>
    <w:rPr>
      <w:rFonts w:ascii="Arial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7C6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7C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7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C60"/>
  </w:style>
  <w:style w:type="paragraph" w:styleId="Footer">
    <w:name w:val="footer"/>
    <w:basedOn w:val="Normal"/>
    <w:link w:val="FooterChar"/>
    <w:uiPriority w:val="99"/>
    <w:unhideWhenUsed/>
    <w:rsid w:val="000D7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C60"/>
  </w:style>
  <w:style w:type="character" w:styleId="CommentReference">
    <w:name w:val="annotation reference"/>
    <w:basedOn w:val="DefaultParagraphFont"/>
    <w:uiPriority w:val="99"/>
    <w:semiHidden/>
    <w:unhideWhenUsed/>
    <w:rsid w:val="003675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5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5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5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5E1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772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3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eucas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3C366-9CE5-43C5-ADA6-11A1E85F3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1060</Words>
  <Characters>6042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Leeds</Company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medakir</dc:creator>
  <cp:lastModifiedBy>medakir</cp:lastModifiedBy>
  <cp:revision>3</cp:revision>
  <dcterms:created xsi:type="dcterms:W3CDTF">2018-10-09T08:35:00Z</dcterms:created>
  <dcterms:modified xsi:type="dcterms:W3CDTF">2018-10-11T09:25:00Z</dcterms:modified>
</cp:coreProperties>
</file>