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A9063" w14:textId="0217D647" w:rsidR="00746F2D" w:rsidRPr="00746F2D" w:rsidRDefault="00746F2D" w:rsidP="00746F2D">
      <w:pPr>
        <w:spacing w:after="0" w:line="360" w:lineRule="auto"/>
        <w:rPr>
          <w:rFonts w:ascii="Times New Roman" w:hAnsi="Times New Roman" w:cs="Times New Roman"/>
          <w:b/>
          <w:color w:val="FF0000"/>
          <w:lang w:val="en-US"/>
        </w:rPr>
      </w:pPr>
      <w:r w:rsidRPr="00746F2D">
        <w:rPr>
          <w:rFonts w:ascii="Times New Roman" w:hAnsi="Times New Roman" w:cs="Times New Roman"/>
          <w:b/>
          <w:color w:val="FF0000"/>
          <w:lang w:val="en-US"/>
        </w:rPr>
        <w:t xml:space="preserve">Supplementary file. </w:t>
      </w:r>
      <w:r w:rsidRPr="00746F2D">
        <w:rPr>
          <w:rFonts w:ascii="Times New Roman" w:hAnsi="Times New Roman" w:cs="Times New Roman"/>
          <w:color w:val="FF0000"/>
          <w:lang w:val="en-US"/>
        </w:rPr>
        <w:t>Sensitivity analysis</w:t>
      </w:r>
      <w:r>
        <w:rPr>
          <w:rFonts w:ascii="Times New Roman" w:hAnsi="Times New Roman" w:cs="Times New Roman"/>
          <w:color w:val="FF0000"/>
          <w:lang w:val="en-US"/>
        </w:rPr>
        <w:t xml:space="preserve"> among patients under 70 years (sensitivity analysis 1) and over 90 years (sensitivity analysis 2)</w:t>
      </w:r>
      <w:r w:rsidRPr="00746F2D">
        <w:rPr>
          <w:rFonts w:ascii="Times New Roman" w:hAnsi="Times New Roman" w:cs="Times New Roman"/>
          <w:color w:val="FF0000"/>
          <w:lang w:val="en-US"/>
        </w:rPr>
        <w:t>.</w:t>
      </w:r>
    </w:p>
    <w:p w14:paraId="1841E0A3" w14:textId="77777777" w:rsidR="00746F2D" w:rsidRDefault="00746F2D" w:rsidP="00746F2D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199361CE" w14:textId="77777777" w:rsidR="00A86018" w:rsidRPr="00E123F3" w:rsidRDefault="00670EB5" w:rsidP="00746F2D">
      <w:pPr>
        <w:spacing w:after="0" w:line="360" w:lineRule="auto"/>
        <w:rPr>
          <w:rFonts w:ascii="Times New Roman" w:hAnsi="Times New Roman" w:cs="Times New Roman"/>
          <w:b/>
          <w:color w:val="FF0000"/>
          <w:lang w:val="en-US"/>
        </w:rPr>
      </w:pPr>
      <w:bookmarkStart w:id="0" w:name="_GoBack"/>
      <w:r w:rsidRPr="00E123F3">
        <w:rPr>
          <w:rFonts w:ascii="Times New Roman" w:hAnsi="Times New Roman" w:cs="Times New Roman"/>
          <w:b/>
          <w:color w:val="FF0000"/>
          <w:lang w:val="en-US"/>
        </w:rPr>
        <w:t>Sensitivity</w:t>
      </w:r>
      <w:r w:rsidR="00626B6A" w:rsidRPr="00E123F3">
        <w:rPr>
          <w:rFonts w:ascii="Times New Roman" w:hAnsi="Times New Roman" w:cs="Times New Roman"/>
          <w:b/>
          <w:color w:val="FF0000"/>
          <w:lang w:val="en-US"/>
        </w:rPr>
        <w:t xml:space="preserve"> analysis 1</w:t>
      </w:r>
    </w:p>
    <w:p w14:paraId="461BE830" w14:textId="77777777" w:rsidR="00B34B47" w:rsidRPr="00E123F3" w:rsidRDefault="00B34B47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</w:p>
    <w:p w14:paraId="29B9B663" w14:textId="76840495" w:rsidR="00B34B47" w:rsidRPr="00E123F3" w:rsidRDefault="006A12A2" w:rsidP="00E123F3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 xml:space="preserve">Comparison between qSOFA and MqSOFA among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the subgroups of 169 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 xml:space="preserve">patients </w:t>
      </w:r>
      <w:r w:rsidRPr="00E123F3">
        <w:rPr>
          <w:rFonts w:ascii="Times New Roman" w:hAnsi="Times New Roman" w:cs="Times New Roman"/>
          <w:color w:val="FF0000"/>
          <w:lang w:val="en-US"/>
        </w:rPr>
        <w:t>&lt;70 years.</w:t>
      </w:r>
    </w:p>
    <w:p w14:paraId="5496CB7B" w14:textId="77777777" w:rsidR="006A12A2" w:rsidRPr="00E123F3" w:rsidRDefault="006A12A2" w:rsidP="00E123F3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</w:p>
    <w:p w14:paraId="38090D85" w14:textId="261B9B0F" w:rsidR="006A12A2" w:rsidRPr="00E123F3" w:rsidRDefault="006A12A2" w:rsidP="00E123F3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GB"/>
        </w:rPr>
      </w:pPr>
      <w:bookmarkStart w:id="1" w:name="_Hlk53042981"/>
      <w:r w:rsidRPr="00E123F3">
        <w:rPr>
          <w:rFonts w:ascii="Times New Roman" w:hAnsi="Times New Roman" w:cs="Times New Roman"/>
          <w:b/>
          <w:color w:val="FF0000"/>
          <w:lang w:val="en-GB"/>
        </w:rPr>
        <w:t>Table S1.</w:t>
      </w:r>
      <w:r w:rsidRPr="00E123F3">
        <w:rPr>
          <w:rFonts w:ascii="Times New Roman" w:hAnsi="Times New Roman" w:cs="Times New Roman"/>
          <w:color w:val="FF0000"/>
          <w:lang w:val="en-GB"/>
        </w:rPr>
        <w:t xml:space="preserve"> Logistic regression analysis of in-hospital </w:t>
      </w:r>
      <w:r w:rsidR="00E123F3" w:rsidRPr="00E123F3">
        <w:rPr>
          <w:rFonts w:ascii="Times New Roman" w:hAnsi="Times New Roman" w:cs="Times New Roman"/>
          <w:color w:val="FF0000"/>
          <w:lang w:val="en-GB"/>
        </w:rPr>
        <w:t>mortality in patients &lt;70 years</w:t>
      </w:r>
      <w:r w:rsidRPr="00E123F3">
        <w:rPr>
          <w:rFonts w:ascii="Times New Roman" w:hAnsi="Times New Roman" w:cs="Times New Roman"/>
          <w:color w:val="FF0000"/>
          <w:lang w:val="en-GB"/>
        </w:rPr>
        <w:t>.</w:t>
      </w:r>
      <w:bookmarkEnd w:id="1"/>
      <w:r w:rsidRPr="00E123F3">
        <w:rPr>
          <w:rFonts w:ascii="Times New Roman" w:hAnsi="Times New Roman" w:cs="Times New Roman"/>
          <w:color w:val="FF0000"/>
          <w:lang w:val="en-GB"/>
        </w:rPr>
        <w:t xml:space="preserve"> OR for one-unit increase in the score.</w:t>
      </w:r>
    </w:p>
    <w:tbl>
      <w:tblPr>
        <w:tblW w:w="97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454"/>
        <w:gridCol w:w="1454"/>
        <w:gridCol w:w="1454"/>
        <w:gridCol w:w="1600"/>
        <w:gridCol w:w="1540"/>
        <w:gridCol w:w="960"/>
      </w:tblGrid>
      <w:tr w:rsidR="00E123F3" w:rsidRPr="00E123F3" w14:paraId="57BDAA9D" w14:textId="77777777" w:rsidTr="00510FA5">
        <w:trPr>
          <w:trHeight w:val="255"/>
        </w:trPr>
        <w:tc>
          <w:tcPr>
            <w:tcW w:w="1261" w:type="dxa"/>
            <w:noWrap/>
            <w:vAlign w:val="bottom"/>
          </w:tcPr>
          <w:p w14:paraId="4E586701" w14:textId="77777777" w:rsidR="006A12A2" w:rsidRPr="00E123F3" w:rsidRDefault="006A12A2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  <w:lang w:val="en-GB"/>
              </w:rPr>
            </w:pPr>
          </w:p>
        </w:tc>
        <w:tc>
          <w:tcPr>
            <w:tcW w:w="4362" w:type="dxa"/>
            <w:gridSpan w:val="3"/>
            <w:vAlign w:val="bottom"/>
            <w:hideMark/>
          </w:tcPr>
          <w:p w14:paraId="30747A57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Univariate model</w:t>
            </w:r>
          </w:p>
        </w:tc>
        <w:tc>
          <w:tcPr>
            <w:tcW w:w="4100" w:type="dxa"/>
            <w:gridSpan w:val="3"/>
            <w:noWrap/>
            <w:vAlign w:val="bottom"/>
            <w:hideMark/>
          </w:tcPr>
          <w:p w14:paraId="7F86216F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Multivariate/</w:t>
            </w:r>
            <w:proofErr w:type="spellStart"/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age-adjusted</w:t>
            </w:r>
            <w:proofErr w:type="spellEnd"/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model</w:t>
            </w:r>
          </w:p>
        </w:tc>
      </w:tr>
      <w:tr w:rsidR="00E123F3" w:rsidRPr="00E123F3" w14:paraId="4A9F4712" w14:textId="77777777" w:rsidTr="00510FA5">
        <w:trPr>
          <w:trHeight w:val="255"/>
        </w:trPr>
        <w:tc>
          <w:tcPr>
            <w:tcW w:w="1261" w:type="dxa"/>
            <w:noWrap/>
            <w:vAlign w:val="bottom"/>
          </w:tcPr>
          <w:p w14:paraId="22473CA7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454" w:type="dxa"/>
            <w:vAlign w:val="bottom"/>
            <w:hideMark/>
          </w:tcPr>
          <w:p w14:paraId="21EE9090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OR</w:t>
            </w:r>
          </w:p>
        </w:tc>
        <w:tc>
          <w:tcPr>
            <w:tcW w:w="1454" w:type="dxa"/>
            <w:vAlign w:val="bottom"/>
            <w:hideMark/>
          </w:tcPr>
          <w:p w14:paraId="582C9923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95%C.I.</w:t>
            </w:r>
          </w:p>
        </w:tc>
        <w:tc>
          <w:tcPr>
            <w:tcW w:w="1454" w:type="dxa"/>
            <w:vAlign w:val="bottom"/>
            <w:hideMark/>
          </w:tcPr>
          <w:p w14:paraId="41FBAFBA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p</w:t>
            </w:r>
          </w:p>
        </w:tc>
        <w:tc>
          <w:tcPr>
            <w:tcW w:w="1600" w:type="dxa"/>
            <w:noWrap/>
            <w:vAlign w:val="bottom"/>
            <w:hideMark/>
          </w:tcPr>
          <w:p w14:paraId="6F914E81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OR</w:t>
            </w:r>
          </w:p>
        </w:tc>
        <w:tc>
          <w:tcPr>
            <w:tcW w:w="1540" w:type="dxa"/>
            <w:noWrap/>
            <w:vAlign w:val="bottom"/>
            <w:hideMark/>
          </w:tcPr>
          <w:p w14:paraId="347DA632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95%C.I.</w:t>
            </w:r>
          </w:p>
        </w:tc>
        <w:tc>
          <w:tcPr>
            <w:tcW w:w="960" w:type="dxa"/>
            <w:noWrap/>
            <w:vAlign w:val="bottom"/>
            <w:hideMark/>
          </w:tcPr>
          <w:p w14:paraId="535DA567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p</w:t>
            </w:r>
          </w:p>
        </w:tc>
      </w:tr>
      <w:tr w:rsidR="00E123F3" w:rsidRPr="00E123F3" w14:paraId="598E159D" w14:textId="77777777" w:rsidTr="00510FA5">
        <w:trPr>
          <w:trHeight w:val="255"/>
        </w:trPr>
        <w:tc>
          <w:tcPr>
            <w:tcW w:w="1261" w:type="dxa"/>
            <w:noWrap/>
            <w:vAlign w:val="bottom"/>
            <w:hideMark/>
          </w:tcPr>
          <w:p w14:paraId="5B765188" w14:textId="77777777" w:rsidR="006A12A2" w:rsidRPr="00E123F3" w:rsidRDefault="006A12A2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qSOFA</w:t>
            </w:r>
          </w:p>
        </w:tc>
        <w:tc>
          <w:tcPr>
            <w:tcW w:w="1454" w:type="dxa"/>
            <w:hideMark/>
          </w:tcPr>
          <w:p w14:paraId="6522BFFF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2.56</w:t>
            </w:r>
          </w:p>
        </w:tc>
        <w:tc>
          <w:tcPr>
            <w:tcW w:w="1454" w:type="dxa"/>
            <w:hideMark/>
          </w:tcPr>
          <w:p w14:paraId="012C8191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1.70 – 3.85</w:t>
            </w:r>
          </w:p>
        </w:tc>
        <w:tc>
          <w:tcPr>
            <w:tcW w:w="1454" w:type="dxa"/>
            <w:hideMark/>
          </w:tcPr>
          <w:p w14:paraId="237348AE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1600" w:type="dxa"/>
            <w:noWrap/>
            <w:vAlign w:val="bottom"/>
            <w:hideMark/>
          </w:tcPr>
          <w:p w14:paraId="18B80D1D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2.58</w:t>
            </w:r>
          </w:p>
        </w:tc>
        <w:tc>
          <w:tcPr>
            <w:tcW w:w="1540" w:type="dxa"/>
            <w:noWrap/>
            <w:vAlign w:val="bottom"/>
            <w:hideMark/>
          </w:tcPr>
          <w:p w14:paraId="67DBBE9A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1.71 – 3.89</w:t>
            </w:r>
          </w:p>
        </w:tc>
        <w:tc>
          <w:tcPr>
            <w:tcW w:w="960" w:type="dxa"/>
            <w:noWrap/>
            <w:vAlign w:val="bottom"/>
            <w:hideMark/>
          </w:tcPr>
          <w:p w14:paraId="742C10D1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</w:tr>
      <w:tr w:rsidR="00E123F3" w:rsidRPr="00E123F3" w14:paraId="251EEAAF" w14:textId="77777777" w:rsidTr="00510FA5">
        <w:trPr>
          <w:trHeight w:val="270"/>
        </w:trPr>
        <w:tc>
          <w:tcPr>
            <w:tcW w:w="1261" w:type="dxa"/>
            <w:noWrap/>
            <w:vAlign w:val="bottom"/>
            <w:hideMark/>
          </w:tcPr>
          <w:p w14:paraId="3AE01342" w14:textId="77777777" w:rsidR="006A12A2" w:rsidRPr="00E123F3" w:rsidRDefault="006A12A2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MqSOFA</w:t>
            </w:r>
          </w:p>
        </w:tc>
        <w:tc>
          <w:tcPr>
            <w:tcW w:w="1454" w:type="dxa"/>
            <w:hideMark/>
          </w:tcPr>
          <w:p w14:paraId="414FA20B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2.42</w:t>
            </w:r>
          </w:p>
        </w:tc>
        <w:tc>
          <w:tcPr>
            <w:tcW w:w="1454" w:type="dxa"/>
            <w:hideMark/>
          </w:tcPr>
          <w:p w14:paraId="27085C62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1.78 – 3.29</w:t>
            </w:r>
          </w:p>
        </w:tc>
        <w:tc>
          <w:tcPr>
            <w:tcW w:w="1454" w:type="dxa"/>
            <w:hideMark/>
          </w:tcPr>
          <w:p w14:paraId="06CCF405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600" w:type="dxa"/>
            <w:noWrap/>
            <w:vAlign w:val="bottom"/>
            <w:hideMark/>
          </w:tcPr>
          <w:p w14:paraId="7FBA242D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2.41</w:t>
            </w:r>
          </w:p>
        </w:tc>
        <w:tc>
          <w:tcPr>
            <w:tcW w:w="1540" w:type="dxa"/>
            <w:noWrap/>
            <w:vAlign w:val="bottom"/>
            <w:hideMark/>
          </w:tcPr>
          <w:p w14:paraId="230AD3AD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1.78 – 3.28</w:t>
            </w:r>
          </w:p>
        </w:tc>
        <w:tc>
          <w:tcPr>
            <w:tcW w:w="960" w:type="dxa"/>
            <w:noWrap/>
            <w:vAlign w:val="bottom"/>
            <w:hideMark/>
          </w:tcPr>
          <w:p w14:paraId="71675B1A" w14:textId="77777777" w:rsidR="006A12A2" w:rsidRPr="00E123F3" w:rsidRDefault="006A12A2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</w:tbl>
    <w:p w14:paraId="2E1E0754" w14:textId="77777777" w:rsidR="006A12A2" w:rsidRPr="00E123F3" w:rsidRDefault="006A12A2" w:rsidP="00746F2D">
      <w:pPr>
        <w:spacing w:after="0" w:line="360" w:lineRule="auto"/>
        <w:rPr>
          <w:rFonts w:ascii="Times New Roman" w:eastAsia="Calibri" w:hAnsi="Times New Roman" w:cs="Times New Roman"/>
          <w:color w:val="FF0000"/>
          <w:lang w:val="en-US"/>
        </w:rPr>
      </w:pPr>
    </w:p>
    <w:p w14:paraId="510BED7E" w14:textId="77777777" w:rsidR="006A12A2" w:rsidRPr="00E123F3" w:rsidRDefault="006A12A2" w:rsidP="00746F2D">
      <w:pPr>
        <w:spacing w:after="0" w:line="360" w:lineRule="auto"/>
        <w:rPr>
          <w:rFonts w:ascii="Times New Roman" w:eastAsia="Calibri" w:hAnsi="Times New Roman" w:cs="Times New Roman"/>
          <w:color w:val="FF0000"/>
        </w:rPr>
      </w:pPr>
    </w:p>
    <w:p w14:paraId="51A2DBA8" w14:textId="77777777" w:rsidR="006A12A2" w:rsidRPr="00E123F3" w:rsidRDefault="006A12A2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eastAsia="it-IT"/>
        </w:rPr>
        <w:drawing>
          <wp:inline distT="0" distB="0" distL="0" distR="0" wp14:anchorId="106F4621" wp14:editId="17E219FC">
            <wp:extent cx="4474800" cy="3276000"/>
            <wp:effectExtent l="0" t="0" r="254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00" cy="32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1908C" w14:textId="5F02CF21" w:rsidR="006A12A2" w:rsidRPr="00E123F3" w:rsidRDefault="006A12A2" w:rsidP="00E123F3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b/>
          <w:color w:val="FF0000"/>
          <w:lang w:val="en-US"/>
        </w:rPr>
        <w:t>Figure S1.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>Comparison of ROC curves of qSOFA and MqSOFA to assess in-hospi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tal mortality (p=0.002), in patients &lt;70 years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>.</w:t>
      </w:r>
    </w:p>
    <w:p w14:paraId="6047C80D" w14:textId="77777777" w:rsidR="00E123F3" w:rsidRPr="00E123F3" w:rsidRDefault="00E123F3" w:rsidP="00E123F3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</w:p>
    <w:p w14:paraId="5301026E" w14:textId="5FF54AE9" w:rsidR="00670EB5" w:rsidRPr="00E123F3" w:rsidRDefault="008C3CEC" w:rsidP="00E123F3">
      <w:pPr>
        <w:spacing w:after="12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b/>
          <w:noProof/>
          <w:color w:val="FF0000"/>
          <w:lang w:val="en"/>
        </w:rPr>
        <w:t>Table</w:t>
      </w:r>
      <w:r w:rsidR="00670EB5" w:rsidRPr="00E123F3">
        <w:rPr>
          <w:rFonts w:ascii="Times New Roman" w:hAnsi="Times New Roman" w:cs="Times New Roman"/>
          <w:b/>
          <w:noProof/>
          <w:color w:val="FF0000"/>
          <w:lang w:val="en"/>
        </w:rPr>
        <w:t xml:space="preserve"> S2.</w:t>
      </w:r>
      <w:r w:rsidR="00670EB5" w:rsidRPr="00E123F3">
        <w:rPr>
          <w:rFonts w:ascii="Times New Roman" w:hAnsi="Times New Roman" w:cs="Times New Roman"/>
          <w:noProof/>
          <w:color w:val="FF0000"/>
          <w:lang w:val="en"/>
        </w:rPr>
        <w:t xml:space="preserve"> Distribution of patients according to qSOFA and MqSOFA &lt; or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≥2, 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in patients &lt;70 years</w:t>
      </w:r>
      <w:r w:rsidR="00670EB5" w:rsidRPr="00E123F3">
        <w:rPr>
          <w:rFonts w:ascii="Times New Roman" w:hAnsi="Times New Roman" w:cs="Times New Roman"/>
          <w:noProof/>
          <w:color w:val="FF0000"/>
          <w:lang w:val="e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6"/>
        <w:gridCol w:w="1351"/>
        <w:gridCol w:w="1348"/>
      </w:tblGrid>
      <w:tr w:rsidR="00E123F3" w:rsidRPr="00E123F3" w14:paraId="57873778" w14:textId="77777777" w:rsidTr="00670EB5">
        <w:trPr>
          <w:trHeight w:val="330"/>
        </w:trPr>
        <w:tc>
          <w:tcPr>
            <w:tcW w:w="1566" w:type="dxa"/>
          </w:tcPr>
          <w:p w14:paraId="68C71199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</w:p>
        </w:tc>
        <w:tc>
          <w:tcPr>
            <w:tcW w:w="1351" w:type="dxa"/>
          </w:tcPr>
          <w:p w14:paraId="37FAFA0B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qSOFA&lt;2</w:t>
            </w:r>
          </w:p>
        </w:tc>
        <w:tc>
          <w:tcPr>
            <w:tcW w:w="1348" w:type="dxa"/>
          </w:tcPr>
          <w:p w14:paraId="32573B35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qSOFA</w:t>
            </w: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≥</w:t>
            </w: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2</w:t>
            </w:r>
          </w:p>
        </w:tc>
      </w:tr>
      <w:tr w:rsidR="00E123F3" w:rsidRPr="00E123F3" w14:paraId="2522B21F" w14:textId="77777777" w:rsidTr="00670EB5">
        <w:trPr>
          <w:trHeight w:val="348"/>
        </w:trPr>
        <w:tc>
          <w:tcPr>
            <w:tcW w:w="1566" w:type="dxa"/>
          </w:tcPr>
          <w:p w14:paraId="7967E0EA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MqSOFA&lt;2</w:t>
            </w:r>
          </w:p>
        </w:tc>
        <w:tc>
          <w:tcPr>
            <w:tcW w:w="1351" w:type="dxa"/>
          </w:tcPr>
          <w:p w14:paraId="212C678C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116</w:t>
            </w:r>
          </w:p>
        </w:tc>
        <w:tc>
          <w:tcPr>
            <w:tcW w:w="1348" w:type="dxa"/>
          </w:tcPr>
          <w:p w14:paraId="3F8D271F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0</w:t>
            </w:r>
          </w:p>
        </w:tc>
      </w:tr>
      <w:tr w:rsidR="00E123F3" w:rsidRPr="00E123F3" w14:paraId="698BA868" w14:textId="77777777" w:rsidTr="00670EB5">
        <w:trPr>
          <w:trHeight w:val="310"/>
        </w:trPr>
        <w:tc>
          <w:tcPr>
            <w:tcW w:w="1566" w:type="dxa"/>
          </w:tcPr>
          <w:p w14:paraId="3F180B48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MqSOFA</w:t>
            </w: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≥</w:t>
            </w: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2</w:t>
            </w:r>
          </w:p>
        </w:tc>
        <w:tc>
          <w:tcPr>
            <w:tcW w:w="1351" w:type="dxa"/>
          </w:tcPr>
          <w:p w14:paraId="18758F97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10</w:t>
            </w:r>
          </w:p>
        </w:tc>
        <w:tc>
          <w:tcPr>
            <w:tcW w:w="1348" w:type="dxa"/>
          </w:tcPr>
          <w:p w14:paraId="711263CD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43</w:t>
            </w:r>
          </w:p>
        </w:tc>
      </w:tr>
    </w:tbl>
    <w:p w14:paraId="0B604218" w14:textId="3FE6212B" w:rsidR="006A12A2" w:rsidRPr="00E123F3" w:rsidRDefault="00670EB5" w:rsidP="00746F2D">
      <w:pPr>
        <w:spacing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b/>
          <w:bCs/>
          <w:color w:val="FF0000"/>
          <w:lang w:val="en-GB"/>
        </w:rPr>
        <w:lastRenderedPageBreak/>
        <w:t>Table S3</w:t>
      </w:r>
      <w:r w:rsidR="006A12A2" w:rsidRPr="00E123F3">
        <w:rPr>
          <w:rFonts w:ascii="Times New Roman" w:hAnsi="Times New Roman" w:cs="Times New Roman"/>
          <w:b/>
          <w:bCs/>
          <w:color w:val="FF0000"/>
          <w:lang w:val="en-GB"/>
        </w:rPr>
        <w:t xml:space="preserve">. </w:t>
      </w:r>
      <w:r w:rsidR="006A12A2" w:rsidRPr="00E123F3">
        <w:rPr>
          <w:rFonts w:ascii="Times New Roman" w:hAnsi="Times New Roman" w:cs="Times New Roman"/>
          <w:color w:val="FF0000"/>
          <w:lang w:val="en-US"/>
        </w:rPr>
        <w:t>Sensitivity, specificity and accuracy of qSOFA≥2 and MqSOFA≥2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, 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in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 xml:space="preserve"> patients &lt;70 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years.</w:t>
      </w:r>
    </w:p>
    <w:tbl>
      <w:tblPr>
        <w:tblW w:w="0" w:type="auto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1231"/>
        <w:gridCol w:w="1243"/>
        <w:gridCol w:w="1279"/>
        <w:gridCol w:w="1279"/>
        <w:gridCol w:w="1279"/>
      </w:tblGrid>
      <w:tr w:rsidR="00E123F3" w:rsidRPr="00E123F3" w14:paraId="7D4C0315" w14:textId="77777777" w:rsidTr="00510FA5">
        <w:tc>
          <w:tcPr>
            <w:tcW w:w="1195" w:type="dxa"/>
            <w:shd w:val="clear" w:color="auto" w:fill="auto"/>
          </w:tcPr>
          <w:p w14:paraId="06D45BA1" w14:textId="77777777" w:rsidR="006A12A2" w:rsidRPr="00E123F3" w:rsidRDefault="006A12A2" w:rsidP="00746F2D">
            <w:pPr>
              <w:spacing w:line="360" w:lineRule="auto"/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1231" w:type="dxa"/>
            <w:shd w:val="clear" w:color="auto" w:fill="auto"/>
          </w:tcPr>
          <w:p w14:paraId="1BCBD8DA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Sensitivity</w:t>
            </w:r>
          </w:p>
        </w:tc>
        <w:tc>
          <w:tcPr>
            <w:tcW w:w="1243" w:type="dxa"/>
            <w:shd w:val="clear" w:color="auto" w:fill="auto"/>
          </w:tcPr>
          <w:p w14:paraId="764AE0DC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Specificity</w:t>
            </w:r>
          </w:p>
        </w:tc>
        <w:tc>
          <w:tcPr>
            <w:tcW w:w="1279" w:type="dxa"/>
            <w:shd w:val="clear" w:color="auto" w:fill="auto"/>
          </w:tcPr>
          <w:p w14:paraId="31A14492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Accuracy</w:t>
            </w:r>
          </w:p>
        </w:tc>
        <w:tc>
          <w:tcPr>
            <w:tcW w:w="1279" w:type="dxa"/>
          </w:tcPr>
          <w:p w14:paraId="12D05734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PPV</w:t>
            </w:r>
          </w:p>
        </w:tc>
        <w:tc>
          <w:tcPr>
            <w:tcW w:w="1279" w:type="dxa"/>
          </w:tcPr>
          <w:p w14:paraId="5DAE2847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NPV</w:t>
            </w:r>
          </w:p>
        </w:tc>
      </w:tr>
      <w:tr w:rsidR="00E123F3" w:rsidRPr="00E123F3" w14:paraId="501B1433" w14:textId="77777777" w:rsidTr="00510FA5">
        <w:tc>
          <w:tcPr>
            <w:tcW w:w="1195" w:type="dxa"/>
            <w:shd w:val="clear" w:color="auto" w:fill="auto"/>
          </w:tcPr>
          <w:p w14:paraId="681F2DEB" w14:textId="77777777" w:rsidR="006A12A2" w:rsidRPr="00E123F3" w:rsidRDefault="006A12A2" w:rsidP="00746F2D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qSOFA</w:t>
            </w:r>
          </w:p>
        </w:tc>
        <w:tc>
          <w:tcPr>
            <w:tcW w:w="1231" w:type="dxa"/>
            <w:shd w:val="clear" w:color="auto" w:fill="auto"/>
          </w:tcPr>
          <w:p w14:paraId="0F3182CA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50.0%</w:t>
            </w:r>
          </w:p>
        </w:tc>
        <w:tc>
          <w:tcPr>
            <w:tcW w:w="1243" w:type="dxa"/>
            <w:shd w:val="clear" w:color="auto" w:fill="auto"/>
          </w:tcPr>
          <w:p w14:paraId="797340DE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81.2%</w:t>
            </w:r>
          </w:p>
        </w:tc>
        <w:tc>
          <w:tcPr>
            <w:tcW w:w="1279" w:type="dxa"/>
            <w:shd w:val="clear" w:color="auto" w:fill="auto"/>
          </w:tcPr>
          <w:p w14:paraId="558C7B69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74.6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0967413E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41.9%</w:t>
            </w:r>
          </w:p>
        </w:tc>
        <w:tc>
          <w:tcPr>
            <w:tcW w:w="1279" w:type="dxa"/>
          </w:tcPr>
          <w:p w14:paraId="593E8FAF" w14:textId="77777777" w:rsidR="006A12A2" w:rsidRPr="00E123F3" w:rsidRDefault="006A12A2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85.7%</w:t>
            </w:r>
          </w:p>
        </w:tc>
      </w:tr>
      <w:tr w:rsidR="00E123F3" w:rsidRPr="00E123F3" w14:paraId="6566B3F3" w14:textId="77777777" w:rsidTr="00510FA5">
        <w:tc>
          <w:tcPr>
            <w:tcW w:w="1195" w:type="dxa"/>
            <w:shd w:val="clear" w:color="auto" w:fill="auto"/>
          </w:tcPr>
          <w:p w14:paraId="39E2CA62" w14:textId="77777777" w:rsidR="006A12A2" w:rsidRPr="00E123F3" w:rsidRDefault="006A12A2" w:rsidP="00746F2D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MqSOFA</w:t>
            </w:r>
          </w:p>
        </w:tc>
        <w:tc>
          <w:tcPr>
            <w:tcW w:w="1231" w:type="dxa"/>
            <w:shd w:val="clear" w:color="auto" w:fill="auto"/>
          </w:tcPr>
          <w:p w14:paraId="4C7AF3FB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66.7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43" w:type="dxa"/>
            <w:shd w:val="clear" w:color="auto" w:fill="auto"/>
          </w:tcPr>
          <w:p w14:paraId="23EED0FB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78.2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1BD3FD22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75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.7%</w:t>
            </w:r>
          </w:p>
        </w:tc>
        <w:tc>
          <w:tcPr>
            <w:tcW w:w="1279" w:type="dxa"/>
          </w:tcPr>
          <w:p w14:paraId="2EA2D3ED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45.3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37A8E505" w14:textId="77777777" w:rsidR="006A12A2" w:rsidRPr="00E123F3" w:rsidRDefault="00A23694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89.7</w:t>
            </w:r>
            <w:r w:rsidR="006A12A2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</w:tr>
    </w:tbl>
    <w:p w14:paraId="301267E4" w14:textId="77777777" w:rsidR="006A12A2" w:rsidRPr="00E123F3" w:rsidRDefault="006A12A2" w:rsidP="00746F2D">
      <w:pPr>
        <w:spacing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>PPV: positive predictive value; NPV: negative predictive value</w:t>
      </w:r>
    </w:p>
    <w:p w14:paraId="4D285DE9" w14:textId="77777777" w:rsidR="00B34B47" w:rsidRPr="00E123F3" w:rsidRDefault="00B34B47" w:rsidP="00746F2D">
      <w:pPr>
        <w:spacing w:line="360" w:lineRule="auto"/>
        <w:rPr>
          <w:rFonts w:ascii="Times New Roman" w:hAnsi="Times New Roman" w:cs="Times New Roman"/>
          <w:color w:val="FF0000"/>
          <w:lang w:val="en-US"/>
        </w:rPr>
      </w:pPr>
    </w:p>
    <w:p w14:paraId="20A78372" w14:textId="77777777" w:rsidR="009A200F" w:rsidRPr="00E123F3" w:rsidRDefault="00B34B47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eastAsia="it-IT"/>
        </w:rPr>
        <w:drawing>
          <wp:inline distT="0" distB="0" distL="0" distR="0" wp14:anchorId="580BA2A6" wp14:editId="516BACCB">
            <wp:extent cx="5114925" cy="37433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A710C" w14:textId="1CA40B2A" w:rsidR="00B34B47" w:rsidRPr="00E123F3" w:rsidRDefault="00B34B47" w:rsidP="00E123F3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b/>
          <w:color w:val="FF0000"/>
          <w:lang w:val="en-US"/>
        </w:rPr>
        <w:t>Figure S2.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123F3">
        <w:rPr>
          <w:rFonts w:ascii="Times New Roman" w:hAnsi="Times New Roman" w:cs="Times New Roman"/>
          <w:color w:val="FF0000"/>
          <w:lang w:val="en-GB"/>
        </w:rPr>
        <w:t>Kaplan-Meier survival curves for in-hospital mortality. Strat</w:t>
      </w:r>
      <w:r w:rsidR="00E123F3" w:rsidRPr="00E123F3">
        <w:rPr>
          <w:rFonts w:ascii="Times New Roman" w:hAnsi="Times New Roman" w:cs="Times New Roman"/>
          <w:color w:val="FF0000"/>
          <w:lang w:val="en-GB"/>
        </w:rPr>
        <w:t>ification of the cohort of patients &lt;70 years</w:t>
      </w:r>
      <w:r w:rsidRPr="00E123F3">
        <w:rPr>
          <w:rFonts w:ascii="Times New Roman" w:hAnsi="Times New Roman" w:cs="Times New Roman"/>
          <w:color w:val="FF0000"/>
          <w:lang w:val="en-GB"/>
        </w:rPr>
        <w:t xml:space="preserve"> into low-risk (qSOFA&lt;2 and MqSOFA&lt;2), reclassified high-risk (qSOFA&lt;2 and MqSOFA≥2) and high-risk groups (qSOFA≥2 and MqSOFA≥2).</w:t>
      </w:r>
    </w:p>
    <w:p w14:paraId="6F7FC1E2" w14:textId="77777777" w:rsidR="00B34B47" w:rsidRPr="00E123F3" w:rsidRDefault="00B34B47" w:rsidP="00746F2D">
      <w:pPr>
        <w:spacing w:after="0" w:line="360" w:lineRule="auto"/>
        <w:rPr>
          <w:rFonts w:ascii="Times New Roman" w:hAnsi="Times New Roman"/>
          <w:color w:val="FF0000"/>
          <w:lang w:val="en-US"/>
        </w:rPr>
      </w:pPr>
    </w:p>
    <w:p w14:paraId="133DE3DB" w14:textId="77777777" w:rsidR="00B34B47" w:rsidRPr="00E123F3" w:rsidRDefault="00B34B47" w:rsidP="00746F2D">
      <w:pPr>
        <w:spacing w:after="0" w:line="360" w:lineRule="auto"/>
        <w:rPr>
          <w:rFonts w:ascii="Times New Roman" w:hAnsi="Times New Roman"/>
          <w:color w:val="FF0000"/>
          <w:lang w:val="en-US"/>
        </w:rPr>
      </w:pPr>
    </w:p>
    <w:p w14:paraId="485AF9A3" w14:textId="7D917B20" w:rsidR="00B34B47" w:rsidRPr="00E123F3" w:rsidRDefault="008C3CEC" w:rsidP="008C3CEC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 xml:space="preserve">Both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score</w:t>
      </w:r>
      <w:r w:rsidRPr="00E123F3">
        <w:rPr>
          <w:rFonts w:ascii="Times New Roman" w:hAnsi="Times New Roman" w:cs="Times New Roman"/>
          <w:color w:val="FF0000"/>
          <w:lang w:val="en-US"/>
        </w:rPr>
        <w:t>s we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 xml:space="preserve">re significant predictors of in-hospital mortality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among patients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&lt;70 years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(Table S1). MqSOFA result</w:t>
      </w:r>
      <w:r w:rsidRPr="00E123F3">
        <w:rPr>
          <w:rFonts w:ascii="Times New Roman" w:hAnsi="Times New Roman" w:cs="Times New Roman"/>
          <w:color w:val="FF0000"/>
          <w:lang w:val="en-US"/>
        </w:rPr>
        <w:t>ed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B34B47" w:rsidRPr="00E123F3">
        <w:rPr>
          <w:rFonts w:ascii="Times New Roman" w:hAnsi="Times New Roman" w:cs="Times New Roman"/>
          <w:color w:val="FF0000"/>
          <w:lang w:val="en-US"/>
        </w:rPr>
        <w:t xml:space="preserve">in a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 xml:space="preserve">higher </w:t>
      </w:r>
      <w:r w:rsidR="00B34B47" w:rsidRPr="00E123F3">
        <w:rPr>
          <w:rFonts w:ascii="Times New Roman" w:hAnsi="Times New Roman" w:cs="Times New Roman"/>
          <w:color w:val="FF0000"/>
          <w:lang w:val="en-US"/>
        </w:rPr>
        <w:t>AUC (</w:t>
      </w:r>
      <w:r w:rsidR="00670EB5" w:rsidRPr="00E123F3">
        <w:rPr>
          <w:rFonts w:ascii="Times New Roman" w:hAnsi="Times New Roman" w:cs="Times New Roman"/>
          <w:i/>
          <w:color w:val="FF0000"/>
          <w:lang w:val="en-US"/>
        </w:rPr>
        <w:t>p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=0.002, </w:t>
      </w:r>
      <w:r w:rsidR="00B34B47" w:rsidRPr="00E123F3">
        <w:rPr>
          <w:rFonts w:ascii="Times New Roman" w:hAnsi="Times New Roman" w:cs="Times New Roman"/>
          <w:color w:val="FF0000"/>
          <w:lang w:val="en-US"/>
        </w:rPr>
        <w:t xml:space="preserve">Figure S1). Considering a score </w:t>
      </w:r>
      <w:r w:rsidR="00B34B47" w:rsidRPr="00E123F3">
        <w:rPr>
          <w:rFonts w:ascii="Times New Roman" w:hAnsi="Times New Roman" w:cs="Times New Roman"/>
          <w:color w:val="FF0000"/>
          <w:lang w:val="en-GB"/>
        </w:rPr>
        <w:t xml:space="preserve">≥2, 10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patients (6%) were reclassified as high-risk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(</w:t>
      </w:r>
      <w:r w:rsidR="00A23694" w:rsidRPr="00E123F3">
        <w:rPr>
          <w:rFonts w:ascii="Times New Roman" w:hAnsi="Times New Roman" w:cs="Times New Roman"/>
          <w:color w:val="FF0000"/>
          <w:lang w:val="en-GB"/>
        </w:rPr>
        <w:t xml:space="preserve">qSOFA&lt;2 and MqSOFA </w:t>
      </w:r>
      <w:r w:rsidR="00A23694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>≥2</w:t>
      </w:r>
      <w:r w:rsidR="00D22559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>) (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Table S2</w:t>
      </w:r>
      <w:r w:rsidR="00A23694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>)</w:t>
      </w:r>
      <w:r w:rsidR="00D22559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 xml:space="preserve">, 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resulting in similar accuracy and an improvement of 17% in sensitivity with a minor reduction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(</w:t>
      </w:r>
      <w:r w:rsidRPr="00E123F3">
        <w:rPr>
          <w:rFonts w:ascii="Times New Roman" w:hAnsi="Times New Roman" w:cs="Times New Roman"/>
          <w:color w:val="FF0000"/>
          <w:lang w:val="en-US"/>
        </w:rPr>
        <w:t>-3%</w:t>
      </w:r>
      <w:r w:rsidRPr="00E123F3">
        <w:rPr>
          <w:rFonts w:ascii="Times New Roman" w:hAnsi="Times New Roman" w:cs="Times New Roman"/>
          <w:color w:val="FF0000"/>
          <w:lang w:val="en-US"/>
        </w:rPr>
        <w:t>) in specificity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(Table S3</w:t>
      </w:r>
      <w:r w:rsidR="00A23694" w:rsidRPr="00E123F3">
        <w:rPr>
          <w:rFonts w:ascii="Times New Roman" w:hAnsi="Times New Roman" w:cs="Times New Roman"/>
          <w:color w:val="FF0000"/>
          <w:lang w:val="en-US"/>
        </w:rPr>
        <w:t>).</w:t>
      </w:r>
      <w:r w:rsidR="00A23694"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 </w:t>
      </w:r>
    </w:p>
    <w:p w14:paraId="6527BB14" w14:textId="1F52761E" w:rsidR="006A12A2" w:rsidRPr="00E123F3" w:rsidRDefault="008C3CEC" w:rsidP="008C3CEC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val="en-US"/>
        </w:rPr>
        <w:t>Survival curves we</w:t>
      </w:r>
      <w:r w:rsidR="00B34B47"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re reported in Figure S2. There was 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a </w:t>
      </w:r>
      <w:r w:rsidR="00B34B47" w:rsidRPr="00E123F3">
        <w:rPr>
          <w:rFonts w:ascii="Times New Roman" w:hAnsi="Times New Roman" w:cs="Times New Roman"/>
          <w:noProof/>
          <w:color w:val="FF0000"/>
          <w:lang w:val="en-US"/>
        </w:rPr>
        <w:t>significant difference between low-risk and the other two groups (</w:t>
      </w:r>
      <w:r w:rsidR="00B34B47" w:rsidRPr="00E123F3">
        <w:rPr>
          <w:rFonts w:ascii="Times New Roman" w:hAnsi="Times New Roman" w:cs="Times New Roman"/>
          <w:i/>
          <w:noProof/>
          <w:color w:val="FF0000"/>
          <w:lang w:val="en-US"/>
        </w:rPr>
        <w:t>p</w:t>
      </w:r>
      <w:r w:rsidR="00B34B47" w:rsidRPr="00E123F3">
        <w:rPr>
          <w:rFonts w:ascii="Times New Roman" w:hAnsi="Times New Roman" w:cs="Times New Roman"/>
          <w:noProof/>
          <w:color w:val="FF0000"/>
          <w:lang w:val="en-US"/>
        </w:rPr>
        <w:t>&lt;0.001), while the difference between reclassified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 </w:t>
      </w:r>
      <w:r w:rsidR="00B34B47" w:rsidRPr="00E123F3">
        <w:rPr>
          <w:rFonts w:ascii="Times New Roman" w:hAnsi="Times New Roman" w:cs="Times New Roman"/>
          <w:noProof/>
          <w:color w:val="FF0000"/>
          <w:lang w:val="en-US"/>
        </w:rPr>
        <w:t>high-risk and high-risk groups was not significant</w:t>
      </w:r>
      <w:r w:rsidR="009A200F"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 (</w:t>
      </w:r>
      <w:r w:rsidR="009A200F" w:rsidRPr="00E123F3">
        <w:rPr>
          <w:rFonts w:ascii="Times New Roman" w:hAnsi="Times New Roman" w:cs="Times New Roman"/>
          <w:i/>
          <w:noProof/>
          <w:color w:val="FF0000"/>
          <w:lang w:val="en-US"/>
        </w:rPr>
        <w:t>p</w:t>
      </w:r>
      <w:r w:rsidR="009A200F" w:rsidRPr="00E123F3">
        <w:rPr>
          <w:rFonts w:ascii="Times New Roman" w:hAnsi="Times New Roman" w:cs="Times New Roman"/>
          <w:noProof/>
          <w:color w:val="FF0000"/>
          <w:lang w:val="en-US"/>
        </w:rPr>
        <w:t>=0.168)</w:t>
      </w:r>
      <w:r w:rsidR="00B34B47" w:rsidRPr="00E123F3">
        <w:rPr>
          <w:rFonts w:ascii="Times New Roman" w:hAnsi="Times New Roman" w:cs="Times New Roman"/>
          <w:noProof/>
          <w:color w:val="FF0000"/>
          <w:lang w:val="en-US"/>
        </w:rPr>
        <w:t>.</w:t>
      </w:r>
    </w:p>
    <w:p w14:paraId="4040D870" w14:textId="48317F84" w:rsidR="006A12A2" w:rsidRPr="00E123F3" w:rsidRDefault="00670EB5" w:rsidP="008C3CEC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noProof/>
          <w:color w:val="FF0000"/>
          <w:lang w:val="en"/>
        </w:rPr>
        <w:t>R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 xml:space="preserve">esults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>in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 xml:space="preserve"> 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 xml:space="preserve">the subgroup of 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 xml:space="preserve">patients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 xml:space="preserve">&lt;70 years 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>were consistent with overall analysis.</w:t>
      </w:r>
    </w:p>
    <w:p w14:paraId="12BC294A" w14:textId="77777777" w:rsidR="009A200F" w:rsidRPr="00E123F3" w:rsidRDefault="009A200F" w:rsidP="008C3CEC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</w:p>
    <w:p w14:paraId="5788C53D" w14:textId="77777777" w:rsidR="009A200F" w:rsidRPr="00E123F3" w:rsidRDefault="009A200F" w:rsidP="00746F2D">
      <w:pPr>
        <w:spacing w:after="0" w:line="360" w:lineRule="auto"/>
        <w:rPr>
          <w:rFonts w:cstheme="minorHAnsi"/>
          <w:noProof/>
          <w:color w:val="FF0000"/>
          <w:lang w:val="en"/>
        </w:rPr>
      </w:pPr>
    </w:p>
    <w:p w14:paraId="35038855" w14:textId="77777777" w:rsidR="00A23694" w:rsidRPr="00E123F3" w:rsidRDefault="00A23694" w:rsidP="00746F2D">
      <w:pPr>
        <w:spacing w:after="0" w:line="360" w:lineRule="auto"/>
        <w:rPr>
          <w:rFonts w:cstheme="minorHAnsi"/>
          <w:noProof/>
          <w:color w:val="FF0000"/>
          <w:lang w:val="en"/>
        </w:rPr>
      </w:pPr>
    </w:p>
    <w:p w14:paraId="6391F02E" w14:textId="77777777" w:rsidR="009A200F" w:rsidRPr="00E123F3" w:rsidRDefault="00670EB5" w:rsidP="00746F2D">
      <w:pPr>
        <w:spacing w:after="0" w:line="36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123F3">
        <w:rPr>
          <w:rFonts w:ascii="Times New Roman" w:hAnsi="Times New Roman" w:cs="Times New Roman"/>
          <w:b/>
          <w:color w:val="FF0000"/>
          <w:lang w:val="en-US"/>
        </w:rPr>
        <w:t>Sensitivity</w:t>
      </w:r>
      <w:r w:rsidR="009A200F" w:rsidRPr="00E123F3">
        <w:rPr>
          <w:rFonts w:ascii="Times New Roman" w:hAnsi="Times New Roman" w:cs="Times New Roman"/>
          <w:b/>
          <w:color w:val="FF0000"/>
          <w:lang w:val="en-US"/>
        </w:rPr>
        <w:t xml:space="preserve"> analysis 2</w:t>
      </w:r>
    </w:p>
    <w:p w14:paraId="70B8039A" w14:textId="77777777" w:rsidR="009A200F" w:rsidRPr="00E123F3" w:rsidRDefault="009A200F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</w:p>
    <w:p w14:paraId="5E6F248D" w14:textId="2EFE34E2" w:rsidR="009A200F" w:rsidRPr="00E123F3" w:rsidRDefault="009A200F" w:rsidP="008C3CEC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 xml:space="preserve">Comparison between qSOFA and MqSOFA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>in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 xml:space="preserve">the subgroup of 199 patients with </w:t>
      </w:r>
      <w:r w:rsidRPr="00E123F3">
        <w:rPr>
          <w:rFonts w:ascii="Times New Roman" w:hAnsi="Times New Roman" w:cs="Times New Roman"/>
          <w:color w:val="FF0000"/>
          <w:lang w:val="en-US"/>
        </w:rPr>
        <w:t>≥9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>0 years</w:t>
      </w:r>
      <w:r w:rsidRPr="00E123F3">
        <w:rPr>
          <w:rFonts w:ascii="Times New Roman" w:hAnsi="Times New Roman" w:cs="Times New Roman"/>
          <w:color w:val="FF0000"/>
          <w:lang w:val="en-US"/>
        </w:rPr>
        <w:t>.</w:t>
      </w:r>
    </w:p>
    <w:p w14:paraId="1520F534" w14:textId="77777777" w:rsidR="009A200F" w:rsidRPr="00E123F3" w:rsidRDefault="009A200F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</w:p>
    <w:p w14:paraId="2C6B9B64" w14:textId="402A95F2" w:rsidR="009A200F" w:rsidRPr="00E123F3" w:rsidRDefault="00670EB5" w:rsidP="008C3CEC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GB"/>
        </w:rPr>
      </w:pPr>
      <w:r w:rsidRPr="00E123F3">
        <w:rPr>
          <w:rFonts w:ascii="Times New Roman" w:hAnsi="Times New Roman" w:cs="Times New Roman"/>
          <w:b/>
          <w:color w:val="FF0000"/>
          <w:lang w:val="en-GB"/>
        </w:rPr>
        <w:t>Table S4</w:t>
      </w:r>
      <w:r w:rsidR="009A200F" w:rsidRPr="00E123F3">
        <w:rPr>
          <w:rFonts w:ascii="Times New Roman" w:hAnsi="Times New Roman" w:cs="Times New Roman"/>
          <w:b/>
          <w:color w:val="FF0000"/>
          <w:lang w:val="en-GB"/>
        </w:rPr>
        <w:t>.</w:t>
      </w:r>
      <w:r w:rsidR="009A200F" w:rsidRPr="00E123F3">
        <w:rPr>
          <w:rFonts w:ascii="Times New Roman" w:hAnsi="Times New Roman" w:cs="Times New Roman"/>
          <w:color w:val="FF0000"/>
          <w:lang w:val="en-GB"/>
        </w:rPr>
        <w:t xml:space="preserve"> Logistic regression analysis of in-hospital mortality </w:t>
      </w:r>
      <w:r w:rsidR="009A200F" w:rsidRPr="00E123F3">
        <w:rPr>
          <w:rFonts w:ascii="Times New Roman" w:hAnsi="Times New Roman" w:cs="Times New Roman"/>
          <w:color w:val="FF0000"/>
          <w:lang w:val="en-US"/>
        </w:rPr>
        <w:t>patients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 xml:space="preserve"> with </w:t>
      </w:r>
      <w:r w:rsidR="009A200F" w:rsidRPr="00E123F3">
        <w:rPr>
          <w:rFonts w:ascii="Times New Roman" w:hAnsi="Times New Roman" w:cs="Times New Roman"/>
          <w:color w:val="FF0000"/>
          <w:lang w:val="en-US"/>
        </w:rPr>
        <w:t>≥90 years</w:t>
      </w:r>
      <w:r w:rsidR="009A200F" w:rsidRPr="00E123F3">
        <w:rPr>
          <w:rFonts w:ascii="Times New Roman" w:hAnsi="Times New Roman" w:cs="Times New Roman"/>
          <w:color w:val="FF0000"/>
          <w:lang w:val="en-GB"/>
        </w:rPr>
        <w:t>. OR for one-unit increase in the score.</w:t>
      </w:r>
    </w:p>
    <w:tbl>
      <w:tblPr>
        <w:tblW w:w="97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454"/>
        <w:gridCol w:w="1454"/>
        <w:gridCol w:w="1454"/>
        <w:gridCol w:w="1600"/>
        <w:gridCol w:w="1540"/>
        <w:gridCol w:w="960"/>
      </w:tblGrid>
      <w:tr w:rsidR="00E123F3" w:rsidRPr="00E123F3" w14:paraId="3E10C072" w14:textId="77777777" w:rsidTr="00510FA5">
        <w:trPr>
          <w:trHeight w:val="255"/>
        </w:trPr>
        <w:tc>
          <w:tcPr>
            <w:tcW w:w="1261" w:type="dxa"/>
            <w:noWrap/>
            <w:vAlign w:val="bottom"/>
          </w:tcPr>
          <w:p w14:paraId="37351A74" w14:textId="77777777" w:rsidR="009A200F" w:rsidRPr="00E123F3" w:rsidRDefault="009A200F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  <w:lang w:val="en-GB"/>
              </w:rPr>
            </w:pPr>
          </w:p>
        </w:tc>
        <w:tc>
          <w:tcPr>
            <w:tcW w:w="4362" w:type="dxa"/>
            <w:gridSpan w:val="3"/>
            <w:vAlign w:val="bottom"/>
            <w:hideMark/>
          </w:tcPr>
          <w:p w14:paraId="0B44A6CA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Univariate model</w:t>
            </w:r>
          </w:p>
        </w:tc>
        <w:tc>
          <w:tcPr>
            <w:tcW w:w="4100" w:type="dxa"/>
            <w:gridSpan w:val="3"/>
            <w:noWrap/>
            <w:vAlign w:val="bottom"/>
            <w:hideMark/>
          </w:tcPr>
          <w:p w14:paraId="63BF5445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Multivariate/</w:t>
            </w:r>
            <w:proofErr w:type="spellStart"/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age-adjusted</w:t>
            </w:r>
            <w:proofErr w:type="spellEnd"/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model</w:t>
            </w:r>
          </w:p>
        </w:tc>
      </w:tr>
      <w:tr w:rsidR="00E123F3" w:rsidRPr="00E123F3" w14:paraId="33BA9E33" w14:textId="77777777" w:rsidTr="00510FA5">
        <w:trPr>
          <w:trHeight w:val="255"/>
        </w:trPr>
        <w:tc>
          <w:tcPr>
            <w:tcW w:w="1261" w:type="dxa"/>
            <w:noWrap/>
            <w:vAlign w:val="bottom"/>
          </w:tcPr>
          <w:p w14:paraId="23B3A60A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454" w:type="dxa"/>
            <w:vAlign w:val="bottom"/>
            <w:hideMark/>
          </w:tcPr>
          <w:p w14:paraId="3DF59231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OR</w:t>
            </w:r>
          </w:p>
        </w:tc>
        <w:tc>
          <w:tcPr>
            <w:tcW w:w="1454" w:type="dxa"/>
            <w:vAlign w:val="bottom"/>
            <w:hideMark/>
          </w:tcPr>
          <w:p w14:paraId="10F6435C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95%C.I.</w:t>
            </w:r>
          </w:p>
        </w:tc>
        <w:tc>
          <w:tcPr>
            <w:tcW w:w="1454" w:type="dxa"/>
            <w:vAlign w:val="bottom"/>
            <w:hideMark/>
          </w:tcPr>
          <w:p w14:paraId="5282E6EE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p</w:t>
            </w:r>
          </w:p>
        </w:tc>
        <w:tc>
          <w:tcPr>
            <w:tcW w:w="1600" w:type="dxa"/>
            <w:noWrap/>
            <w:vAlign w:val="bottom"/>
            <w:hideMark/>
          </w:tcPr>
          <w:p w14:paraId="02E20F62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OR</w:t>
            </w:r>
          </w:p>
        </w:tc>
        <w:tc>
          <w:tcPr>
            <w:tcW w:w="1540" w:type="dxa"/>
            <w:noWrap/>
            <w:vAlign w:val="bottom"/>
            <w:hideMark/>
          </w:tcPr>
          <w:p w14:paraId="3574CAB0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95%C.I.</w:t>
            </w:r>
          </w:p>
        </w:tc>
        <w:tc>
          <w:tcPr>
            <w:tcW w:w="960" w:type="dxa"/>
            <w:noWrap/>
            <w:vAlign w:val="bottom"/>
            <w:hideMark/>
          </w:tcPr>
          <w:p w14:paraId="5C90A299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p</w:t>
            </w:r>
          </w:p>
        </w:tc>
      </w:tr>
      <w:tr w:rsidR="00E123F3" w:rsidRPr="00E123F3" w14:paraId="098ED00B" w14:textId="77777777" w:rsidTr="00510FA5">
        <w:trPr>
          <w:trHeight w:val="255"/>
        </w:trPr>
        <w:tc>
          <w:tcPr>
            <w:tcW w:w="1261" w:type="dxa"/>
            <w:noWrap/>
            <w:vAlign w:val="bottom"/>
            <w:hideMark/>
          </w:tcPr>
          <w:p w14:paraId="1953E378" w14:textId="77777777" w:rsidR="009A200F" w:rsidRPr="00E123F3" w:rsidRDefault="009A200F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qSOFA</w:t>
            </w:r>
          </w:p>
        </w:tc>
        <w:tc>
          <w:tcPr>
            <w:tcW w:w="1454" w:type="dxa"/>
            <w:hideMark/>
          </w:tcPr>
          <w:p w14:paraId="424A3D5F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2.40</w:t>
            </w:r>
          </w:p>
        </w:tc>
        <w:tc>
          <w:tcPr>
            <w:tcW w:w="1454" w:type="dxa"/>
            <w:hideMark/>
          </w:tcPr>
          <w:p w14:paraId="352149FE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1.70 – 3.40</w:t>
            </w:r>
          </w:p>
        </w:tc>
        <w:tc>
          <w:tcPr>
            <w:tcW w:w="1454" w:type="dxa"/>
            <w:hideMark/>
          </w:tcPr>
          <w:p w14:paraId="59205F00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1600" w:type="dxa"/>
            <w:noWrap/>
            <w:vAlign w:val="bottom"/>
            <w:hideMark/>
          </w:tcPr>
          <w:p w14:paraId="49E97903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2.41</w:t>
            </w:r>
          </w:p>
        </w:tc>
        <w:tc>
          <w:tcPr>
            <w:tcW w:w="1540" w:type="dxa"/>
            <w:noWrap/>
            <w:vAlign w:val="bottom"/>
            <w:hideMark/>
          </w:tcPr>
          <w:p w14:paraId="1CD44527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1.70 – 3.41</w:t>
            </w:r>
          </w:p>
        </w:tc>
        <w:tc>
          <w:tcPr>
            <w:tcW w:w="960" w:type="dxa"/>
            <w:noWrap/>
            <w:vAlign w:val="bottom"/>
            <w:hideMark/>
          </w:tcPr>
          <w:p w14:paraId="166DB393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</w:tr>
      <w:tr w:rsidR="00E123F3" w:rsidRPr="00E123F3" w14:paraId="073732CC" w14:textId="77777777" w:rsidTr="00F050D7">
        <w:trPr>
          <w:trHeight w:val="270"/>
        </w:trPr>
        <w:tc>
          <w:tcPr>
            <w:tcW w:w="1261" w:type="dxa"/>
            <w:noWrap/>
            <w:vAlign w:val="bottom"/>
            <w:hideMark/>
          </w:tcPr>
          <w:p w14:paraId="46CFEDF8" w14:textId="77777777" w:rsidR="009A200F" w:rsidRPr="00E123F3" w:rsidRDefault="009A200F" w:rsidP="00746F2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123F3">
              <w:rPr>
                <w:rFonts w:ascii="Times New Roman" w:hAnsi="Times New Roman" w:cs="Times New Roman"/>
                <w:b/>
                <w:bCs/>
                <w:color w:val="FF0000"/>
              </w:rPr>
              <w:t>MqSOFA</w:t>
            </w:r>
          </w:p>
        </w:tc>
        <w:tc>
          <w:tcPr>
            <w:tcW w:w="1454" w:type="dxa"/>
            <w:hideMark/>
          </w:tcPr>
          <w:p w14:paraId="31E910DF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2.50</w:t>
            </w:r>
          </w:p>
        </w:tc>
        <w:tc>
          <w:tcPr>
            <w:tcW w:w="1454" w:type="dxa"/>
            <w:hideMark/>
          </w:tcPr>
          <w:p w14:paraId="55390351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1.90 – 3.28</w:t>
            </w:r>
          </w:p>
        </w:tc>
        <w:tc>
          <w:tcPr>
            <w:tcW w:w="1454" w:type="dxa"/>
            <w:hideMark/>
          </w:tcPr>
          <w:p w14:paraId="07411F22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600" w:type="dxa"/>
            <w:noWrap/>
            <w:hideMark/>
          </w:tcPr>
          <w:p w14:paraId="6854139F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123F3">
              <w:rPr>
                <w:rFonts w:ascii="Times New Roman" w:hAnsi="Times New Roman" w:cs="Times New Roman"/>
                <w:color w:val="FF0000"/>
              </w:rPr>
              <w:t>2.49</w:t>
            </w:r>
          </w:p>
        </w:tc>
        <w:tc>
          <w:tcPr>
            <w:tcW w:w="1540" w:type="dxa"/>
            <w:noWrap/>
            <w:hideMark/>
          </w:tcPr>
          <w:p w14:paraId="7C81A468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1.90 – 3.27</w:t>
            </w:r>
          </w:p>
        </w:tc>
        <w:tc>
          <w:tcPr>
            <w:tcW w:w="960" w:type="dxa"/>
            <w:noWrap/>
            <w:vAlign w:val="bottom"/>
            <w:hideMark/>
          </w:tcPr>
          <w:p w14:paraId="148D2E55" w14:textId="77777777" w:rsidR="009A200F" w:rsidRPr="00E123F3" w:rsidRDefault="009A200F" w:rsidP="00746F2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</w:tbl>
    <w:p w14:paraId="6BA46D43" w14:textId="77777777" w:rsidR="009A200F" w:rsidRPr="00E123F3" w:rsidRDefault="009A200F" w:rsidP="00746F2D">
      <w:pPr>
        <w:spacing w:after="0" w:line="360" w:lineRule="auto"/>
        <w:rPr>
          <w:rFonts w:ascii="Times New Roman" w:eastAsia="Calibri" w:hAnsi="Times New Roman" w:cs="Times New Roman"/>
          <w:color w:val="FF0000"/>
          <w:lang w:val="en-US"/>
        </w:rPr>
      </w:pPr>
    </w:p>
    <w:p w14:paraId="1E00832D" w14:textId="77777777" w:rsidR="009A200F" w:rsidRPr="00E123F3" w:rsidRDefault="009A200F" w:rsidP="00746F2D">
      <w:pPr>
        <w:spacing w:after="0" w:line="360" w:lineRule="auto"/>
        <w:rPr>
          <w:rFonts w:ascii="Times New Roman" w:eastAsia="Calibri" w:hAnsi="Times New Roman" w:cs="Times New Roman"/>
          <w:color w:val="FF0000"/>
        </w:rPr>
      </w:pPr>
    </w:p>
    <w:p w14:paraId="14B5151D" w14:textId="77777777" w:rsidR="009A200F" w:rsidRPr="00E123F3" w:rsidRDefault="009A200F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eastAsia="it-IT"/>
        </w:rPr>
        <w:drawing>
          <wp:inline distT="0" distB="0" distL="0" distR="0" wp14:anchorId="2AD0D691" wp14:editId="28C444F4">
            <wp:extent cx="5114925" cy="3743325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179D" w14:textId="2F17BB30" w:rsidR="009A200F" w:rsidRPr="00E123F3" w:rsidRDefault="00670EB5" w:rsidP="00746F2D">
      <w:pPr>
        <w:spacing w:after="0" w:line="360" w:lineRule="auto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b/>
          <w:color w:val="FF0000"/>
          <w:lang w:val="en-US"/>
        </w:rPr>
        <w:t>Figure S3</w:t>
      </w:r>
      <w:r w:rsidR="009A200F" w:rsidRPr="00E123F3">
        <w:rPr>
          <w:rFonts w:ascii="Times New Roman" w:hAnsi="Times New Roman" w:cs="Times New Roman"/>
          <w:b/>
          <w:color w:val="FF0000"/>
          <w:lang w:val="en-US"/>
        </w:rPr>
        <w:t>.</w:t>
      </w:r>
      <w:r w:rsidR="009A200F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>Comparison of ROC curves of qSOFA and MqSOFA to assess in-hospital mortality (</w:t>
      </w:r>
      <w:r w:rsidR="009A200F" w:rsidRPr="00E123F3">
        <w:rPr>
          <w:rFonts w:ascii="Times New Roman" w:hAnsi="Times New Roman" w:cs="Times New Roman"/>
          <w:i/>
          <w:noProof/>
          <w:color w:val="FF0000"/>
          <w:lang w:val="en"/>
        </w:rPr>
        <w:t>p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>&lt;0.001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 xml:space="preserve">),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>in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 xml:space="preserve"> patients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 xml:space="preserve">with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>years</w:t>
      </w:r>
      <w:r w:rsidR="009A200F" w:rsidRPr="00E123F3">
        <w:rPr>
          <w:rFonts w:ascii="Times New Roman" w:hAnsi="Times New Roman" w:cs="Times New Roman"/>
          <w:noProof/>
          <w:color w:val="FF0000"/>
          <w:lang w:val="en"/>
        </w:rPr>
        <w:t>.</w:t>
      </w:r>
    </w:p>
    <w:p w14:paraId="7367A0F9" w14:textId="77777777" w:rsidR="009A200F" w:rsidRPr="00E123F3" w:rsidRDefault="009A200F" w:rsidP="00746F2D">
      <w:pPr>
        <w:spacing w:after="0" w:line="360" w:lineRule="auto"/>
        <w:rPr>
          <w:rFonts w:ascii="Times New Roman" w:hAnsi="Times New Roman" w:cs="Times New Roman"/>
          <w:noProof/>
          <w:color w:val="FF0000"/>
          <w:lang w:val="en"/>
        </w:rPr>
      </w:pPr>
    </w:p>
    <w:p w14:paraId="6997777A" w14:textId="04311E41" w:rsidR="00670EB5" w:rsidRPr="00E123F3" w:rsidRDefault="00670EB5" w:rsidP="00746F2D">
      <w:pPr>
        <w:spacing w:after="120" w:line="360" w:lineRule="auto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b/>
          <w:noProof/>
          <w:color w:val="FF0000"/>
          <w:lang w:val="en"/>
        </w:rPr>
        <w:t>Tabel S5.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 xml:space="preserve"> Distribution of patients according to qSOFA and MqSOFA &lt; or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≥2,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>in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 xml:space="preserve"> patients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 xml:space="preserve">with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="008C3CEC" w:rsidRPr="00E123F3">
        <w:rPr>
          <w:rFonts w:ascii="Times New Roman" w:hAnsi="Times New Roman" w:cs="Times New Roman"/>
          <w:noProof/>
          <w:color w:val="FF0000"/>
          <w:lang w:val="en"/>
        </w:rPr>
        <w:t>years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6"/>
        <w:gridCol w:w="1351"/>
        <w:gridCol w:w="1348"/>
      </w:tblGrid>
      <w:tr w:rsidR="00E123F3" w:rsidRPr="00E123F3" w14:paraId="66B63665" w14:textId="77777777" w:rsidTr="00510FA5">
        <w:trPr>
          <w:trHeight w:val="330"/>
        </w:trPr>
        <w:tc>
          <w:tcPr>
            <w:tcW w:w="1566" w:type="dxa"/>
          </w:tcPr>
          <w:p w14:paraId="72CF6972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</w:p>
        </w:tc>
        <w:tc>
          <w:tcPr>
            <w:tcW w:w="1351" w:type="dxa"/>
          </w:tcPr>
          <w:p w14:paraId="1A0D2A5C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qSOFA&lt;2</w:t>
            </w:r>
          </w:p>
        </w:tc>
        <w:tc>
          <w:tcPr>
            <w:tcW w:w="1348" w:type="dxa"/>
          </w:tcPr>
          <w:p w14:paraId="061ECD4A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qSOFA</w:t>
            </w: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≥</w:t>
            </w: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2</w:t>
            </w:r>
          </w:p>
        </w:tc>
      </w:tr>
      <w:tr w:rsidR="00E123F3" w:rsidRPr="00E123F3" w14:paraId="0F09C5F9" w14:textId="77777777" w:rsidTr="00670EB5">
        <w:trPr>
          <w:trHeight w:val="268"/>
        </w:trPr>
        <w:tc>
          <w:tcPr>
            <w:tcW w:w="1566" w:type="dxa"/>
          </w:tcPr>
          <w:p w14:paraId="7751A877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lastRenderedPageBreak/>
              <w:t>MqSOFA&lt;2</w:t>
            </w:r>
          </w:p>
        </w:tc>
        <w:tc>
          <w:tcPr>
            <w:tcW w:w="1351" w:type="dxa"/>
          </w:tcPr>
          <w:p w14:paraId="12B8CD07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85</w:t>
            </w:r>
          </w:p>
        </w:tc>
        <w:tc>
          <w:tcPr>
            <w:tcW w:w="1348" w:type="dxa"/>
          </w:tcPr>
          <w:p w14:paraId="569E3951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0</w:t>
            </w:r>
          </w:p>
        </w:tc>
      </w:tr>
      <w:tr w:rsidR="00E123F3" w:rsidRPr="00E123F3" w14:paraId="67B57655" w14:textId="77777777" w:rsidTr="00510FA5">
        <w:trPr>
          <w:trHeight w:val="310"/>
        </w:trPr>
        <w:tc>
          <w:tcPr>
            <w:tcW w:w="1566" w:type="dxa"/>
          </w:tcPr>
          <w:p w14:paraId="04FCAA5E" w14:textId="77777777" w:rsidR="00670EB5" w:rsidRPr="00E123F3" w:rsidRDefault="00670EB5" w:rsidP="00746F2D">
            <w:pPr>
              <w:spacing w:after="120" w:line="360" w:lineRule="auto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MqSOFA</w:t>
            </w:r>
            <w:r w:rsidRPr="00E123F3">
              <w:rPr>
                <w:rFonts w:ascii="Times New Roman" w:hAnsi="Times New Roman" w:cs="Times New Roman"/>
                <w:color w:val="FF0000"/>
                <w:lang w:val="en-US"/>
              </w:rPr>
              <w:t>≥</w:t>
            </w: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2</w:t>
            </w:r>
          </w:p>
        </w:tc>
        <w:tc>
          <w:tcPr>
            <w:tcW w:w="1351" w:type="dxa"/>
          </w:tcPr>
          <w:p w14:paraId="6C208182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19</w:t>
            </w:r>
          </w:p>
        </w:tc>
        <w:tc>
          <w:tcPr>
            <w:tcW w:w="1348" w:type="dxa"/>
          </w:tcPr>
          <w:p w14:paraId="36153C42" w14:textId="77777777" w:rsidR="00670EB5" w:rsidRPr="00E123F3" w:rsidRDefault="00670EB5" w:rsidP="00746F2D">
            <w:pPr>
              <w:spacing w:after="120" w:line="360" w:lineRule="auto"/>
              <w:jc w:val="center"/>
              <w:rPr>
                <w:rFonts w:ascii="Times New Roman" w:hAnsi="Times New Roman" w:cs="Times New Roman"/>
                <w:noProof/>
                <w:color w:val="FF0000"/>
                <w:lang w:val="en"/>
              </w:rPr>
            </w:pPr>
            <w:r w:rsidRPr="00E123F3">
              <w:rPr>
                <w:rFonts w:ascii="Times New Roman" w:hAnsi="Times New Roman" w:cs="Times New Roman"/>
                <w:noProof/>
                <w:color w:val="FF0000"/>
                <w:lang w:val="en"/>
              </w:rPr>
              <w:t>95</w:t>
            </w:r>
          </w:p>
        </w:tc>
      </w:tr>
    </w:tbl>
    <w:p w14:paraId="37898A39" w14:textId="77777777" w:rsidR="00670EB5" w:rsidRPr="00E123F3" w:rsidRDefault="00670EB5" w:rsidP="00746F2D">
      <w:pPr>
        <w:spacing w:after="0" w:line="360" w:lineRule="auto"/>
        <w:rPr>
          <w:rFonts w:ascii="Times New Roman" w:hAnsi="Times New Roman" w:cs="Times New Roman"/>
          <w:noProof/>
          <w:color w:val="FF0000"/>
          <w:lang w:val="en"/>
        </w:rPr>
      </w:pPr>
    </w:p>
    <w:p w14:paraId="32888366" w14:textId="77777777" w:rsidR="009A200F" w:rsidRPr="00E123F3" w:rsidRDefault="009A200F" w:rsidP="00746F2D">
      <w:pPr>
        <w:spacing w:after="0" w:line="360" w:lineRule="auto"/>
        <w:rPr>
          <w:rFonts w:ascii="Times New Roman" w:hAnsi="Times New Roman" w:cs="Times New Roman"/>
          <w:noProof/>
          <w:color w:val="FF0000"/>
          <w:lang w:val="en"/>
        </w:rPr>
      </w:pPr>
    </w:p>
    <w:p w14:paraId="3A25BFF7" w14:textId="5BFF9E33" w:rsidR="009A200F" w:rsidRPr="00E123F3" w:rsidRDefault="00670EB5" w:rsidP="00746F2D">
      <w:pPr>
        <w:spacing w:after="120" w:line="360" w:lineRule="auto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b/>
          <w:bCs/>
          <w:color w:val="FF0000"/>
          <w:lang w:val="en-GB"/>
        </w:rPr>
        <w:t>Table S6</w:t>
      </w:r>
      <w:r w:rsidR="009A200F" w:rsidRPr="00E123F3">
        <w:rPr>
          <w:rFonts w:ascii="Times New Roman" w:hAnsi="Times New Roman" w:cs="Times New Roman"/>
          <w:b/>
          <w:bCs/>
          <w:color w:val="FF0000"/>
          <w:lang w:val="en-GB"/>
        </w:rPr>
        <w:t xml:space="preserve">. </w:t>
      </w:r>
      <w:r w:rsidR="009A200F" w:rsidRPr="00E123F3">
        <w:rPr>
          <w:rFonts w:ascii="Times New Roman" w:hAnsi="Times New Roman" w:cs="Times New Roman"/>
          <w:color w:val="FF0000"/>
          <w:lang w:val="en-US"/>
        </w:rPr>
        <w:t>Sensitivity, specificity and accuracy of qSOFA≥2 and MqSOFA≥2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,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>in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 xml:space="preserve"> patients </w:t>
      </w:r>
      <w:r w:rsidR="008C3CEC" w:rsidRPr="00E123F3">
        <w:rPr>
          <w:rFonts w:ascii="Times New Roman" w:hAnsi="Times New Roman" w:cs="Times New Roman"/>
          <w:color w:val="FF0000"/>
          <w:lang w:val="en-US"/>
        </w:rPr>
        <w:t xml:space="preserve">with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Pr="00E123F3">
        <w:rPr>
          <w:rFonts w:ascii="Times New Roman" w:hAnsi="Times New Roman" w:cs="Times New Roman"/>
          <w:noProof/>
          <w:color w:val="FF0000"/>
          <w:lang w:val="en"/>
        </w:rPr>
        <w:t>years.</w:t>
      </w:r>
    </w:p>
    <w:tbl>
      <w:tblPr>
        <w:tblW w:w="0" w:type="auto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1231"/>
        <w:gridCol w:w="1243"/>
        <w:gridCol w:w="1279"/>
        <w:gridCol w:w="1279"/>
        <w:gridCol w:w="1279"/>
      </w:tblGrid>
      <w:tr w:rsidR="00E123F3" w:rsidRPr="00E123F3" w14:paraId="22DBCEF7" w14:textId="77777777" w:rsidTr="00510FA5">
        <w:tc>
          <w:tcPr>
            <w:tcW w:w="1195" w:type="dxa"/>
            <w:shd w:val="clear" w:color="auto" w:fill="auto"/>
          </w:tcPr>
          <w:p w14:paraId="55422D63" w14:textId="77777777" w:rsidR="009A200F" w:rsidRPr="00E123F3" w:rsidRDefault="009A200F" w:rsidP="00746F2D">
            <w:pPr>
              <w:spacing w:line="360" w:lineRule="auto"/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1231" w:type="dxa"/>
            <w:shd w:val="clear" w:color="auto" w:fill="auto"/>
          </w:tcPr>
          <w:p w14:paraId="66D413D1" w14:textId="77777777" w:rsidR="009A200F" w:rsidRPr="00E123F3" w:rsidRDefault="009A200F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Sensitivity</w:t>
            </w:r>
          </w:p>
        </w:tc>
        <w:tc>
          <w:tcPr>
            <w:tcW w:w="1243" w:type="dxa"/>
            <w:shd w:val="clear" w:color="auto" w:fill="auto"/>
          </w:tcPr>
          <w:p w14:paraId="7109257F" w14:textId="77777777" w:rsidR="009A200F" w:rsidRPr="00E123F3" w:rsidRDefault="009A200F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Specificity</w:t>
            </w:r>
          </w:p>
        </w:tc>
        <w:tc>
          <w:tcPr>
            <w:tcW w:w="1279" w:type="dxa"/>
            <w:shd w:val="clear" w:color="auto" w:fill="auto"/>
          </w:tcPr>
          <w:p w14:paraId="06F05A8C" w14:textId="77777777" w:rsidR="009A200F" w:rsidRPr="00E123F3" w:rsidRDefault="009A200F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Accuracy</w:t>
            </w:r>
          </w:p>
        </w:tc>
        <w:tc>
          <w:tcPr>
            <w:tcW w:w="1279" w:type="dxa"/>
          </w:tcPr>
          <w:p w14:paraId="4DCE656E" w14:textId="77777777" w:rsidR="009A200F" w:rsidRPr="00E123F3" w:rsidRDefault="009A200F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PPV</w:t>
            </w:r>
          </w:p>
        </w:tc>
        <w:tc>
          <w:tcPr>
            <w:tcW w:w="1279" w:type="dxa"/>
          </w:tcPr>
          <w:p w14:paraId="02160C20" w14:textId="77777777" w:rsidR="009A200F" w:rsidRPr="00E123F3" w:rsidRDefault="009A200F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NPV</w:t>
            </w:r>
          </w:p>
        </w:tc>
      </w:tr>
      <w:tr w:rsidR="00E123F3" w:rsidRPr="00E123F3" w14:paraId="1BBF7393" w14:textId="77777777" w:rsidTr="00510FA5">
        <w:tc>
          <w:tcPr>
            <w:tcW w:w="1195" w:type="dxa"/>
            <w:shd w:val="clear" w:color="auto" w:fill="auto"/>
          </w:tcPr>
          <w:p w14:paraId="659F9B11" w14:textId="77777777" w:rsidR="009A200F" w:rsidRPr="00E123F3" w:rsidRDefault="009A200F" w:rsidP="00746F2D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qSOFA</w:t>
            </w:r>
          </w:p>
        </w:tc>
        <w:tc>
          <w:tcPr>
            <w:tcW w:w="1231" w:type="dxa"/>
            <w:shd w:val="clear" w:color="auto" w:fill="auto"/>
          </w:tcPr>
          <w:p w14:paraId="370CDB01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69.9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43" w:type="dxa"/>
            <w:shd w:val="clear" w:color="auto" w:fill="auto"/>
          </w:tcPr>
          <w:p w14:paraId="033A8A90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68.1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77E25794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68.8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4146BB7C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61.1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5193520C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76.0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</w:tr>
      <w:tr w:rsidR="00E123F3" w:rsidRPr="00E123F3" w14:paraId="2A858421" w14:textId="77777777" w:rsidTr="00510FA5">
        <w:tc>
          <w:tcPr>
            <w:tcW w:w="1195" w:type="dxa"/>
            <w:shd w:val="clear" w:color="auto" w:fill="auto"/>
          </w:tcPr>
          <w:p w14:paraId="1AC18062" w14:textId="77777777" w:rsidR="009A200F" w:rsidRPr="00E123F3" w:rsidRDefault="009A200F" w:rsidP="00746F2D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b/>
                <w:color w:val="FF0000"/>
                <w:lang w:val="en-GB"/>
              </w:rPr>
              <w:t>MqSOFA</w:t>
            </w:r>
          </w:p>
        </w:tc>
        <w:tc>
          <w:tcPr>
            <w:tcW w:w="1231" w:type="dxa"/>
            <w:shd w:val="clear" w:color="auto" w:fill="auto"/>
          </w:tcPr>
          <w:p w14:paraId="0C66E900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83.1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43" w:type="dxa"/>
            <w:shd w:val="clear" w:color="auto" w:fill="auto"/>
          </w:tcPr>
          <w:p w14:paraId="63055DB8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61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.2%</w:t>
            </w:r>
          </w:p>
        </w:tc>
        <w:tc>
          <w:tcPr>
            <w:tcW w:w="1279" w:type="dxa"/>
            <w:shd w:val="clear" w:color="auto" w:fill="auto"/>
          </w:tcPr>
          <w:p w14:paraId="5FE948F0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70.4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13A00B03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60.5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  <w:tc>
          <w:tcPr>
            <w:tcW w:w="1279" w:type="dxa"/>
          </w:tcPr>
          <w:p w14:paraId="7DD3342C" w14:textId="77777777" w:rsidR="009A200F" w:rsidRPr="00E123F3" w:rsidRDefault="00D22559" w:rsidP="00746F2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E123F3">
              <w:rPr>
                <w:rFonts w:ascii="Times New Roman" w:hAnsi="Times New Roman" w:cs="Times New Roman"/>
                <w:color w:val="FF0000"/>
                <w:lang w:val="en-GB"/>
              </w:rPr>
              <w:t>83.5</w:t>
            </w:r>
            <w:r w:rsidR="009A200F" w:rsidRPr="00E123F3">
              <w:rPr>
                <w:rFonts w:ascii="Times New Roman" w:hAnsi="Times New Roman" w:cs="Times New Roman"/>
                <w:color w:val="FF0000"/>
                <w:lang w:val="en-GB"/>
              </w:rPr>
              <w:t>%</w:t>
            </w:r>
          </w:p>
        </w:tc>
      </w:tr>
    </w:tbl>
    <w:p w14:paraId="5F2AC179" w14:textId="77777777" w:rsidR="009A200F" w:rsidRPr="00E123F3" w:rsidRDefault="009A200F" w:rsidP="00746F2D">
      <w:pPr>
        <w:spacing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>PPV: positive predictive value; NPV: negative predictive value</w:t>
      </w:r>
    </w:p>
    <w:p w14:paraId="064D36D9" w14:textId="77777777" w:rsidR="009A200F" w:rsidRPr="00E123F3" w:rsidRDefault="009A200F" w:rsidP="00746F2D">
      <w:pPr>
        <w:spacing w:line="360" w:lineRule="auto"/>
        <w:rPr>
          <w:rFonts w:ascii="Times New Roman" w:hAnsi="Times New Roman" w:cs="Times New Roman"/>
          <w:color w:val="FF0000"/>
          <w:lang w:val="en-US"/>
        </w:rPr>
      </w:pPr>
    </w:p>
    <w:p w14:paraId="5B3DC7EC" w14:textId="77777777" w:rsidR="009A200F" w:rsidRPr="00E123F3" w:rsidRDefault="0079099C" w:rsidP="00746F2D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eastAsia="it-IT"/>
        </w:rPr>
        <w:drawing>
          <wp:inline distT="0" distB="0" distL="0" distR="0" wp14:anchorId="0C961B09" wp14:editId="7597EC4D">
            <wp:extent cx="5114925" cy="3743325"/>
            <wp:effectExtent l="0" t="0" r="0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BB8E4" w14:textId="00A8346A" w:rsidR="009A200F" w:rsidRPr="00E123F3" w:rsidRDefault="00D22559" w:rsidP="008C3CEC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E123F3">
        <w:rPr>
          <w:rFonts w:ascii="Times New Roman" w:hAnsi="Times New Roman" w:cs="Times New Roman"/>
          <w:b/>
          <w:color w:val="FF0000"/>
          <w:lang w:val="en-US"/>
        </w:rPr>
        <w:t>Figure S4</w:t>
      </w:r>
      <w:r w:rsidR="009A200F" w:rsidRPr="00E123F3">
        <w:rPr>
          <w:rFonts w:ascii="Times New Roman" w:hAnsi="Times New Roman" w:cs="Times New Roman"/>
          <w:b/>
          <w:color w:val="FF0000"/>
          <w:lang w:val="en-US"/>
        </w:rPr>
        <w:t>.</w:t>
      </w:r>
      <w:r w:rsidR="009A200F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9A200F" w:rsidRPr="00E123F3">
        <w:rPr>
          <w:rFonts w:ascii="Times New Roman" w:hAnsi="Times New Roman" w:cs="Times New Roman"/>
          <w:color w:val="FF0000"/>
          <w:lang w:val="en-GB"/>
        </w:rPr>
        <w:t>Kaplan-Meier survival curves for in-hospital mortality. Stratification of the cohort of patients</w:t>
      </w:r>
      <w:r w:rsidR="008C3CEC" w:rsidRPr="00E123F3">
        <w:rPr>
          <w:rFonts w:ascii="Times New Roman" w:hAnsi="Times New Roman" w:cs="Times New Roman"/>
          <w:color w:val="FF0000"/>
          <w:lang w:val="en-GB"/>
        </w:rPr>
        <w:t xml:space="preserve"> with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="008C3CEC" w:rsidRPr="00E123F3">
        <w:rPr>
          <w:rFonts w:ascii="Times New Roman" w:hAnsi="Times New Roman" w:cs="Times New Roman"/>
          <w:color w:val="FF0000"/>
          <w:lang w:val="en-GB"/>
        </w:rPr>
        <w:t xml:space="preserve">years </w:t>
      </w:r>
      <w:r w:rsidR="009A200F" w:rsidRPr="00E123F3">
        <w:rPr>
          <w:rFonts w:ascii="Times New Roman" w:hAnsi="Times New Roman" w:cs="Times New Roman"/>
          <w:color w:val="FF0000"/>
          <w:lang w:val="en-GB"/>
        </w:rPr>
        <w:t>into low-risk (qSOFA&lt;2 and MqSOFA&lt;2), reclassified high-risk (qSOFA&lt;2 and MqSOFA≥2) and high-risk groups (qSOFA≥2 and MqSOFA≥2).</w:t>
      </w:r>
    </w:p>
    <w:p w14:paraId="19439C00" w14:textId="3A6CF0E6" w:rsidR="00670EB5" w:rsidRPr="00E123F3" w:rsidRDefault="008C3CEC" w:rsidP="00E123F3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-US"/>
        </w:rPr>
      </w:pPr>
      <w:r w:rsidRPr="00E123F3">
        <w:rPr>
          <w:rFonts w:ascii="Times New Roman" w:hAnsi="Times New Roman" w:cs="Times New Roman"/>
          <w:color w:val="FF0000"/>
          <w:lang w:val="en-US"/>
        </w:rPr>
        <w:t xml:space="preserve">Both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score</w:t>
      </w:r>
      <w:r w:rsidRPr="00E123F3">
        <w:rPr>
          <w:rFonts w:ascii="Times New Roman" w:hAnsi="Times New Roman" w:cs="Times New Roman"/>
          <w:color w:val="FF0000"/>
          <w:lang w:val="en-US"/>
        </w:rPr>
        <w:t>s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123F3">
        <w:rPr>
          <w:rFonts w:ascii="Times New Roman" w:hAnsi="Times New Roman" w:cs="Times New Roman"/>
          <w:color w:val="FF0000"/>
          <w:lang w:val="en-US"/>
        </w:rPr>
        <w:t>we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re significant predictors of in-hospital mortality </w:t>
      </w:r>
      <w:r w:rsidRPr="00E123F3">
        <w:rPr>
          <w:rFonts w:ascii="Times New Roman" w:hAnsi="Times New Roman" w:cs="Times New Roman"/>
          <w:color w:val="FF0000"/>
          <w:lang w:val="en-US"/>
        </w:rPr>
        <w:t>in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patients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 with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Pr="00E123F3">
        <w:rPr>
          <w:rFonts w:ascii="Times New Roman" w:hAnsi="Times New Roman" w:cs="Times New Roman"/>
          <w:color w:val="FF0000"/>
          <w:lang w:val="en-GB"/>
        </w:rPr>
        <w:t xml:space="preserve">years 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(Table S4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). MqSOFA result</w:t>
      </w:r>
      <w:r w:rsidRPr="00E123F3">
        <w:rPr>
          <w:rFonts w:ascii="Times New Roman" w:hAnsi="Times New Roman" w:cs="Times New Roman"/>
          <w:color w:val="FF0000"/>
          <w:lang w:val="en-US"/>
        </w:rPr>
        <w:t>ed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in a higher AUC (</w:t>
      </w:r>
      <w:r w:rsidR="00670EB5" w:rsidRPr="00E123F3">
        <w:rPr>
          <w:rFonts w:ascii="Times New Roman" w:hAnsi="Times New Roman" w:cs="Times New Roman"/>
          <w:i/>
          <w:color w:val="FF0000"/>
          <w:lang w:val="en-US"/>
        </w:rPr>
        <w:t>p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&lt;0.001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, 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Figure S3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). Considering a score </w:t>
      </w:r>
      <w:r w:rsidR="00670EB5" w:rsidRPr="00E123F3">
        <w:rPr>
          <w:rFonts w:ascii="Times New Roman" w:hAnsi="Times New Roman" w:cs="Times New Roman"/>
          <w:color w:val="FF0000"/>
          <w:lang w:val="en-GB"/>
        </w:rPr>
        <w:t>≥2, 1</w:t>
      </w:r>
      <w:r w:rsidR="00D22559" w:rsidRPr="00E123F3">
        <w:rPr>
          <w:rFonts w:ascii="Times New Roman" w:hAnsi="Times New Roman" w:cs="Times New Roman"/>
          <w:color w:val="FF0000"/>
          <w:lang w:val="en-GB"/>
        </w:rPr>
        <w:t>9</w:t>
      </w:r>
      <w:r w:rsidR="00670EB5" w:rsidRPr="00E123F3">
        <w:rPr>
          <w:rFonts w:ascii="Times New Roman" w:hAnsi="Times New Roman" w:cs="Times New Roman"/>
          <w:color w:val="FF0000"/>
          <w:lang w:val="en-GB"/>
        </w:rPr>
        <w:t xml:space="preserve">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patients (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10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%) were reclassified as high-risk, (</w:t>
      </w:r>
      <w:r w:rsidR="00670EB5" w:rsidRPr="00E123F3">
        <w:rPr>
          <w:rFonts w:ascii="Times New Roman" w:hAnsi="Times New Roman" w:cs="Times New Roman"/>
          <w:color w:val="FF0000"/>
          <w:lang w:val="en-GB"/>
        </w:rPr>
        <w:t xml:space="preserve">qSOFA&lt;2 and MqSOFA </w:t>
      </w:r>
      <w:r w:rsidR="00670EB5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 xml:space="preserve">≥2) </w:t>
      </w:r>
      <w:r w:rsidR="00D22559" w:rsidRPr="00E123F3">
        <w:rPr>
          <w:rFonts w:ascii="Times New Roman" w:hAnsi="Times New Roman" w:cs="Times New Roman"/>
          <w:color w:val="FF0000"/>
          <w:shd w:val="clear" w:color="auto" w:fill="FFFFFF"/>
          <w:lang w:val="en-GB"/>
        </w:rPr>
        <w:t xml:space="preserve">(Table S5), 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resulting in similar accuracy and an improvement of 1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3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% in sensitivity with a minor reduction 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>(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>-7%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>)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E123F3" w:rsidRPr="00E123F3">
        <w:rPr>
          <w:rFonts w:ascii="Times New Roman" w:hAnsi="Times New Roman" w:cs="Times New Roman"/>
          <w:color w:val="FF0000"/>
          <w:lang w:val="en-US"/>
        </w:rPr>
        <w:t>in specificity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>(Table S6</w:t>
      </w:r>
      <w:r w:rsidR="00670EB5" w:rsidRPr="00E123F3">
        <w:rPr>
          <w:rFonts w:ascii="Times New Roman" w:hAnsi="Times New Roman" w:cs="Times New Roman"/>
          <w:color w:val="FF0000"/>
          <w:lang w:val="en-US"/>
        </w:rPr>
        <w:t>).</w:t>
      </w:r>
      <w:r w:rsidR="00670EB5"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 </w:t>
      </w:r>
    </w:p>
    <w:p w14:paraId="51C45882" w14:textId="5A3C5D34" w:rsidR="00670EB5" w:rsidRPr="00E123F3" w:rsidRDefault="00670EB5" w:rsidP="00E123F3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-US"/>
        </w:rPr>
      </w:pPr>
      <w:r w:rsidRPr="00E123F3">
        <w:rPr>
          <w:rFonts w:ascii="Times New Roman" w:hAnsi="Times New Roman" w:cs="Times New Roman"/>
          <w:noProof/>
          <w:color w:val="FF0000"/>
          <w:lang w:val="en-US"/>
        </w:rPr>
        <w:lastRenderedPageBreak/>
        <w:t xml:space="preserve">Survival </w:t>
      </w:r>
      <w:r w:rsidR="00E123F3" w:rsidRPr="00E123F3">
        <w:rPr>
          <w:rFonts w:ascii="Times New Roman" w:hAnsi="Times New Roman" w:cs="Times New Roman"/>
          <w:noProof/>
          <w:color w:val="FF0000"/>
          <w:lang w:val="en-US"/>
        </w:rPr>
        <w:t>curves we</w:t>
      </w:r>
      <w:r w:rsidR="00727D96" w:rsidRPr="00E123F3">
        <w:rPr>
          <w:rFonts w:ascii="Times New Roman" w:hAnsi="Times New Roman" w:cs="Times New Roman"/>
          <w:noProof/>
          <w:color w:val="FF0000"/>
          <w:lang w:val="en-US"/>
        </w:rPr>
        <w:t>re reported in Figure S4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>. There was significant difference between low-risk and</w:t>
      </w:r>
      <w:r w:rsidR="0079099C" w:rsidRPr="00E123F3">
        <w:rPr>
          <w:rFonts w:ascii="Times New Roman" w:hAnsi="Times New Roman" w:cs="Times New Roman"/>
          <w:noProof/>
          <w:color w:val="FF0000"/>
          <w:lang w:val="en-US"/>
        </w:rPr>
        <w:t xml:space="preserve"> the other two groups (</w:t>
      </w:r>
      <w:r w:rsidR="0079099C" w:rsidRPr="00E123F3">
        <w:rPr>
          <w:rFonts w:ascii="Times New Roman" w:hAnsi="Times New Roman" w:cs="Times New Roman"/>
          <w:i/>
          <w:noProof/>
          <w:color w:val="FF0000"/>
          <w:lang w:val="en-US"/>
        </w:rPr>
        <w:t>p</w:t>
      </w:r>
      <w:r w:rsidR="0079099C" w:rsidRPr="00E123F3">
        <w:rPr>
          <w:rFonts w:ascii="Times New Roman" w:hAnsi="Times New Roman" w:cs="Times New Roman"/>
          <w:noProof/>
          <w:color w:val="FF0000"/>
          <w:lang w:val="en-US"/>
        </w:rPr>
        <w:t>&lt;0.0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>1), while the difference between reclassified-high-risk and high-risk groups was not significant (</w:t>
      </w:r>
      <w:r w:rsidRPr="00E123F3">
        <w:rPr>
          <w:rFonts w:ascii="Times New Roman" w:hAnsi="Times New Roman" w:cs="Times New Roman"/>
          <w:i/>
          <w:noProof/>
          <w:color w:val="FF0000"/>
          <w:lang w:val="en-US"/>
        </w:rPr>
        <w:t>p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>=0.</w:t>
      </w:r>
      <w:r w:rsidR="0079099C" w:rsidRPr="00E123F3">
        <w:rPr>
          <w:rFonts w:ascii="Times New Roman" w:hAnsi="Times New Roman" w:cs="Times New Roman"/>
          <w:noProof/>
          <w:color w:val="FF0000"/>
          <w:lang w:val="en-US"/>
        </w:rPr>
        <w:t>477</w:t>
      </w:r>
      <w:r w:rsidRPr="00E123F3">
        <w:rPr>
          <w:rFonts w:ascii="Times New Roman" w:hAnsi="Times New Roman" w:cs="Times New Roman"/>
          <w:noProof/>
          <w:color w:val="FF0000"/>
          <w:lang w:val="en-US"/>
        </w:rPr>
        <w:t>).</w:t>
      </w:r>
    </w:p>
    <w:p w14:paraId="74844904" w14:textId="70CE6DAD" w:rsidR="00670EB5" w:rsidRPr="00E123F3" w:rsidRDefault="00727D96" w:rsidP="00E123F3">
      <w:pPr>
        <w:spacing w:after="0" w:line="360" w:lineRule="auto"/>
        <w:jc w:val="both"/>
        <w:rPr>
          <w:rFonts w:ascii="Times New Roman" w:hAnsi="Times New Roman" w:cs="Times New Roman"/>
          <w:noProof/>
          <w:color w:val="FF0000"/>
          <w:lang w:val="en"/>
        </w:rPr>
      </w:pPr>
      <w:r w:rsidRPr="00E123F3">
        <w:rPr>
          <w:rFonts w:ascii="Times New Roman" w:hAnsi="Times New Roman" w:cs="Times New Roman"/>
          <w:noProof/>
          <w:color w:val="FF0000"/>
          <w:lang w:val="en-US"/>
        </w:rPr>
        <w:t>R</w:t>
      </w:r>
      <w:r w:rsidR="00670EB5" w:rsidRPr="00E123F3">
        <w:rPr>
          <w:rFonts w:ascii="Times New Roman" w:hAnsi="Times New Roman" w:cs="Times New Roman"/>
          <w:noProof/>
          <w:color w:val="FF0000"/>
          <w:lang w:val="en"/>
        </w:rPr>
        <w:t xml:space="preserve">esults among the subgroup of patients 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with</w:t>
      </w:r>
      <w:r w:rsidR="00670EB5" w:rsidRPr="00E123F3">
        <w:rPr>
          <w:rFonts w:ascii="Times New Roman" w:hAnsi="Times New Roman" w:cs="Times New Roman"/>
          <w:noProof/>
          <w:color w:val="FF0000"/>
          <w:lang w:val="en"/>
        </w:rPr>
        <w:t xml:space="preserve"> </w:t>
      </w:r>
      <w:r w:rsidR="00D22559" w:rsidRPr="00E123F3">
        <w:rPr>
          <w:rFonts w:ascii="Times New Roman" w:hAnsi="Times New Roman" w:cs="Times New Roman"/>
          <w:color w:val="FF0000"/>
          <w:lang w:val="en-US"/>
        </w:rPr>
        <w:t xml:space="preserve">≥90 </w:t>
      </w:r>
      <w:r w:rsidR="00E123F3" w:rsidRPr="00E123F3">
        <w:rPr>
          <w:rFonts w:ascii="Times New Roman" w:hAnsi="Times New Roman" w:cs="Times New Roman"/>
          <w:noProof/>
          <w:color w:val="FF0000"/>
          <w:lang w:val="en"/>
        </w:rPr>
        <w:t>years</w:t>
      </w:r>
      <w:r w:rsidR="00670EB5" w:rsidRPr="00E123F3">
        <w:rPr>
          <w:rFonts w:ascii="Times New Roman" w:hAnsi="Times New Roman" w:cs="Times New Roman"/>
          <w:noProof/>
          <w:color w:val="FF0000"/>
          <w:lang w:val="en"/>
        </w:rPr>
        <w:t xml:space="preserve"> were consistent with overall analysis.</w:t>
      </w:r>
    </w:p>
    <w:p w14:paraId="11F21DD6" w14:textId="77777777" w:rsidR="006A12A2" w:rsidRPr="00E123F3" w:rsidRDefault="006A12A2" w:rsidP="00746F2D">
      <w:pPr>
        <w:spacing w:after="0" w:line="360" w:lineRule="auto"/>
        <w:rPr>
          <w:color w:val="FF0000"/>
          <w:lang w:val="en"/>
        </w:rPr>
      </w:pPr>
    </w:p>
    <w:bookmarkEnd w:id="0"/>
    <w:sectPr w:rsidR="006A12A2" w:rsidRPr="00E123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442"/>
    <w:rsid w:val="00626B6A"/>
    <w:rsid w:val="00670EB5"/>
    <w:rsid w:val="006A12A2"/>
    <w:rsid w:val="00727D96"/>
    <w:rsid w:val="00746F2D"/>
    <w:rsid w:val="0079099C"/>
    <w:rsid w:val="008C3CEC"/>
    <w:rsid w:val="009A200F"/>
    <w:rsid w:val="00A23694"/>
    <w:rsid w:val="00A86018"/>
    <w:rsid w:val="00B34B47"/>
    <w:rsid w:val="00D22559"/>
    <w:rsid w:val="00E123F3"/>
    <w:rsid w:val="00E5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DB04"/>
  <w15:chartTrackingRefBased/>
  <w15:docId w15:val="{3AC39FAA-CC13-42E3-9F6E-91D021F7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0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image" Target="media/image3.emf"/><Relationship Id="rId7" Type="http://schemas.openxmlformats.org/officeDocument/2006/relationships/image" Target="media/image4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605</Words>
  <Characters>3451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Maietti</dc:creator>
  <cp:keywords/>
  <dc:description/>
  <cp:lastModifiedBy>Utente di Microsoft Office</cp:lastModifiedBy>
  <cp:revision>6</cp:revision>
  <dcterms:created xsi:type="dcterms:W3CDTF">2020-10-21T07:58:00Z</dcterms:created>
  <dcterms:modified xsi:type="dcterms:W3CDTF">2020-10-21T15:53:00Z</dcterms:modified>
</cp:coreProperties>
</file>