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CB" w:rsidRDefault="006E04F9">
      <w:pPr>
        <w:pStyle w:val="berschrift1"/>
      </w:pPr>
      <w:r>
        <w:rPr>
          <w:noProof/>
          <w:color w:val="000000"/>
          <w:u w:color="000000"/>
          <w:lang w:val="de-DE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3578225</wp:posOffset>
                </wp:positionH>
                <wp:positionV relativeFrom="page">
                  <wp:posOffset>4087495</wp:posOffset>
                </wp:positionV>
                <wp:extent cx="0" cy="2269490"/>
                <wp:effectExtent l="15875" t="10795" r="12700" b="15240"/>
                <wp:wrapSquare wrapText="bothSides"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694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60288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281.75pt,321.85pt" to="281.75pt,5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" strokeweight="1.5pt">
                <v:stroke dashstyle="3 1"/>
                <w10:wrap type="square" anchorx="page" anchory="page"/>
              </v:line>
            </w:pict>
          </mc:Fallback>
        </mc:AlternateContent>
      </w:r>
      <w:r>
        <w:rPr>
          <w:noProof/>
          <w:color w:val="000000"/>
          <w:u w:color="000000"/>
          <w:lang w:val="de-DE"/>
        </w:rPr>
        <mc:AlternateContent>
          <mc:Choice Requires="wps">
            <w:drawing>
              <wp:anchor distT="57150" distB="57150" distL="57150" distR="57150" simplePos="0" relativeHeight="251664384" behindDoc="0" locked="0" layoutInCell="1" allowOverlap="1">
                <wp:simplePos x="0" y="0"/>
                <wp:positionH relativeFrom="page">
                  <wp:posOffset>2026920</wp:posOffset>
                </wp:positionH>
                <wp:positionV relativeFrom="page">
                  <wp:posOffset>3910330</wp:posOffset>
                </wp:positionV>
                <wp:extent cx="796290" cy="407035"/>
                <wp:effectExtent l="0" t="0" r="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CCB" w:rsidRPr="000A6DE4" w:rsidRDefault="002C7991">
                            <w:pPr>
                              <w:pStyle w:val="Beschriftung"/>
                              <w:rPr>
                                <w:sz w:val="28"/>
                              </w:rPr>
                            </w:pPr>
                            <w:r w:rsidRPr="000A6DE4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R&lt; 15mm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9.6pt;margin-top:307.9pt;width:62.7pt;height:32.05pt;z-index:251664384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" filled="f" stroked="f" strokeweight="1pt">
                <v:stroke miterlimit="4"/>
                <v:textbox>
                  <w:txbxContent>
                    <w:p w:rsidR="00E56CCB" w:rsidRPr="000A6DE4" w:rsidRDefault="002C7991">
                      <w:pPr>
                        <w:pStyle w:val="Beschriftung"/>
                        <w:rPr>
                          <w:sz w:val="28"/>
                        </w:rPr>
                      </w:pPr>
                      <w:r w:rsidRPr="000A6DE4">
                        <w:rPr>
                          <w:b/>
                          <w:bCs/>
                          <w:sz w:val="20"/>
                          <w:szCs w:val="24"/>
                        </w:rPr>
                        <w:t>R&lt; 15mm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color w:val="000000"/>
          <w:u w:color="000000"/>
          <w:lang w:val="de-DE"/>
        </w:rPr>
        <mc:AlternateContent>
          <mc:Choice Requires="wps">
            <w:drawing>
              <wp:anchor distT="57150" distB="57150" distL="57150" distR="57150" simplePos="0" relativeHeight="251663360" behindDoc="0" locked="0" layoutInCell="1" allowOverlap="1">
                <wp:simplePos x="0" y="0"/>
                <wp:positionH relativeFrom="page">
                  <wp:posOffset>4155440</wp:posOffset>
                </wp:positionH>
                <wp:positionV relativeFrom="page">
                  <wp:posOffset>3905250</wp:posOffset>
                </wp:positionV>
                <wp:extent cx="861695" cy="261620"/>
                <wp:effectExtent l="2540" t="0" r="2540" b="0"/>
                <wp:wrapSquare wrapText="bothSides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CCB" w:rsidRPr="000A6DE4" w:rsidRDefault="000A6DE4">
                            <w:pPr>
                              <w:pStyle w:val="Beschriftung"/>
                              <w:rPr>
                                <w:sz w:val="28"/>
                              </w:rPr>
                            </w:pPr>
                            <w:r w:rsidRPr="000A6DE4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S≥ 18</w:t>
                            </w:r>
                            <w:r w:rsidR="002C7991" w:rsidRPr="000A6DE4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27.2pt;margin-top:307.5pt;width:67.85pt;height:20.6pt;z-index:251663360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wNtwIAAMA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" filled="f" stroked="f" strokeweight="1pt">
                <v:stroke miterlimit="4"/>
                <v:textbox>
                  <w:txbxContent>
                    <w:p w:rsidR="00E56CCB" w:rsidRPr="000A6DE4" w:rsidRDefault="000A6DE4">
                      <w:pPr>
                        <w:pStyle w:val="Beschriftung"/>
                        <w:rPr>
                          <w:sz w:val="28"/>
                        </w:rPr>
                      </w:pPr>
                      <w:r w:rsidRPr="000A6DE4">
                        <w:rPr>
                          <w:b/>
                          <w:bCs/>
                          <w:sz w:val="20"/>
                          <w:szCs w:val="24"/>
                        </w:rPr>
                        <w:t>S≥ 18</w:t>
                      </w:r>
                      <w:r w:rsidR="002C7991" w:rsidRPr="000A6DE4">
                        <w:rPr>
                          <w:b/>
                          <w:bCs/>
                          <w:sz w:val="20"/>
                          <w:szCs w:val="24"/>
                        </w:rPr>
                        <w:t>mm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color w:val="000000"/>
          <w:u w:color="000000"/>
          <w:lang w:val="de-DE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>
                <wp:simplePos x="0" y="0"/>
                <wp:positionH relativeFrom="page">
                  <wp:posOffset>3085465</wp:posOffset>
                </wp:positionH>
                <wp:positionV relativeFrom="page">
                  <wp:posOffset>3923030</wp:posOffset>
                </wp:positionV>
                <wp:extent cx="890905" cy="267335"/>
                <wp:effectExtent l="0" t="0" r="0" b="635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CCB" w:rsidRPr="000A6DE4" w:rsidRDefault="002C7991">
                            <w:pPr>
                              <w:pStyle w:val="Beschriftung"/>
                              <w:rPr>
                                <w:b/>
                                <w:sz w:val="28"/>
                              </w:rPr>
                            </w:pPr>
                            <w:r w:rsidRPr="000A6DE4">
                              <w:rPr>
                                <w:b/>
                                <w:sz w:val="20"/>
                                <w:szCs w:val="24"/>
                              </w:rPr>
                              <w:t>ATU=1</w:t>
                            </w:r>
                            <w:r w:rsidR="00DC5FCE" w:rsidRPr="000A6DE4">
                              <w:rPr>
                                <w:b/>
                                <w:sz w:val="20"/>
                                <w:szCs w:val="24"/>
                              </w:rPr>
                              <w:t>7</w:t>
                            </w:r>
                            <w:r w:rsidRPr="000A6DE4">
                              <w:rPr>
                                <w:b/>
                                <w:sz w:val="20"/>
                                <w:szCs w:val="24"/>
                              </w:rPr>
                              <w:t>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42.95pt;margin-top:308.9pt;width:70.15pt;height:21.05pt;z-index:251662336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" filled="f" stroked="f" strokeweight="1pt">
                <v:stroke miterlimit="4"/>
                <v:textbox>
                  <w:txbxContent>
                    <w:p w:rsidR="00E56CCB" w:rsidRPr="000A6DE4" w:rsidRDefault="002C7991">
                      <w:pPr>
                        <w:pStyle w:val="Beschriftung"/>
                        <w:rPr>
                          <w:b/>
                          <w:sz w:val="28"/>
                        </w:rPr>
                      </w:pPr>
                      <w:r w:rsidRPr="000A6DE4">
                        <w:rPr>
                          <w:b/>
                          <w:sz w:val="20"/>
                          <w:szCs w:val="24"/>
                        </w:rPr>
                        <w:t>ATU=1</w:t>
                      </w:r>
                      <w:r w:rsidR="00DC5FCE" w:rsidRPr="000A6DE4">
                        <w:rPr>
                          <w:b/>
                          <w:sz w:val="20"/>
                          <w:szCs w:val="24"/>
                        </w:rPr>
                        <w:t>7</w:t>
                      </w:r>
                      <w:r w:rsidRPr="000A6DE4">
                        <w:rPr>
                          <w:b/>
                          <w:sz w:val="20"/>
                          <w:szCs w:val="24"/>
                        </w:rPr>
                        <w:t>mm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color w:val="000000"/>
          <w:u w:color="000000"/>
          <w:lang w:val="de-DE"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3387090</wp:posOffset>
                </wp:positionH>
                <wp:positionV relativeFrom="page">
                  <wp:posOffset>4022090</wp:posOffset>
                </wp:positionV>
                <wp:extent cx="7620" cy="2381250"/>
                <wp:effectExtent l="15240" t="12065" r="15240" b="16510"/>
                <wp:wrapSquare wrapText="bothSides"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3812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page;mso-width-percent:0;mso-height-percent:0;mso-width-relative:page;mso-height-relative:page" from="266.7pt,316.7pt" to="267.3pt,5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" strokeweight="1.5pt">
                <v:stroke dashstyle="3 1"/>
                <w10:wrap type="square" anchorx="page" anchory="page"/>
              </v:line>
            </w:pict>
          </mc:Fallback>
        </mc:AlternateContent>
      </w:r>
      <w:r w:rsidR="00DC5FCE">
        <w:rPr>
          <w:noProof/>
          <w:color w:val="000000"/>
          <w:u w:color="000000"/>
          <w:lang w:val="de-DE"/>
        </w:rPr>
        <w:drawing>
          <wp:anchor distT="0" distB="0" distL="57150" distR="57150" simplePos="0" relativeHeight="251659264" behindDoc="0" locked="0" layoutInCell="1" allowOverlap="1">
            <wp:simplePos x="0" y="0"/>
            <wp:positionH relativeFrom="page">
              <wp:posOffset>956945</wp:posOffset>
            </wp:positionH>
            <wp:positionV relativeFrom="page">
              <wp:posOffset>3387090</wp:posOffset>
            </wp:positionV>
            <wp:extent cx="5690870" cy="3394710"/>
            <wp:effectExtent l="19050" t="0" r="24130" b="0"/>
            <wp:wrapSquare wrapText="bothSides" distT="0" distB="0" distL="57150" distR="57150"/>
            <wp:docPr id="1073741826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noProof/>
          <w:color w:val="000000"/>
          <w:u w:color="000000"/>
          <w:lang w:val="de-DE"/>
        </w:rPr>
        <mc:AlternateContent>
          <mc:Choice Requires="wps">
            <w:drawing>
              <wp:anchor distT="57150" distB="57150" distL="57150" distR="57150" simplePos="0" relativeHeight="251665408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line">
                  <wp:posOffset>762000</wp:posOffset>
                </wp:positionV>
                <wp:extent cx="5764530" cy="1621790"/>
                <wp:effectExtent l="635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530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CCB" w:rsidRDefault="002C7991">
                            <w:pPr>
                              <w:pStyle w:val="Beschriftung"/>
                              <w:keepNext/>
                            </w:pPr>
                            <w:r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Supplement</w:t>
                            </w:r>
                            <w:r w:rsidR="00677178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1</w:t>
                            </w:r>
                            <w:r w:rsidR="008F4A7D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r w:rsidR="00C3168B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Histogram on z</w:t>
                            </w:r>
                            <w:r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one diameters obtained from rapid antimicrobial susceptibility testing (RAST) </w:t>
                            </w:r>
                            <w:r w:rsidR="006F5813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compared to MIC distribution </w:t>
                            </w:r>
                            <w:r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for </w:t>
                            </w:r>
                            <w:r w:rsidRPr="0011436E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S</w:t>
                            </w:r>
                            <w:r w:rsidR="006F5813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taphylococcus</w:t>
                            </w:r>
                            <w:r w:rsidRPr="0011436E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epidermidis</w:t>
                            </w:r>
                            <w:r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r w:rsidR="006F5813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and </w:t>
                            </w:r>
                            <w:proofErr w:type="spellStart"/>
                            <w:r w:rsidR="006F5813"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cefoxitin</w:t>
                            </w:r>
                            <w:proofErr w:type="spellEnd"/>
                            <w:r w:rsidR="006F5813"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r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(n=119) in a study on RAST </w:t>
                            </w:r>
                            <w:r w:rsidR="0058681F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applied</w:t>
                            </w:r>
                            <w:r w:rsidR="002B4D3F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for</w:t>
                            </w:r>
                            <w:r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r w:rsidR="002B4D3F" w:rsidRPr="002B4D3F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primarily</w:t>
                            </w:r>
                            <w:r w:rsidR="002B4D3F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r w:rsidRPr="0011436E">
                              <w:rPr>
                                <w:b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sterile body fluids inoculated in blood culture bottles at the Department for Infectious Diseases at the University Hospital Heidelberg, Germany.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r w:rsidR="0011436E"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Zone diameters</w:t>
                            </w:r>
                            <w:r w:rsidR="0058681F"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were measured by 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technician</w:t>
                            </w:r>
                            <w:r w:rsidR="0058681F"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with a software function of Total Lab Automation (TLA). Zone diameters were then compared to MIC values and its interpretation obtained from Vitek2. The dashed lines display the </w:t>
                            </w:r>
                            <w:r w:rsidR="0011436E"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clinical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breakpoints for </w:t>
                            </w:r>
                            <w:r w:rsidR="0011436E"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short incubation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for </w:t>
                            </w:r>
                            <w:r w:rsidR="0011436E">
                              <w:rPr>
                                <w:i/>
                                <w:iCs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Staphylococcus aureus </w:t>
                            </w:r>
                            <w:r w:rsidR="0011436E" w:rsidRPr="0011436E">
                              <w:rPr>
                                <w:iCs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and </w:t>
                            </w:r>
                            <w:proofErr w:type="spellStart"/>
                            <w:r w:rsidR="0058681F"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cefoxiti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(according to zone diameter breakpoints for RAST Version 1.0 and 1.1 by EUCAST)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3F6F54">
                              <w:rPr>
                                <w:rFonts w:ascii="Arial Unicode MS" w:hAnsi="Arial Unicode MS"/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  <w:lang w:val="en-US"/>
                              </w:rPr>
                              <w:t>(S=susceptible; R=resistant; ATU=area of technical uncertainty)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-.7pt;margin-top:60pt;width:453.9pt;height:127.7pt;z-index:251665408;visibility:visible;mso-wrap-style:square;mso-width-percent:0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" stroked="f" strokeweight="1pt">
                <v:stroke miterlimit="4"/>
                <v:textbox>
                  <w:txbxContent>
                    <w:p w:rsidR="00E56CCB" w:rsidRDefault="002C7991">
                      <w:pPr>
                        <w:pStyle w:val="Beschriftung"/>
                        <w:keepNext/>
                      </w:pPr>
                      <w:r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>Supplement</w:t>
                      </w:r>
                      <w:r w:rsidR="00677178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 1</w:t>
                      </w:r>
                      <w:r w:rsidR="008F4A7D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r w:rsidR="00C3168B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>Histogram on z</w:t>
                      </w:r>
                      <w:r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one diameters obtained from rapid antimicrobial susceptibility testing (RAST) </w:t>
                      </w:r>
                      <w:r w:rsidR="006F5813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compared to MIC distribution </w:t>
                      </w:r>
                      <w:r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for </w:t>
                      </w:r>
                      <w:r w:rsidRPr="0011436E">
                        <w:rPr>
                          <w:b/>
                          <w:i/>
                          <w:iCs/>
                          <w:sz w:val="20"/>
                          <w:szCs w:val="20"/>
                          <w:u w:color="000000"/>
                          <w:lang w:val="en-US"/>
                        </w:rPr>
                        <w:t>S</w:t>
                      </w:r>
                      <w:r w:rsidR="006F5813">
                        <w:rPr>
                          <w:b/>
                          <w:i/>
                          <w:iCs/>
                          <w:sz w:val="20"/>
                          <w:szCs w:val="20"/>
                          <w:u w:color="000000"/>
                          <w:lang w:val="en-US"/>
                        </w:rPr>
                        <w:t>taphylococcus</w:t>
                      </w:r>
                      <w:r w:rsidRPr="0011436E">
                        <w:rPr>
                          <w:b/>
                          <w:i/>
                          <w:iCs/>
                          <w:sz w:val="20"/>
                          <w:szCs w:val="20"/>
                          <w:u w:color="000000"/>
                          <w:lang w:val="en-US"/>
                        </w:rPr>
                        <w:t xml:space="preserve"> epidermidis</w:t>
                      </w:r>
                      <w:r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r w:rsidR="006F5813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and </w:t>
                      </w:r>
                      <w:proofErr w:type="spellStart"/>
                      <w:r w:rsidR="006F5813"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>cefoxitin</w:t>
                      </w:r>
                      <w:proofErr w:type="spellEnd"/>
                      <w:r w:rsidR="006F5813"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r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(n=119) in a study on RAST </w:t>
                      </w:r>
                      <w:r w:rsidR="0058681F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>applied</w:t>
                      </w:r>
                      <w:r w:rsidR="002B4D3F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 for</w:t>
                      </w:r>
                      <w:r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r w:rsidR="002B4D3F" w:rsidRPr="002B4D3F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>primarily</w:t>
                      </w:r>
                      <w:r w:rsidR="002B4D3F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r w:rsidRPr="0011436E">
                        <w:rPr>
                          <w:b/>
                          <w:sz w:val="20"/>
                          <w:szCs w:val="20"/>
                          <w:u w:color="000000"/>
                          <w:lang w:val="en-US"/>
                        </w:rPr>
                        <w:t>sterile body fluids inoculated in blood culture bottles at the Department for Infectious Diseases at the University Hospital Heidelberg, Germany.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r w:rsidR="0011436E"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Zone diameters</w:t>
                      </w:r>
                      <w:r w:rsidR="0058681F"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 xml:space="preserve"> were measured by 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technician</w:t>
                      </w:r>
                      <w:r w:rsidR="0058681F"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s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 xml:space="preserve"> with a software function of Total Lab Automation (TLA). Zone diameters were then compared to MIC values and its interpretation obtained from Vitek2. The dashed lines display the </w:t>
                      </w:r>
                      <w:r w:rsidR="0011436E"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clinical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 xml:space="preserve"> breakpoints for </w:t>
                      </w:r>
                      <w:r w:rsidR="0011436E"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short incubation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 xml:space="preserve"> for </w:t>
                      </w:r>
                      <w:r w:rsidR="0011436E">
                        <w:rPr>
                          <w:i/>
                          <w:iCs/>
                          <w:sz w:val="20"/>
                          <w:szCs w:val="20"/>
                          <w:u w:color="000000"/>
                          <w:lang w:val="en-US"/>
                        </w:rPr>
                        <w:t xml:space="preserve">Staphylococcus aureus </w:t>
                      </w:r>
                      <w:r w:rsidR="0011436E" w:rsidRPr="0011436E">
                        <w:rPr>
                          <w:iCs/>
                          <w:sz w:val="20"/>
                          <w:szCs w:val="20"/>
                          <w:u w:color="000000"/>
                          <w:lang w:val="en-US"/>
                        </w:rPr>
                        <w:t xml:space="preserve">and </w:t>
                      </w:r>
                      <w:proofErr w:type="spellStart"/>
                      <w:r w:rsidR="0058681F"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cefoxiti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n</w:t>
                      </w:r>
                      <w:proofErr w:type="spellEnd"/>
                      <w:r>
                        <w:rPr>
                          <w:i/>
                          <w:iCs/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(according to zone diameter breakpoints for RAST Version 1.0 and 1.1 by EUCAST)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u w:color="000000"/>
                          <w:lang w:val="en-US"/>
                        </w:rPr>
                        <w:t>.</w:t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 xml:space="preserve"> </w:t>
                      </w:r>
                      <w:bookmarkStart w:id="1" w:name="_GoBack"/>
                      <w:bookmarkEnd w:id="1"/>
                      <w:r w:rsidRPr="003F6F54">
                        <w:rPr>
                          <w:rFonts w:ascii="Arial Unicode MS" w:hAnsi="Arial Unicode MS"/>
                          <w:sz w:val="20"/>
                          <w:szCs w:val="20"/>
                          <w:u w:color="000000"/>
                          <w:lang w:val="en-US"/>
                        </w:rPr>
                        <w:br/>
                      </w:r>
                      <w:r>
                        <w:rPr>
                          <w:sz w:val="20"/>
                          <w:szCs w:val="20"/>
                          <w:u w:color="000000"/>
                          <w:lang w:val="en-US"/>
                        </w:rPr>
                        <w:t>(S=susceptible; R=resistant; ATU=area of technical uncertainty)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C7991">
        <w:t xml:space="preserve"> Supplement</w:t>
      </w:r>
      <w:r w:rsidR="00677178">
        <w:t xml:space="preserve"> 1</w:t>
      </w:r>
    </w:p>
    <w:sectPr w:rsidR="00E56CCB" w:rsidSect="00E56CCB">
      <w:headerReference w:type="default" r:id="rId8"/>
      <w:footerReference w:type="default" r:id="rId9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F70" w:rsidRDefault="00BF2F70" w:rsidP="00E56CCB">
      <w:r>
        <w:separator/>
      </w:r>
    </w:p>
  </w:endnote>
  <w:endnote w:type="continuationSeparator" w:id="0">
    <w:p w:rsidR="00BF2F70" w:rsidRDefault="00BF2F70" w:rsidP="00E5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CB" w:rsidRDefault="00E56CCB">
    <w:pPr>
      <w:pStyle w:val="Kopf-undFuzeilen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F70" w:rsidRDefault="00BF2F70" w:rsidP="00E56CCB">
      <w:r>
        <w:separator/>
      </w:r>
    </w:p>
  </w:footnote>
  <w:footnote w:type="continuationSeparator" w:id="0">
    <w:p w:rsidR="00BF2F70" w:rsidRDefault="00BF2F70" w:rsidP="00E56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CB" w:rsidRDefault="00E56CCB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CCB"/>
    <w:rsid w:val="000A6DE4"/>
    <w:rsid w:val="000F1CD4"/>
    <w:rsid w:val="0011436E"/>
    <w:rsid w:val="00151E7C"/>
    <w:rsid w:val="001B4194"/>
    <w:rsid w:val="001B6ACE"/>
    <w:rsid w:val="001E5A83"/>
    <w:rsid w:val="002B4D3F"/>
    <w:rsid w:val="002C7991"/>
    <w:rsid w:val="003F6F54"/>
    <w:rsid w:val="00413959"/>
    <w:rsid w:val="0058681F"/>
    <w:rsid w:val="00677178"/>
    <w:rsid w:val="006E04F9"/>
    <w:rsid w:val="006F5813"/>
    <w:rsid w:val="00837279"/>
    <w:rsid w:val="008F4A7D"/>
    <w:rsid w:val="00980269"/>
    <w:rsid w:val="00A432DE"/>
    <w:rsid w:val="00A51953"/>
    <w:rsid w:val="00AC7790"/>
    <w:rsid w:val="00BF2F70"/>
    <w:rsid w:val="00C3168B"/>
    <w:rsid w:val="00DC5FCE"/>
    <w:rsid w:val="00E33188"/>
    <w:rsid w:val="00E56CCB"/>
    <w:rsid w:val="00E84BBA"/>
    <w:rsid w:val="00F2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56CCB"/>
    <w:rPr>
      <w:sz w:val="24"/>
      <w:szCs w:val="24"/>
      <w:lang w:val="en-US" w:eastAsia="en-US"/>
    </w:rPr>
  </w:style>
  <w:style w:type="paragraph" w:styleId="berschrift1">
    <w:name w:val="heading 1"/>
    <w:rsid w:val="00E56CCB"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56CCB"/>
    <w:rPr>
      <w:u w:val="single"/>
    </w:rPr>
  </w:style>
  <w:style w:type="paragraph" w:customStyle="1" w:styleId="Kopf-undFuzeilen">
    <w:name w:val="Kopf- und Fußzeilen"/>
    <w:rsid w:val="00E56CC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eschriftung">
    <w:name w:val="caption"/>
    <w:rsid w:val="00E56CCB"/>
    <w:pPr>
      <w:suppressAutoHyphens/>
      <w:outlineLvl w:val="0"/>
    </w:pPr>
    <w:rPr>
      <w:rFonts w:ascii="Calibri" w:hAnsi="Calibri" w:cs="Arial Unicode MS"/>
      <w:color w:val="000000"/>
      <w:sz w:val="36"/>
      <w:szCs w:val="36"/>
    </w:rPr>
  </w:style>
  <w:style w:type="paragraph" w:customStyle="1" w:styleId="Standard1">
    <w:name w:val="Standard1"/>
    <w:rsid w:val="00E56CCB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6CC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6CCB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6CCB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39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3959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56CCB"/>
    <w:rPr>
      <w:sz w:val="24"/>
      <w:szCs w:val="24"/>
      <w:lang w:val="en-US" w:eastAsia="en-US"/>
    </w:rPr>
  </w:style>
  <w:style w:type="paragraph" w:styleId="berschrift1">
    <w:name w:val="heading 1"/>
    <w:rsid w:val="00E56CCB"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56CCB"/>
    <w:rPr>
      <w:u w:val="single"/>
    </w:rPr>
  </w:style>
  <w:style w:type="paragraph" w:customStyle="1" w:styleId="Kopf-undFuzeilen">
    <w:name w:val="Kopf- und Fußzeilen"/>
    <w:rsid w:val="00E56CC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eschriftung">
    <w:name w:val="caption"/>
    <w:rsid w:val="00E56CCB"/>
    <w:pPr>
      <w:suppressAutoHyphens/>
      <w:outlineLvl w:val="0"/>
    </w:pPr>
    <w:rPr>
      <w:rFonts w:ascii="Calibri" w:hAnsi="Calibri" w:cs="Arial Unicode MS"/>
      <w:color w:val="000000"/>
      <w:sz w:val="36"/>
      <w:szCs w:val="36"/>
    </w:rPr>
  </w:style>
  <w:style w:type="paragraph" w:customStyle="1" w:styleId="Standard1">
    <w:name w:val="Standard1"/>
    <w:rsid w:val="00E56CCB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6CC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6CCB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6CCB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39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395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200" b="1" i="0" u="none" strike="noStrike">
                <a:solidFill>
                  <a:srgbClr val="000000"/>
                </a:solidFill>
                <a:latin typeface="Calibri"/>
              </a:defRPr>
            </a:pPr>
            <a:r>
              <a:rPr lang="de-DE" sz="1200" b="1" i="0" u="none" strike="noStrike">
                <a:solidFill>
                  <a:srgbClr val="000000"/>
                </a:solidFill>
                <a:latin typeface="Calibri"/>
              </a:rPr>
              <a:t>Cefoxitin vs. MIC
</a:t>
            </a:r>
            <a:r>
              <a:rPr lang="de-DE" sz="1200" b="1" i="1" u="none" strike="noStrike">
                <a:solidFill>
                  <a:srgbClr val="000000"/>
                </a:solidFill>
                <a:latin typeface="Calibri"/>
              </a:rPr>
              <a:t>S. epidermidis </a:t>
            </a:r>
            <a:r>
              <a:rPr lang="de-DE" sz="1200" b="1" i="0" u="none" strike="noStrike">
                <a:solidFill>
                  <a:srgbClr val="000000"/>
                </a:solidFill>
                <a:latin typeface="Calibri"/>
              </a:rPr>
              <a:t>(n=119 clinical isolates)</a:t>
            </a:r>
          </a:p>
        </c:rich>
      </c:tx>
      <c:layout/>
      <c:overlay val="0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8.9836000000000263E-2"/>
          <c:y val="0.24252027419131544"/>
          <c:w val="0.76140273806992609"/>
          <c:h val="0.6066111685534262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MIC 0.25 S</c:v>
                </c:pt>
              </c:strCache>
            </c:strRef>
          </c:tx>
          <c:spPr>
            <a:solidFill>
              <a:srgbClr val="00B050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Sheet1!$B$1:$Z$1</c:f>
              <c:strCache>
                <c:ptCount val="25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  <c:pt idx="11">
                  <c:v>17</c:v>
                </c:pt>
                <c:pt idx="12">
                  <c:v>18</c:v>
                </c:pt>
                <c:pt idx="13">
                  <c:v>19</c:v>
                </c:pt>
                <c:pt idx="14">
                  <c:v>20</c:v>
                </c:pt>
                <c:pt idx="15">
                  <c:v>21</c:v>
                </c:pt>
                <c:pt idx="16">
                  <c:v>22</c:v>
                </c:pt>
                <c:pt idx="17">
                  <c:v>23</c:v>
                </c:pt>
                <c:pt idx="18">
                  <c:v>24</c:v>
                </c:pt>
                <c:pt idx="19">
                  <c:v>25</c:v>
                </c:pt>
                <c:pt idx="20">
                  <c:v>26</c:v>
                </c:pt>
                <c:pt idx="21">
                  <c:v>27</c:v>
                </c:pt>
                <c:pt idx="22">
                  <c:v>28</c:v>
                </c:pt>
                <c:pt idx="23">
                  <c:v>29</c:v>
                </c:pt>
                <c:pt idx="24">
                  <c:v>30</c:v>
                </c:pt>
              </c:strCache>
            </c:strRef>
          </c:cat>
          <c:val>
            <c:numRef>
              <c:f>Sheet1!$B$2:$Z$2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3</c:v>
                </c:pt>
                <c:pt idx="14">
                  <c:v>8</c:v>
                </c:pt>
                <c:pt idx="15">
                  <c:v>10</c:v>
                </c:pt>
                <c:pt idx="16">
                  <c:v>5</c:v>
                </c:pt>
                <c:pt idx="17">
                  <c:v>10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MIC 0.25 R </c:v>
                </c:pt>
              </c:strCache>
            </c:strRef>
          </c:tx>
          <c:spPr>
            <a:solidFill>
              <a:srgbClr val="FFC000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Sheet1!$B$1:$Z$1</c:f>
              <c:strCache>
                <c:ptCount val="25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  <c:pt idx="11">
                  <c:v>17</c:v>
                </c:pt>
                <c:pt idx="12">
                  <c:v>18</c:v>
                </c:pt>
                <c:pt idx="13">
                  <c:v>19</c:v>
                </c:pt>
                <c:pt idx="14">
                  <c:v>20</c:v>
                </c:pt>
                <c:pt idx="15">
                  <c:v>21</c:v>
                </c:pt>
                <c:pt idx="16">
                  <c:v>22</c:v>
                </c:pt>
                <c:pt idx="17">
                  <c:v>23</c:v>
                </c:pt>
                <c:pt idx="18">
                  <c:v>24</c:v>
                </c:pt>
                <c:pt idx="19">
                  <c:v>25</c:v>
                </c:pt>
                <c:pt idx="20">
                  <c:v>26</c:v>
                </c:pt>
                <c:pt idx="21">
                  <c:v>27</c:v>
                </c:pt>
                <c:pt idx="22">
                  <c:v>28</c:v>
                </c:pt>
                <c:pt idx="23">
                  <c:v>29</c:v>
                </c:pt>
                <c:pt idx="24">
                  <c:v>30</c:v>
                </c:pt>
              </c:strCache>
            </c:strRef>
          </c:cat>
          <c:val>
            <c:numRef>
              <c:f>Sheet1!$B$3:$Z$3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MIC 0.5 S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Sheet1!$B$1:$Z$1</c:f>
              <c:strCache>
                <c:ptCount val="25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  <c:pt idx="11">
                  <c:v>17</c:v>
                </c:pt>
                <c:pt idx="12">
                  <c:v>18</c:v>
                </c:pt>
                <c:pt idx="13">
                  <c:v>19</c:v>
                </c:pt>
                <c:pt idx="14">
                  <c:v>20</c:v>
                </c:pt>
                <c:pt idx="15">
                  <c:v>21</c:v>
                </c:pt>
                <c:pt idx="16">
                  <c:v>22</c:v>
                </c:pt>
                <c:pt idx="17">
                  <c:v>23</c:v>
                </c:pt>
                <c:pt idx="18">
                  <c:v>24</c:v>
                </c:pt>
                <c:pt idx="19">
                  <c:v>25</c:v>
                </c:pt>
                <c:pt idx="20">
                  <c:v>26</c:v>
                </c:pt>
                <c:pt idx="21">
                  <c:v>27</c:v>
                </c:pt>
                <c:pt idx="22">
                  <c:v>28</c:v>
                </c:pt>
                <c:pt idx="23">
                  <c:v>29</c:v>
                </c:pt>
                <c:pt idx="24">
                  <c:v>30</c:v>
                </c:pt>
              </c:strCache>
            </c:strRef>
          </c:cat>
          <c:val>
            <c:numRef>
              <c:f>Sheet1!$B$4:$Z$4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MIC &gt;=4 R</c:v>
                </c:pt>
              </c:strCache>
            </c:strRef>
          </c:tx>
          <c:spPr>
            <a:solidFill>
              <a:srgbClr val="FF0000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Sheet1!$B$1:$Z$1</c:f>
              <c:strCache>
                <c:ptCount val="25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13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  <c:pt idx="11">
                  <c:v>17</c:v>
                </c:pt>
                <c:pt idx="12">
                  <c:v>18</c:v>
                </c:pt>
                <c:pt idx="13">
                  <c:v>19</c:v>
                </c:pt>
                <c:pt idx="14">
                  <c:v>20</c:v>
                </c:pt>
                <c:pt idx="15">
                  <c:v>21</c:v>
                </c:pt>
                <c:pt idx="16">
                  <c:v>22</c:v>
                </c:pt>
                <c:pt idx="17">
                  <c:v>23</c:v>
                </c:pt>
                <c:pt idx="18">
                  <c:v>24</c:v>
                </c:pt>
                <c:pt idx="19">
                  <c:v>25</c:v>
                </c:pt>
                <c:pt idx="20">
                  <c:v>26</c:v>
                </c:pt>
                <c:pt idx="21">
                  <c:v>27</c:v>
                </c:pt>
                <c:pt idx="22">
                  <c:v>28</c:v>
                </c:pt>
                <c:pt idx="23">
                  <c:v>29</c:v>
                </c:pt>
                <c:pt idx="24">
                  <c:v>30</c:v>
                </c:pt>
              </c:strCache>
            </c:strRef>
          </c:cat>
          <c:val>
            <c:numRef>
              <c:f>Sheet1!$B$5:$Z$5</c:f>
              <c:numCache>
                <c:formatCode>General</c:formatCode>
                <c:ptCount val="25"/>
                <c:pt idx="0">
                  <c:v>3</c:v>
                </c:pt>
                <c:pt idx="1">
                  <c:v>16</c:v>
                </c:pt>
                <c:pt idx="2">
                  <c:v>3</c:v>
                </c:pt>
                <c:pt idx="3">
                  <c:v>4</c:v>
                </c:pt>
                <c:pt idx="4">
                  <c:v>7</c:v>
                </c:pt>
                <c:pt idx="5">
                  <c:v>10</c:v>
                </c:pt>
                <c:pt idx="6">
                  <c:v>10</c:v>
                </c:pt>
                <c:pt idx="7">
                  <c:v>5</c:v>
                </c:pt>
                <c:pt idx="8">
                  <c:v>7</c:v>
                </c:pt>
                <c:pt idx="9">
                  <c:v>3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5480832"/>
        <c:axId val="29037696"/>
      </c:barChart>
      <c:catAx>
        <c:axId val="95480832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1" i="0" u="none" strike="noStrike">
                    <a:solidFill>
                      <a:srgbClr val="000000"/>
                    </a:solidFill>
                    <a:latin typeface="Calibri"/>
                  </a:defRPr>
                </a:pPr>
                <a:r>
                  <a:rPr lang="de-DE" sz="1000" b="1" i="0" u="none" strike="noStrike">
                    <a:solidFill>
                      <a:srgbClr val="000000"/>
                    </a:solidFill>
                    <a:latin typeface="Calibri"/>
                  </a:rPr>
                  <a:t>Inhibition zone diameter (mm) </a:t>
                </a:r>
              </a:p>
            </c:rich>
          </c:tx>
          <c:layout/>
          <c:overlay val="1"/>
        </c:title>
        <c:numFmt formatCode="General" sourceLinked="0"/>
        <c:majorTickMark val="out"/>
        <c:minorTickMark val="none"/>
        <c:tickLblPos val="low"/>
        <c:spPr>
          <a:ln w="12700" cap="flat">
            <a:solidFill>
              <a:srgbClr val="888888"/>
            </a:solidFill>
            <a:prstDash val="solid"/>
            <a:round/>
          </a:ln>
        </c:spPr>
        <c:txPr>
          <a:bodyPr rot="0"/>
          <a:lstStyle/>
          <a:p>
            <a:pPr>
              <a:defRPr sz="1000" b="0" i="0" u="none" strike="noStrike">
                <a:solidFill>
                  <a:srgbClr val="000000"/>
                </a:solidFill>
                <a:latin typeface="Calibri"/>
              </a:defRPr>
            </a:pPr>
            <a:endParaRPr lang="de-DE"/>
          </a:p>
        </c:txPr>
        <c:crossAx val="29037696"/>
        <c:crosses val="autoZero"/>
        <c:auto val="1"/>
        <c:lblAlgn val="ctr"/>
        <c:lblOffset val="100"/>
        <c:noMultiLvlLbl val="1"/>
      </c:catAx>
      <c:valAx>
        <c:axId val="29037696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1" i="0" u="none" strike="noStrike">
                    <a:solidFill>
                      <a:srgbClr val="000000"/>
                    </a:solidFill>
                    <a:latin typeface="Calibri"/>
                  </a:defRPr>
                </a:pPr>
                <a:r>
                  <a:rPr lang="de-DE" sz="1000" b="1" i="0" u="none" strike="noStrike">
                    <a:solidFill>
                      <a:srgbClr val="000000"/>
                    </a:solidFill>
                    <a:latin typeface="Calibri"/>
                  </a:rPr>
                  <a:t>No. of isolates</a:t>
                </a:r>
              </a:p>
            </c:rich>
          </c:tx>
          <c:layout/>
          <c:overlay val="1"/>
        </c:title>
        <c:numFmt formatCode="0" sourceLinked="0"/>
        <c:majorTickMark val="out"/>
        <c:minorTickMark val="none"/>
        <c:tickLblPos val="nextTo"/>
        <c:spPr>
          <a:ln w="12700" cap="flat">
            <a:solidFill>
              <a:srgbClr val="888888"/>
            </a:solidFill>
            <a:prstDash val="solid"/>
            <a:round/>
          </a:ln>
        </c:spPr>
        <c:txPr>
          <a:bodyPr rot="0"/>
          <a:lstStyle/>
          <a:p>
            <a:pPr>
              <a:defRPr sz="1000" b="0" i="0" u="none" strike="noStrike">
                <a:solidFill>
                  <a:srgbClr val="000000"/>
                </a:solidFill>
                <a:latin typeface="Calibri"/>
              </a:defRPr>
            </a:pPr>
            <a:endParaRPr lang="de-DE"/>
          </a:p>
        </c:txPr>
        <c:crossAx val="95480832"/>
        <c:crosses val="autoZero"/>
        <c:crossBetween val="between"/>
        <c:majorUnit val="4"/>
        <c:minorUnit val="2"/>
      </c:valAx>
      <c:spPr>
        <a:solidFill>
          <a:srgbClr val="FFFFFF"/>
        </a:solidFill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84405900000000145"/>
          <c:y val="0.35859000000000002"/>
          <c:w val="0.15594100000000063"/>
          <c:h val="0.18652800000000036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1000" b="0" i="0" u="none" strike="noStrike">
              <a:solidFill>
                <a:srgbClr val="000000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BFC4D244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Heidelberg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Jasuja, Jasmin</dc:creator>
  <cp:lastModifiedBy>Jasuja, Jasmin</cp:lastModifiedBy>
  <cp:revision>2</cp:revision>
  <dcterms:created xsi:type="dcterms:W3CDTF">2020-08-17T09:56:00Z</dcterms:created>
  <dcterms:modified xsi:type="dcterms:W3CDTF">2020-08-17T09:56:00Z</dcterms:modified>
</cp:coreProperties>
</file>