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0EA74" w14:textId="77777777" w:rsidR="00735337" w:rsidRDefault="00735337" w:rsidP="00735337">
      <w:pPr>
        <w:spacing w:line="360" w:lineRule="auto"/>
      </w:pPr>
      <w:r w:rsidRPr="003357DF">
        <w:rPr>
          <w:rFonts w:ascii="Arial Unicode MS" w:cs="Arial Unicode MS"/>
          <w:b/>
          <w:bCs/>
        </w:rPr>
        <w:t>Supplementary Table</w:t>
      </w:r>
      <w:r w:rsidRPr="003357DF">
        <w:rPr>
          <w:rFonts w:ascii="Arial Unicode MS" w:cs="Arial Unicode MS"/>
          <w:b/>
          <w:bCs/>
        </w:rPr>
        <w:t> </w:t>
      </w:r>
      <w:r w:rsidRPr="003357DF">
        <w:rPr>
          <w:rFonts w:ascii="Arial Unicode MS" w:cs="Arial Unicode MS"/>
          <w:b/>
          <w:bCs/>
        </w:rPr>
        <w:t>1.</w:t>
      </w:r>
      <w:r>
        <w:rPr>
          <w:rFonts w:ascii="Arial Unicode MS" w:cs="Arial Unicode MS"/>
        </w:rPr>
        <w:t xml:space="preserve"> A detailed list of all the variables collected for each episode of</w:t>
      </w:r>
      <w:r>
        <w:t xml:space="preserve"> </w:t>
      </w:r>
      <w:proofErr w:type="gramStart"/>
      <w:r>
        <w:rPr>
          <w:rFonts w:ascii="Arial Unicode MS" w:cs="Arial Unicode MS"/>
        </w:rPr>
        <w:t>SAB</w:t>
      </w:r>
      <w:proofErr w:type="gramEnd"/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371"/>
      </w:tblGrid>
      <w:tr w:rsidR="00735337" w14:paraId="65513E2C" w14:textId="77777777" w:rsidTr="006E5AD5">
        <w:tc>
          <w:tcPr>
            <w:tcW w:w="2410" w:type="dxa"/>
          </w:tcPr>
          <w:p w14:paraId="595F5668" w14:textId="77777777" w:rsidR="00735337" w:rsidRDefault="00735337" w:rsidP="006E5AD5">
            <w:pPr>
              <w:spacing w:line="36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Category</w:t>
            </w:r>
          </w:p>
        </w:tc>
        <w:tc>
          <w:tcPr>
            <w:tcW w:w="7371" w:type="dxa"/>
          </w:tcPr>
          <w:p w14:paraId="3982ADC5" w14:textId="77777777" w:rsidR="00735337" w:rsidRDefault="00735337" w:rsidP="006E5AD5">
            <w:pPr>
              <w:spacing w:line="360" w:lineRule="auto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Variables collected</w:t>
            </w:r>
          </w:p>
        </w:tc>
      </w:tr>
      <w:tr w:rsidR="00735337" w14:paraId="2080B566" w14:textId="77777777" w:rsidTr="006E5AD5">
        <w:trPr>
          <w:trHeight w:val="529"/>
        </w:trPr>
        <w:tc>
          <w:tcPr>
            <w:tcW w:w="2410" w:type="dxa"/>
          </w:tcPr>
          <w:p w14:paraId="78CB157E" w14:textId="77777777" w:rsidR="00735337" w:rsidRDefault="00735337" w:rsidP="006E5AD5">
            <w:pPr>
              <w:spacing w:line="36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General</w:t>
            </w:r>
          </w:p>
        </w:tc>
        <w:tc>
          <w:tcPr>
            <w:tcW w:w="7371" w:type="dxa"/>
          </w:tcPr>
          <w:p w14:paraId="2204781D" w14:textId="77777777" w:rsidR="00735337" w:rsidRDefault="00735337" w:rsidP="006E5AD5">
            <w:pPr>
              <w:spacing w:line="360" w:lineRule="auto"/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cs="Arial Unicode MS"/>
                <w:sz w:val="18"/>
                <w:szCs w:val="18"/>
              </w:rPr>
              <w:t>Patient</w:t>
            </w:r>
            <w:r>
              <w:rPr>
                <w:rFonts w:ascii="Arial Unicode MS" w:cs="Arial Unicode MS"/>
                <w:sz w:val="18"/>
                <w:szCs w:val="18"/>
              </w:rPr>
              <w:t>’</w:t>
            </w:r>
            <w:r>
              <w:rPr>
                <w:rFonts w:ascii="Arial Unicode MS" w:cs="Arial Unicode MS"/>
                <w:sz w:val="18"/>
                <w:szCs w:val="18"/>
              </w:rPr>
              <w:t>s age; Patient</w:t>
            </w:r>
            <w:r>
              <w:rPr>
                <w:rFonts w:ascii="Arial Unicode MS" w:cs="Arial Unicode MS"/>
                <w:sz w:val="18"/>
                <w:szCs w:val="18"/>
              </w:rPr>
              <w:t>’</w:t>
            </w:r>
            <w:r>
              <w:rPr>
                <w:rFonts w:ascii="Arial Unicode MS" w:cs="Arial Unicode MS"/>
                <w:sz w:val="18"/>
                <w:szCs w:val="18"/>
              </w:rPr>
              <w:t>s gender; Community-acquired SAB; Health care-associated SAB; Nosocomial SAB</w:t>
            </w:r>
          </w:p>
        </w:tc>
      </w:tr>
      <w:tr w:rsidR="00735337" w14:paraId="487476B3" w14:textId="77777777" w:rsidTr="006E5AD5">
        <w:trPr>
          <w:trHeight w:val="140"/>
        </w:trPr>
        <w:tc>
          <w:tcPr>
            <w:tcW w:w="2410" w:type="dxa"/>
            <w:shd w:val="clear" w:color="auto" w:fill="FFFFFF" w:themeFill="background1"/>
          </w:tcPr>
          <w:p w14:paraId="04BBBAC3" w14:textId="77777777" w:rsidR="00735337" w:rsidRDefault="00735337" w:rsidP="006E5AD5">
            <w:pPr>
              <w:spacing w:line="36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Mortality</w:t>
            </w:r>
          </w:p>
        </w:tc>
        <w:tc>
          <w:tcPr>
            <w:tcW w:w="7371" w:type="dxa"/>
            <w:shd w:val="clear" w:color="auto" w:fill="FFFFFF" w:themeFill="background1"/>
          </w:tcPr>
          <w:p w14:paraId="30F880DD" w14:textId="77777777" w:rsidR="00735337" w:rsidRDefault="00735337" w:rsidP="006E5AD5">
            <w:pPr>
              <w:spacing w:line="360" w:lineRule="auto"/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cs="Arial Unicode MS"/>
                <w:sz w:val="18"/>
                <w:szCs w:val="18"/>
              </w:rPr>
              <w:t xml:space="preserve">Deceased within 30 </w:t>
            </w:r>
            <w:proofErr w:type="gramStart"/>
            <w:r>
              <w:rPr>
                <w:rFonts w:ascii="Arial Unicode MS" w:cs="Arial Unicode MS"/>
                <w:sz w:val="18"/>
                <w:szCs w:val="18"/>
              </w:rPr>
              <w:t>days?;</w:t>
            </w:r>
            <w:proofErr w:type="gramEnd"/>
            <w:r>
              <w:rPr>
                <w:rFonts w:ascii="Arial Unicode MS" w:cs="Arial Unicode MS"/>
                <w:sz w:val="18"/>
                <w:szCs w:val="18"/>
              </w:rPr>
              <w:t xml:space="preserve"> Numbers of days until decease; In hospital-mortality</w:t>
            </w:r>
          </w:p>
        </w:tc>
      </w:tr>
      <w:tr w:rsidR="00735337" w14:paraId="0202A060" w14:textId="77777777" w:rsidTr="006E5AD5">
        <w:tc>
          <w:tcPr>
            <w:tcW w:w="2410" w:type="dxa"/>
          </w:tcPr>
          <w:p w14:paraId="36FA97C1" w14:textId="77777777" w:rsidR="00735337" w:rsidRDefault="00735337" w:rsidP="006E5AD5">
            <w:pPr>
              <w:spacing w:line="36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Charlson Comorbidity Score</w:t>
            </w:r>
          </w:p>
        </w:tc>
        <w:tc>
          <w:tcPr>
            <w:tcW w:w="7371" w:type="dxa"/>
          </w:tcPr>
          <w:p w14:paraId="469CA213" w14:textId="77777777" w:rsidR="00735337" w:rsidRDefault="00735337" w:rsidP="006E5AD5">
            <w:pPr>
              <w:spacing w:line="360" w:lineRule="auto"/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cs="Arial Unicode MS"/>
                <w:sz w:val="18"/>
                <w:szCs w:val="18"/>
              </w:rPr>
              <w:t>Congestive heart failure; Dementia; Chronic pulmonary disease; Rheumatologic disease; Mild liver disease; Moderate/severe liver disease; Diabetes with complications; Moderate/severe renal disease; Hemiplegia or paraplegia; Any malignancy; Metastatic solid tumor; AIDS</w:t>
            </w:r>
          </w:p>
        </w:tc>
      </w:tr>
      <w:tr w:rsidR="00735337" w14:paraId="26E29771" w14:textId="77777777" w:rsidTr="006E5AD5">
        <w:tc>
          <w:tcPr>
            <w:tcW w:w="2410" w:type="dxa"/>
            <w:shd w:val="clear" w:color="auto" w:fill="FFFFFF" w:themeFill="background1"/>
          </w:tcPr>
          <w:p w14:paraId="39CF44D0" w14:textId="77777777" w:rsidR="00735337" w:rsidRDefault="00735337" w:rsidP="006E5AD5">
            <w:pPr>
              <w:spacing w:line="36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Sepsis (SOFA score)</w:t>
            </w:r>
          </w:p>
        </w:tc>
        <w:tc>
          <w:tcPr>
            <w:tcW w:w="7371" w:type="dxa"/>
            <w:shd w:val="clear" w:color="auto" w:fill="FFFFFF" w:themeFill="background1"/>
          </w:tcPr>
          <w:p w14:paraId="5F8FB368" w14:textId="77777777" w:rsidR="00735337" w:rsidRDefault="00735337" w:rsidP="006E5AD5">
            <w:pPr>
              <w:spacing w:line="360" w:lineRule="auto"/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cs="Arial Unicode MS"/>
                <w:sz w:val="18"/>
                <w:szCs w:val="18"/>
              </w:rPr>
              <w:t>Respiration-score; Coagulation-score; Liver-score; Cardiovascular score; Central nervous system score; Renal score</w:t>
            </w:r>
          </w:p>
        </w:tc>
      </w:tr>
      <w:tr w:rsidR="00735337" w14:paraId="62E3FD84" w14:textId="77777777" w:rsidTr="006E5AD5">
        <w:trPr>
          <w:trHeight w:val="685"/>
        </w:trPr>
        <w:tc>
          <w:tcPr>
            <w:tcW w:w="2410" w:type="dxa"/>
          </w:tcPr>
          <w:p w14:paraId="5DD88ACA" w14:textId="77777777" w:rsidR="00735337" w:rsidRDefault="00735337" w:rsidP="006E5AD5">
            <w:pPr>
              <w:spacing w:line="36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SAB, including risk factors</w:t>
            </w:r>
          </w:p>
        </w:tc>
        <w:tc>
          <w:tcPr>
            <w:tcW w:w="7371" w:type="dxa"/>
          </w:tcPr>
          <w:p w14:paraId="57513ED3" w14:textId="77777777" w:rsidR="00735337" w:rsidRDefault="00735337" w:rsidP="006E5AD5">
            <w:pPr>
              <w:spacing w:line="360" w:lineRule="auto"/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cs="Arial Unicode MS"/>
                <w:sz w:val="18"/>
                <w:szCs w:val="18"/>
              </w:rPr>
              <w:t>TTP for BC demonstrating SAB; Follow-up BC collected within 48</w:t>
            </w:r>
            <w:r>
              <w:rPr>
                <w:rFonts w:ascii="Arial Unicode MS" w:cs="Arial Unicode MS"/>
                <w:sz w:val="18"/>
                <w:szCs w:val="18"/>
              </w:rPr>
              <w:t>–</w:t>
            </w:r>
            <w:r>
              <w:rPr>
                <w:rFonts w:ascii="Arial Unicode MS" w:cs="Arial Unicode MS"/>
                <w:sz w:val="18"/>
                <w:szCs w:val="18"/>
              </w:rPr>
              <w:t xml:space="preserve">96 </w:t>
            </w:r>
            <w:proofErr w:type="gramStart"/>
            <w:r>
              <w:rPr>
                <w:rFonts w:ascii="Arial Unicode MS" w:cs="Arial Unicode MS"/>
                <w:sz w:val="18"/>
                <w:szCs w:val="18"/>
              </w:rPr>
              <w:t>hours?:</w:t>
            </w:r>
            <w:proofErr w:type="gramEnd"/>
            <w:r>
              <w:rPr>
                <w:rFonts w:ascii="Arial Unicode MS" w:cs="Arial Unicode MS"/>
                <w:sz w:val="18"/>
                <w:szCs w:val="18"/>
              </w:rPr>
              <w:t xml:space="preserve"> Follow-up BC positive for SA?; Previous SAB within 2 years; Hemodialysis; Permanent iv catheter; Port-a-</w:t>
            </w:r>
            <w:proofErr w:type="spellStart"/>
            <w:r>
              <w:rPr>
                <w:rFonts w:ascii="Arial Unicode MS" w:cs="Arial Unicode MS"/>
                <w:sz w:val="18"/>
                <w:szCs w:val="18"/>
              </w:rPr>
              <w:t>cath</w:t>
            </w:r>
            <w:proofErr w:type="spellEnd"/>
          </w:p>
        </w:tc>
      </w:tr>
      <w:tr w:rsidR="00735337" w14:paraId="626D916C" w14:textId="77777777" w:rsidTr="006E5AD5">
        <w:trPr>
          <w:trHeight w:val="548"/>
        </w:trPr>
        <w:tc>
          <w:tcPr>
            <w:tcW w:w="2410" w:type="dxa"/>
          </w:tcPr>
          <w:p w14:paraId="5F819B20" w14:textId="77777777" w:rsidR="00735337" w:rsidRDefault="00735337" w:rsidP="006E5AD5">
            <w:pPr>
              <w:spacing w:line="36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SABU, including risk factors</w:t>
            </w:r>
          </w:p>
        </w:tc>
        <w:tc>
          <w:tcPr>
            <w:tcW w:w="7371" w:type="dxa"/>
          </w:tcPr>
          <w:p w14:paraId="0A29033A" w14:textId="77777777" w:rsidR="00735337" w:rsidRDefault="00735337" w:rsidP="006E5AD5">
            <w:pPr>
              <w:spacing w:line="360" w:lineRule="auto"/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cs="Arial Unicode MS"/>
                <w:sz w:val="18"/>
                <w:szCs w:val="18"/>
              </w:rPr>
              <w:t xml:space="preserve">UC positive for </w:t>
            </w:r>
            <w:proofErr w:type="gramStart"/>
            <w:r>
              <w:rPr>
                <w:rFonts w:ascii="Arial Unicode MS" w:cs="Arial Unicode MS"/>
                <w:sz w:val="18"/>
                <w:szCs w:val="18"/>
              </w:rPr>
              <w:t>SA?;</w:t>
            </w:r>
            <w:proofErr w:type="gramEnd"/>
            <w:r>
              <w:rPr>
                <w:rFonts w:ascii="Arial Unicode MS" w:cs="Arial Unicode MS"/>
                <w:sz w:val="18"/>
                <w:szCs w:val="18"/>
              </w:rPr>
              <w:t xml:space="preserve"> Amount of growth of SA; Earlier surgery in urinary tract; Urinary tract catheterization; Urinary tract obstruction disease </w:t>
            </w:r>
          </w:p>
        </w:tc>
      </w:tr>
      <w:tr w:rsidR="00735337" w14:paraId="7245808A" w14:textId="77777777" w:rsidTr="006E5AD5">
        <w:tc>
          <w:tcPr>
            <w:tcW w:w="2410" w:type="dxa"/>
          </w:tcPr>
          <w:p w14:paraId="2070D5C5" w14:textId="77777777" w:rsidR="00735337" w:rsidRDefault="00735337" w:rsidP="006E5AD5">
            <w:pPr>
              <w:tabs>
                <w:tab w:val="left" w:pos="1491"/>
              </w:tabs>
              <w:spacing w:line="36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UTI</w:t>
            </w:r>
          </w:p>
        </w:tc>
        <w:tc>
          <w:tcPr>
            <w:tcW w:w="7371" w:type="dxa"/>
          </w:tcPr>
          <w:p w14:paraId="23C5B1DF" w14:textId="77777777" w:rsidR="00735337" w:rsidRDefault="00735337" w:rsidP="006E5AD5">
            <w:pPr>
              <w:spacing w:line="360" w:lineRule="auto"/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cs="Arial Unicode MS"/>
                <w:sz w:val="18"/>
                <w:szCs w:val="18"/>
              </w:rPr>
              <w:t>Suprapubic tenderness; Costovertebral pain; Increased urinary frequency; Urgency; Dysuria; Sign of UTI (pyuria, inflamed nephrostomy)</w:t>
            </w:r>
          </w:p>
        </w:tc>
      </w:tr>
      <w:tr w:rsidR="00735337" w14:paraId="604FE5F6" w14:textId="77777777" w:rsidTr="006E5AD5">
        <w:trPr>
          <w:trHeight w:val="364"/>
        </w:trPr>
        <w:tc>
          <w:tcPr>
            <w:tcW w:w="2410" w:type="dxa"/>
          </w:tcPr>
          <w:p w14:paraId="6F6127BD" w14:textId="77777777" w:rsidR="00735337" w:rsidRDefault="00735337" w:rsidP="006E5AD5">
            <w:pPr>
              <w:spacing w:line="36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Focus of infection</w:t>
            </w:r>
          </w:p>
        </w:tc>
        <w:tc>
          <w:tcPr>
            <w:tcW w:w="7371" w:type="dxa"/>
          </w:tcPr>
          <w:p w14:paraId="7D3E765E" w14:textId="77777777" w:rsidR="00735337" w:rsidRDefault="00735337" w:rsidP="006E5AD5">
            <w:pPr>
              <w:spacing w:line="360" w:lineRule="auto"/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cs="Arial Unicode MS"/>
                <w:sz w:val="18"/>
                <w:szCs w:val="18"/>
              </w:rPr>
              <w:t>Positive imaging indicating a focus; Focal signs or symptoms; SA found in focal culture</w:t>
            </w:r>
          </w:p>
        </w:tc>
      </w:tr>
      <w:tr w:rsidR="00735337" w14:paraId="41DB9478" w14:textId="77777777" w:rsidTr="006E5AD5">
        <w:tc>
          <w:tcPr>
            <w:tcW w:w="2410" w:type="dxa"/>
          </w:tcPr>
          <w:p w14:paraId="74360B45" w14:textId="77777777" w:rsidR="00735337" w:rsidRDefault="00735337" w:rsidP="006E5AD5">
            <w:pPr>
              <w:spacing w:line="360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 xml:space="preserve">Complicated SAB </w:t>
            </w:r>
          </w:p>
        </w:tc>
        <w:tc>
          <w:tcPr>
            <w:tcW w:w="7371" w:type="dxa"/>
          </w:tcPr>
          <w:p w14:paraId="585B4E66" w14:textId="77777777" w:rsidR="00735337" w:rsidRDefault="00735337" w:rsidP="006E5AD5">
            <w:pPr>
              <w:spacing w:line="360" w:lineRule="auto"/>
              <w:rPr>
                <w:rFonts w:ascii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cs="Arial Unicode MS"/>
                <w:sz w:val="18"/>
                <w:szCs w:val="18"/>
              </w:rPr>
              <w:t>Endocarditis according to Duke-ISCVID criteria; Septic arthritis; Deep tissue abscess; Vertebral osteomyelitis; Epidural abscess; Septic thrombophlebitis; Meningitis; Other focus considered complicated; Attributable mortality; Recurrent infection; Embolic stroke</w:t>
            </w:r>
          </w:p>
        </w:tc>
      </w:tr>
    </w:tbl>
    <w:p w14:paraId="1FDB8B46" w14:textId="09204532" w:rsidR="00735337" w:rsidRDefault="00735337" w:rsidP="00735337">
      <w:bookmarkStart w:id="0" w:name="[IMAGE-Fig3_Print.jpeg]"/>
      <w:r>
        <w:rPr>
          <w:noProof/>
        </w:rPr>
        <w:lastRenderedPageBreak/>
        <w:drawing>
          <wp:inline distT="0" distB="0" distL="0" distR="0" wp14:anchorId="3AC1761C" wp14:editId="648EFC16">
            <wp:extent cx="5943600" cy="4001770"/>
            <wp:effectExtent l="0" t="0" r="0" b="0"/>
            <wp:docPr id="401142189" name="Picture 2" descr="A close-up of a medical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142189" name="Picture 2" descr="A close-up of a medical docu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0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47AC170" w14:textId="77777777" w:rsidR="00735337" w:rsidRDefault="00735337" w:rsidP="00735337">
      <w:r>
        <w:rPr>
          <w:rFonts w:ascii="Arial Unicode MS" w:cs="Arial Unicode MS"/>
          <w:b/>
          <w:bCs/>
        </w:rPr>
        <w:t>Supplementary Table</w:t>
      </w:r>
      <w:r>
        <w:rPr>
          <w:rFonts w:ascii="Arial Unicode MS" w:cs="Arial Unicode MS"/>
          <w:b/>
          <w:bCs/>
        </w:rPr>
        <w:t> </w:t>
      </w:r>
      <w:r>
        <w:rPr>
          <w:rFonts w:ascii="Arial Unicode MS" w:cs="Arial Unicode MS"/>
          <w:b/>
          <w:bCs/>
        </w:rPr>
        <w:t xml:space="preserve">2. </w:t>
      </w:r>
      <w:r>
        <w:rPr>
          <w:rFonts w:ascii="Arial Unicode MS" w:cs="Arial Unicode MS"/>
        </w:rPr>
        <w:t>A description of the foci of infection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1701"/>
        <w:gridCol w:w="1701"/>
      </w:tblGrid>
      <w:tr w:rsidR="00735337" w14:paraId="4F3A5A0B" w14:textId="77777777" w:rsidTr="006E5AD5">
        <w:trPr>
          <w:trHeight w:val="320"/>
        </w:trPr>
        <w:tc>
          <w:tcPr>
            <w:tcW w:w="4815" w:type="dxa"/>
            <w:noWrap/>
            <w:hideMark/>
          </w:tcPr>
          <w:p w14:paraId="345BCAB1" w14:textId="77777777" w:rsidR="00735337" w:rsidRDefault="00735337" w:rsidP="006E5AD5">
            <w:pPr>
              <w:spacing w:line="276" w:lineRule="auto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  <w:lang w:eastAsia="sv-SE"/>
              </w:rPr>
              <w:t>Focus</w:t>
            </w:r>
          </w:p>
        </w:tc>
        <w:tc>
          <w:tcPr>
            <w:tcW w:w="1701" w:type="dxa"/>
            <w:noWrap/>
            <w:hideMark/>
          </w:tcPr>
          <w:p w14:paraId="407BBC72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  <w:lang w:eastAsia="sv-SE"/>
              </w:rPr>
              <w:t xml:space="preserve">SABU </w:t>
            </w:r>
          </w:p>
          <w:p w14:paraId="65F93A94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  <w:lang w:eastAsia="sv-SE"/>
              </w:rPr>
              <w:t>n</w:t>
            </w:r>
            <w:r>
              <w:rPr>
                <w:rFonts w:ascii="Arial Unicode MS" w:cs="Arial Unicode MS"/>
                <w:color w:val="000000"/>
                <w:lang w:eastAsia="sv-SE"/>
              </w:rPr>
              <w:t> </w:t>
            </w:r>
            <w:r>
              <w:rPr>
                <w:rFonts w:ascii="Arial Unicode MS" w:cs="Arial Unicode MS"/>
                <w:color w:val="000000"/>
                <w:lang w:eastAsia="sv-SE"/>
              </w:rPr>
              <w:t>=</w:t>
            </w:r>
            <w:r>
              <w:rPr>
                <w:rFonts w:ascii="Arial Unicode MS" w:cs="Arial Unicode MS"/>
                <w:color w:val="000000"/>
                <w:lang w:eastAsia="sv-SE"/>
              </w:rPr>
              <w:t> </w:t>
            </w:r>
            <w:r>
              <w:rPr>
                <w:rFonts w:ascii="Arial Unicode MS" w:cs="Arial Unicode MS"/>
                <w:color w:val="000000"/>
                <w:lang w:eastAsia="sv-SE"/>
              </w:rPr>
              <w:t>37</w:t>
            </w:r>
          </w:p>
        </w:tc>
        <w:tc>
          <w:tcPr>
            <w:tcW w:w="1701" w:type="dxa"/>
            <w:noWrap/>
            <w:hideMark/>
          </w:tcPr>
          <w:p w14:paraId="25491F73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  <w:lang w:eastAsia="sv-SE"/>
              </w:rPr>
              <w:t>Non</w:t>
            </w:r>
            <w:r>
              <w:rPr>
                <w:rFonts w:ascii="Arial Unicode MS" w:cs="Arial Unicode MS"/>
                <w:color w:val="000000"/>
              </w:rPr>
              <w:t>-</w:t>
            </w:r>
            <w:r>
              <w:rPr>
                <w:rFonts w:ascii="Arial Unicode MS" w:cs="Arial Unicode MS"/>
                <w:color w:val="000000"/>
                <w:lang w:eastAsia="sv-SE"/>
              </w:rPr>
              <w:t>SABU</w:t>
            </w:r>
          </w:p>
          <w:p w14:paraId="014856E6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</w:rPr>
              <w:t>n</w:t>
            </w:r>
            <w:r>
              <w:rPr>
                <w:rFonts w:ascii="Arial Unicode MS" w:cs="Arial Unicode MS"/>
                <w:color w:val="000000"/>
                <w:lang w:eastAsia="sv-SE"/>
              </w:rPr>
              <w:t> </w:t>
            </w:r>
            <w:r>
              <w:rPr>
                <w:rFonts w:ascii="Arial Unicode MS" w:cs="Arial Unicode MS"/>
                <w:color w:val="000000"/>
                <w:lang w:eastAsia="sv-SE"/>
              </w:rPr>
              <w:t>=</w:t>
            </w:r>
            <w:r>
              <w:rPr>
                <w:rFonts w:ascii="Arial Unicode MS" w:cs="Arial Unicode MS"/>
                <w:color w:val="000000"/>
                <w:lang w:eastAsia="sv-SE"/>
              </w:rPr>
              <w:t> </w:t>
            </w:r>
            <w:r>
              <w:rPr>
                <w:rFonts w:ascii="Arial Unicode MS" w:cs="Arial Unicode MS"/>
                <w:color w:val="000000"/>
                <w:lang w:eastAsia="sv-SE"/>
              </w:rPr>
              <w:t>117</w:t>
            </w:r>
          </w:p>
        </w:tc>
      </w:tr>
      <w:tr w:rsidR="00735337" w14:paraId="6EB34DB3" w14:textId="77777777" w:rsidTr="006E5AD5">
        <w:trPr>
          <w:trHeight w:val="320"/>
        </w:trPr>
        <w:tc>
          <w:tcPr>
            <w:tcW w:w="4815" w:type="dxa"/>
            <w:noWrap/>
            <w:hideMark/>
          </w:tcPr>
          <w:p w14:paraId="0C9D4373" w14:textId="77777777" w:rsidR="00735337" w:rsidRDefault="00735337" w:rsidP="006E5AD5">
            <w:pPr>
              <w:spacing w:line="276" w:lineRule="auto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  <w:lang w:eastAsia="sv-SE"/>
              </w:rPr>
              <w:t>Complicated ones</w:t>
            </w:r>
            <w:r>
              <w:rPr>
                <w:rFonts w:ascii="Arial Unicode MS" w:cs="Arial Unicode MS"/>
                <w:color w:val="000000"/>
                <w:lang w:eastAsia="sv-SE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08313D7D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</w:p>
        </w:tc>
        <w:tc>
          <w:tcPr>
            <w:tcW w:w="1701" w:type="dxa"/>
            <w:noWrap/>
            <w:hideMark/>
          </w:tcPr>
          <w:p w14:paraId="6410AC6A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</w:p>
        </w:tc>
      </w:tr>
      <w:tr w:rsidR="00735337" w14:paraId="7B4A2C48" w14:textId="77777777" w:rsidTr="006E5AD5">
        <w:trPr>
          <w:trHeight w:val="320"/>
        </w:trPr>
        <w:tc>
          <w:tcPr>
            <w:tcW w:w="4815" w:type="dxa"/>
            <w:noWrap/>
            <w:hideMark/>
          </w:tcPr>
          <w:p w14:paraId="6FB8BB25" w14:textId="77777777" w:rsidR="00735337" w:rsidRDefault="00735337" w:rsidP="006E5AD5">
            <w:pPr>
              <w:spacing w:line="276" w:lineRule="auto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  <w:lang w:eastAsia="sv-SE"/>
              </w:rPr>
              <w:t xml:space="preserve">   IE</w:t>
            </w:r>
          </w:p>
        </w:tc>
        <w:tc>
          <w:tcPr>
            <w:tcW w:w="1701" w:type="dxa"/>
            <w:noWrap/>
            <w:hideMark/>
          </w:tcPr>
          <w:p w14:paraId="1CF062AB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</w:rPr>
              <w:t>4 (11%)</w:t>
            </w:r>
          </w:p>
        </w:tc>
        <w:tc>
          <w:tcPr>
            <w:tcW w:w="1701" w:type="dxa"/>
            <w:noWrap/>
            <w:hideMark/>
          </w:tcPr>
          <w:p w14:paraId="4D060712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</w:rPr>
              <w:t>7 (6.0%)</w:t>
            </w:r>
          </w:p>
        </w:tc>
      </w:tr>
      <w:tr w:rsidR="00735337" w14:paraId="736A8DBA" w14:textId="77777777" w:rsidTr="006E5AD5">
        <w:trPr>
          <w:trHeight w:val="320"/>
        </w:trPr>
        <w:tc>
          <w:tcPr>
            <w:tcW w:w="4815" w:type="dxa"/>
            <w:noWrap/>
            <w:hideMark/>
          </w:tcPr>
          <w:p w14:paraId="6791B1D3" w14:textId="77777777" w:rsidR="00735337" w:rsidRDefault="00735337" w:rsidP="006E5AD5">
            <w:pPr>
              <w:spacing w:line="276" w:lineRule="auto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  <w:lang w:eastAsia="sv-SE"/>
              </w:rPr>
              <w:t xml:space="preserve">   Septic arthritis</w:t>
            </w:r>
          </w:p>
        </w:tc>
        <w:tc>
          <w:tcPr>
            <w:tcW w:w="1701" w:type="dxa"/>
            <w:noWrap/>
            <w:hideMark/>
          </w:tcPr>
          <w:p w14:paraId="5B5FEC9A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</w:rPr>
              <w:t>1 (2.7%)</w:t>
            </w:r>
          </w:p>
        </w:tc>
        <w:tc>
          <w:tcPr>
            <w:tcW w:w="1701" w:type="dxa"/>
            <w:noWrap/>
            <w:hideMark/>
          </w:tcPr>
          <w:p w14:paraId="0A04C0F1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</w:rPr>
              <w:t>5 (4.3%)</w:t>
            </w:r>
          </w:p>
        </w:tc>
      </w:tr>
      <w:tr w:rsidR="00735337" w14:paraId="3FF655F5" w14:textId="77777777" w:rsidTr="006E5AD5">
        <w:trPr>
          <w:trHeight w:val="320"/>
        </w:trPr>
        <w:tc>
          <w:tcPr>
            <w:tcW w:w="4815" w:type="dxa"/>
            <w:noWrap/>
            <w:hideMark/>
          </w:tcPr>
          <w:p w14:paraId="59CC10E7" w14:textId="77777777" w:rsidR="00735337" w:rsidRDefault="00735337" w:rsidP="006E5AD5">
            <w:pPr>
              <w:spacing w:line="276" w:lineRule="auto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  <w:lang w:eastAsia="sv-SE"/>
              </w:rPr>
              <w:t xml:space="preserve">   Vertebral osteomyelitis</w:t>
            </w:r>
          </w:p>
        </w:tc>
        <w:tc>
          <w:tcPr>
            <w:tcW w:w="1701" w:type="dxa"/>
            <w:noWrap/>
            <w:hideMark/>
          </w:tcPr>
          <w:p w14:paraId="04B16356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  <w:lang w:eastAsia="sv-SE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243C7F8F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</w:rPr>
              <w:t>7 (6.0%)</w:t>
            </w:r>
          </w:p>
        </w:tc>
      </w:tr>
      <w:tr w:rsidR="00735337" w14:paraId="790EE307" w14:textId="77777777" w:rsidTr="006E5AD5">
        <w:trPr>
          <w:trHeight w:val="320"/>
        </w:trPr>
        <w:tc>
          <w:tcPr>
            <w:tcW w:w="4815" w:type="dxa"/>
            <w:noWrap/>
            <w:hideMark/>
          </w:tcPr>
          <w:p w14:paraId="684C7D01" w14:textId="77777777" w:rsidR="00735337" w:rsidRDefault="00735337" w:rsidP="006E5AD5">
            <w:pPr>
              <w:spacing w:line="276" w:lineRule="auto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  <w:lang w:eastAsia="sv-SE"/>
              </w:rPr>
              <w:t xml:space="preserve">   Epidural abscess</w:t>
            </w:r>
          </w:p>
        </w:tc>
        <w:tc>
          <w:tcPr>
            <w:tcW w:w="1701" w:type="dxa"/>
            <w:noWrap/>
            <w:hideMark/>
          </w:tcPr>
          <w:p w14:paraId="596489DF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</w:rPr>
              <w:t>4 (11%)</w:t>
            </w:r>
          </w:p>
        </w:tc>
        <w:tc>
          <w:tcPr>
            <w:tcW w:w="1701" w:type="dxa"/>
            <w:noWrap/>
            <w:hideMark/>
          </w:tcPr>
          <w:p w14:paraId="010A092E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</w:rPr>
              <w:t>6 (5.1%)</w:t>
            </w:r>
          </w:p>
        </w:tc>
      </w:tr>
      <w:tr w:rsidR="00735337" w14:paraId="09D284D5" w14:textId="77777777" w:rsidTr="006E5AD5">
        <w:trPr>
          <w:trHeight w:val="320"/>
        </w:trPr>
        <w:tc>
          <w:tcPr>
            <w:tcW w:w="4815" w:type="dxa"/>
            <w:noWrap/>
            <w:hideMark/>
          </w:tcPr>
          <w:p w14:paraId="4B288206" w14:textId="77777777" w:rsidR="00735337" w:rsidRDefault="00735337" w:rsidP="006E5AD5">
            <w:pPr>
              <w:spacing w:line="276" w:lineRule="auto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  <w:lang w:eastAsia="sv-SE"/>
              </w:rPr>
              <w:t xml:space="preserve">   Deep tissue abscess</w:t>
            </w:r>
          </w:p>
        </w:tc>
        <w:tc>
          <w:tcPr>
            <w:tcW w:w="1701" w:type="dxa"/>
            <w:noWrap/>
            <w:hideMark/>
          </w:tcPr>
          <w:p w14:paraId="6C10F692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</w:rPr>
              <w:t>2 (5.4%)</w:t>
            </w:r>
          </w:p>
        </w:tc>
        <w:tc>
          <w:tcPr>
            <w:tcW w:w="1701" w:type="dxa"/>
            <w:noWrap/>
            <w:hideMark/>
          </w:tcPr>
          <w:p w14:paraId="61D0296F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</w:rPr>
              <w:t>13 (11%)</w:t>
            </w:r>
          </w:p>
        </w:tc>
      </w:tr>
      <w:tr w:rsidR="00735337" w14:paraId="4780DB80" w14:textId="77777777" w:rsidTr="006E5AD5">
        <w:trPr>
          <w:trHeight w:val="320"/>
        </w:trPr>
        <w:tc>
          <w:tcPr>
            <w:tcW w:w="4815" w:type="dxa"/>
            <w:noWrap/>
            <w:hideMark/>
          </w:tcPr>
          <w:p w14:paraId="6C3E9C5E" w14:textId="77777777" w:rsidR="00735337" w:rsidRDefault="00735337" w:rsidP="006E5AD5">
            <w:pPr>
              <w:spacing w:line="276" w:lineRule="auto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  <w:lang w:eastAsia="sv-SE"/>
              </w:rPr>
              <w:t xml:space="preserve">   Septic thrombophlebitis</w:t>
            </w:r>
          </w:p>
        </w:tc>
        <w:tc>
          <w:tcPr>
            <w:tcW w:w="1701" w:type="dxa"/>
            <w:noWrap/>
            <w:hideMark/>
          </w:tcPr>
          <w:p w14:paraId="3901BCCF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  <w:lang w:eastAsia="sv-SE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12B51204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</w:rPr>
              <w:t>12 (10%)</w:t>
            </w:r>
          </w:p>
        </w:tc>
      </w:tr>
      <w:tr w:rsidR="00735337" w14:paraId="1010DA84" w14:textId="77777777" w:rsidTr="006E5AD5">
        <w:trPr>
          <w:trHeight w:val="320"/>
        </w:trPr>
        <w:tc>
          <w:tcPr>
            <w:tcW w:w="4815" w:type="dxa"/>
            <w:noWrap/>
            <w:hideMark/>
          </w:tcPr>
          <w:p w14:paraId="3571923F" w14:textId="77777777" w:rsidR="00735337" w:rsidRDefault="00735337" w:rsidP="006E5AD5">
            <w:pPr>
              <w:spacing w:line="276" w:lineRule="auto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  <w:lang w:eastAsia="sv-SE"/>
              </w:rPr>
              <w:t xml:space="preserve">   Pneumonia</w:t>
            </w:r>
          </w:p>
        </w:tc>
        <w:tc>
          <w:tcPr>
            <w:tcW w:w="1701" w:type="dxa"/>
            <w:noWrap/>
            <w:hideMark/>
          </w:tcPr>
          <w:p w14:paraId="61043F12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  <w:lang w:eastAsia="sv-SE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7AF47A9D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</w:rPr>
              <w:t>12 (10%)</w:t>
            </w:r>
          </w:p>
        </w:tc>
      </w:tr>
      <w:tr w:rsidR="00735337" w14:paraId="74514196" w14:textId="77777777" w:rsidTr="006E5AD5">
        <w:trPr>
          <w:trHeight w:val="320"/>
        </w:trPr>
        <w:tc>
          <w:tcPr>
            <w:tcW w:w="4815" w:type="dxa"/>
            <w:noWrap/>
            <w:hideMark/>
          </w:tcPr>
          <w:p w14:paraId="719BA8A1" w14:textId="77777777" w:rsidR="00735337" w:rsidRDefault="00735337" w:rsidP="006E5AD5">
            <w:pPr>
              <w:spacing w:line="276" w:lineRule="auto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  <w:lang w:eastAsia="sv-SE"/>
              </w:rPr>
              <w:t xml:space="preserve">   Empyema</w:t>
            </w:r>
          </w:p>
        </w:tc>
        <w:tc>
          <w:tcPr>
            <w:tcW w:w="1701" w:type="dxa"/>
            <w:noWrap/>
            <w:hideMark/>
          </w:tcPr>
          <w:p w14:paraId="7BA12EE8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  <w:lang w:eastAsia="sv-SE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71917563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</w:rPr>
              <w:t>2 (1.7%)</w:t>
            </w:r>
          </w:p>
        </w:tc>
      </w:tr>
      <w:tr w:rsidR="00735337" w14:paraId="5052157F" w14:textId="77777777" w:rsidTr="006E5AD5">
        <w:trPr>
          <w:trHeight w:val="320"/>
        </w:trPr>
        <w:tc>
          <w:tcPr>
            <w:tcW w:w="4815" w:type="dxa"/>
            <w:noWrap/>
            <w:hideMark/>
          </w:tcPr>
          <w:p w14:paraId="6C4E039D" w14:textId="77777777" w:rsidR="00735337" w:rsidRDefault="00735337" w:rsidP="006E5AD5">
            <w:pPr>
              <w:spacing w:line="276" w:lineRule="auto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  <w:lang w:eastAsia="sv-SE"/>
              </w:rPr>
              <w:t>Uncomplicated ones</w:t>
            </w:r>
          </w:p>
        </w:tc>
        <w:tc>
          <w:tcPr>
            <w:tcW w:w="1701" w:type="dxa"/>
            <w:noWrap/>
            <w:hideMark/>
          </w:tcPr>
          <w:p w14:paraId="07ED7C13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</w:p>
        </w:tc>
        <w:tc>
          <w:tcPr>
            <w:tcW w:w="1701" w:type="dxa"/>
            <w:noWrap/>
            <w:hideMark/>
          </w:tcPr>
          <w:p w14:paraId="3CBD96E1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</w:p>
        </w:tc>
      </w:tr>
      <w:tr w:rsidR="00735337" w14:paraId="5FBA08AD" w14:textId="77777777" w:rsidTr="006E5AD5">
        <w:trPr>
          <w:trHeight w:val="320"/>
        </w:trPr>
        <w:tc>
          <w:tcPr>
            <w:tcW w:w="4815" w:type="dxa"/>
            <w:noWrap/>
          </w:tcPr>
          <w:p w14:paraId="780F8838" w14:textId="77777777" w:rsidR="00735337" w:rsidRDefault="00735337" w:rsidP="006E5AD5">
            <w:pPr>
              <w:spacing w:line="276" w:lineRule="auto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  <w:lang w:eastAsia="sv-SE"/>
              </w:rPr>
              <w:t xml:space="preserve">   Skin and wound infections</w:t>
            </w:r>
          </w:p>
        </w:tc>
        <w:tc>
          <w:tcPr>
            <w:tcW w:w="1701" w:type="dxa"/>
            <w:noWrap/>
          </w:tcPr>
          <w:p w14:paraId="06E9B971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</w:rPr>
              <w:t>3 (8.1%)</w:t>
            </w:r>
          </w:p>
        </w:tc>
        <w:tc>
          <w:tcPr>
            <w:tcW w:w="1701" w:type="dxa"/>
            <w:noWrap/>
          </w:tcPr>
          <w:p w14:paraId="4F7BE982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</w:rPr>
              <w:t>10 (8.5%)</w:t>
            </w:r>
          </w:p>
        </w:tc>
      </w:tr>
      <w:tr w:rsidR="00735337" w14:paraId="09EA5A89" w14:textId="77777777" w:rsidTr="006E5AD5">
        <w:trPr>
          <w:trHeight w:val="320"/>
        </w:trPr>
        <w:tc>
          <w:tcPr>
            <w:tcW w:w="4815" w:type="dxa"/>
            <w:noWrap/>
            <w:hideMark/>
          </w:tcPr>
          <w:p w14:paraId="7EEBB6A0" w14:textId="77777777" w:rsidR="00735337" w:rsidRDefault="00735337" w:rsidP="006E5AD5">
            <w:pPr>
              <w:spacing w:line="276" w:lineRule="auto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  <w:lang w:eastAsia="sv-SE"/>
              </w:rPr>
              <w:t xml:space="preserve">   Osteitis</w:t>
            </w:r>
          </w:p>
        </w:tc>
        <w:tc>
          <w:tcPr>
            <w:tcW w:w="1701" w:type="dxa"/>
            <w:noWrap/>
            <w:hideMark/>
          </w:tcPr>
          <w:p w14:paraId="33CA19E7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  <w:lang w:eastAsia="sv-SE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6B507D78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</w:rPr>
              <w:t>3 (2.6%)</w:t>
            </w:r>
          </w:p>
        </w:tc>
      </w:tr>
      <w:tr w:rsidR="00735337" w14:paraId="2149CBD7" w14:textId="77777777" w:rsidTr="006E5AD5">
        <w:trPr>
          <w:trHeight w:val="320"/>
        </w:trPr>
        <w:tc>
          <w:tcPr>
            <w:tcW w:w="4815" w:type="dxa"/>
            <w:noWrap/>
            <w:hideMark/>
          </w:tcPr>
          <w:p w14:paraId="7E9FE9A5" w14:textId="77777777" w:rsidR="00735337" w:rsidRDefault="00735337" w:rsidP="006E5AD5">
            <w:pPr>
              <w:spacing w:line="276" w:lineRule="auto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  <w:lang w:eastAsia="sv-SE"/>
              </w:rPr>
              <w:t xml:space="preserve">   UTI</w:t>
            </w:r>
          </w:p>
        </w:tc>
        <w:tc>
          <w:tcPr>
            <w:tcW w:w="1701" w:type="dxa"/>
            <w:noWrap/>
            <w:hideMark/>
          </w:tcPr>
          <w:p w14:paraId="57D361C4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</w:rPr>
              <w:t>20 (54%)</w:t>
            </w:r>
          </w:p>
        </w:tc>
        <w:tc>
          <w:tcPr>
            <w:tcW w:w="1701" w:type="dxa"/>
            <w:noWrap/>
            <w:hideMark/>
          </w:tcPr>
          <w:p w14:paraId="635A7BBC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</w:rPr>
              <w:t>0</w:t>
            </w:r>
          </w:p>
        </w:tc>
      </w:tr>
      <w:tr w:rsidR="00735337" w14:paraId="4BA12E14" w14:textId="77777777" w:rsidTr="006E5AD5">
        <w:trPr>
          <w:trHeight w:val="320"/>
        </w:trPr>
        <w:tc>
          <w:tcPr>
            <w:tcW w:w="4815" w:type="dxa"/>
            <w:noWrap/>
            <w:hideMark/>
          </w:tcPr>
          <w:p w14:paraId="271DCA34" w14:textId="77777777" w:rsidR="00735337" w:rsidRDefault="00735337" w:rsidP="006E5AD5">
            <w:pPr>
              <w:spacing w:line="276" w:lineRule="auto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  <w:lang w:eastAsia="sv-SE"/>
              </w:rPr>
              <w:t xml:space="preserve">   Others</w:t>
            </w:r>
            <w:r>
              <w:rPr>
                <w:rFonts w:ascii="Arial Unicode MS" w:cs="Arial Unicode MS"/>
                <w:color w:val="000000"/>
              </w:rPr>
              <w:t>*</w:t>
            </w:r>
          </w:p>
        </w:tc>
        <w:tc>
          <w:tcPr>
            <w:tcW w:w="1701" w:type="dxa"/>
            <w:noWrap/>
            <w:hideMark/>
          </w:tcPr>
          <w:p w14:paraId="3CE2F13A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  <w:lang w:eastAsia="sv-SE"/>
              </w:rPr>
              <w:t>0</w:t>
            </w:r>
            <w:r>
              <w:rPr>
                <w:rFonts w:ascii="Arial Unicode MS" w:cs="Arial Unicode MS"/>
                <w:color w:val="000000"/>
              </w:rPr>
              <w:t xml:space="preserve"> </w:t>
            </w:r>
          </w:p>
        </w:tc>
        <w:tc>
          <w:tcPr>
            <w:tcW w:w="1701" w:type="dxa"/>
            <w:noWrap/>
            <w:hideMark/>
          </w:tcPr>
          <w:p w14:paraId="694D0AB8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</w:rPr>
              <w:t>6 (5.1%)</w:t>
            </w:r>
          </w:p>
        </w:tc>
      </w:tr>
      <w:tr w:rsidR="00735337" w14:paraId="1A5A3FCB" w14:textId="77777777" w:rsidTr="006E5AD5">
        <w:trPr>
          <w:trHeight w:val="320"/>
        </w:trPr>
        <w:tc>
          <w:tcPr>
            <w:tcW w:w="4815" w:type="dxa"/>
            <w:noWrap/>
            <w:hideMark/>
          </w:tcPr>
          <w:p w14:paraId="01718B10" w14:textId="77777777" w:rsidR="00735337" w:rsidRDefault="00735337" w:rsidP="006E5AD5">
            <w:pPr>
              <w:spacing w:line="276" w:lineRule="auto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</w:rPr>
              <w:t>Not known focus</w:t>
            </w:r>
          </w:p>
        </w:tc>
        <w:tc>
          <w:tcPr>
            <w:tcW w:w="1701" w:type="dxa"/>
            <w:noWrap/>
            <w:hideMark/>
          </w:tcPr>
          <w:p w14:paraId="7BF09776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</w:rPr>
              <w:t>11 (30%)</w:t>
            </w:r>
          </w:p>
        </w:tc>
        <w:tc>
          <w:tcPr>
            <w:tcW w:w="1701" w:type="dxa"/>
            <w:noWrap/>
            <w:hideMark/>
          </w:tcPr>
          <w:p w14:paraId="57EF81FA" w14:textId="77777777" w:rsidR="00735337" w:rsidRDefault="00735337" w:rsidP="006E5AD5">
            <w:pPr>
              <w:spacing w:line="276" w:lineRule="auto"/>
              <w:jc w:val="center"/>
              <w:rPr>
                <w:rFonts w:ascii="Arial Unicode MS" w:hAnsi="Arial Unicode MS" w:cs="Arial Unicode MS"/>
                <w:color w:val="000000"/>
                <w:lang w:eastAsia="sv-SE"/>
              </w:rPr>
            </w:pPr>
            <w:r>
              <w:rPr>
                <w:rFonts w:ascii="Arial Unicode MS" w:cs="Arial Unicode MS"/>
                <w:color w:val="000000"/>
              </w:rPr>
              <w:t>50 (43%)</w:t>
            </w:r>
          </w:p>
        </w:tc>
      </w:tr>
    </w:tbl>
    <w:p w14:paraId="134E1EC6" w14:textId="77777777" w:rsidR="00735337" w:rsidRDefault="00735337" w:rsidP="00735337">
      <w:pPr>
        <w:spacing w:line="360" w:lineRule="auto"/>
        <w:rPr>
          <w:rFonts w:ascii="Arial Unicode MS" w:hAnsi="Arial Unicode MS" w:cs="Arial Unicode MS"/>
        </w:rPr>
      </w:pPr>
    </w:p>
    <w:p w14:paraId="36FF451B" w14:textId="77777777" w:rsidR="00735337" w:rsidRDefault="00735337" w:rsidP="00735337">
      <w:pPr>
        <w:spacing w:line="360" w:lineRule="auto"/>
        <w:rPr>
          <w:rFonts w:ascii="Arial Unicode MS" w:hAnsi="Arial Unicode MS" w:cs="Arial Unicode MS"/>
        </w:rPr>
      </w:pPr>
      <w:r>
        <w:rPr>
          <w:rFonts w:ascii="Arial Unicode MS" w:cs="Arial Unicode MS"/>
        </w:rPr>
        <w:lastRenderedPageBreak/>
        <w:t xml:space="preserve">In 2 episodes in the SABU group and in 1 episode in the non-SABU group there </w:t>
      </w:r>
      <w:proofErr w:type="gramStart"/>
      <w:r>
        <w:rPr>
          <w:rFonts w:ascii="Arial Unicode MS" w:cs="Arial Unicode MS"/>
        </w:rPr>
        <w:t>were</w:t>
      </w:r>
      <w:proofErr w:type="gramEnd"/>
      <w:r>
        <w:rPr>
          <w:rFonts w:ascii="Arial Unicode MS" w:cs="Arial Unicode MS"/>
        </w:rPr>
        <w:t xml:space="preserve"> more than 1 foci, hence the sum of the foci is greater than the number of episodes in the group.</w:t>
      </w:r>
    </w:p>
    <w:p w14:paraId="7A0AF8F8" w14:textId="77777777" w:rsidR="00735337" w:rsidRDefault="00735337" w:rsidP="00735337">
      <w:pPr>
        <w:spacing w:line="360" w:lineRule="auto"/>
        <w:rPr>
          <w:rFonts w:ascii="Arial Unicode MS" w:hAnsi="Arial Unicode MS" w:cs="Arial Unicode MS"/>
        </w:rPr>
      </w:pPr>
      <w:r>
        <w:rPr>
          <w:rFonts w:ascii="Arial Unicode MS" w:cs="Arial Unicode MS"/>
        </w:rPr>
        <w:t xml:space="preserve">* Others include colitis, cholecystitis, parotitis, and infection in the dose pocket of pacemaker and port-a-cath. The abbreviations used were SABU, </w:t>
      </w:r>
      <w:r>
        <w:rPr>
          <w:rFonts w:ascii="Arial Unicode MS" w:cs="Arial Unicode MS"/>
          <w:i/>
          <w:iCs/>
        </w:rPr>
        <w:t>Staphylococcus aureus</w:t>
      </w:r>
      <w:r>
        <w:rPr>
          <w:rFonts w:ascii="Arial Unicode MS" w:cs="Arial Unicode MS"/>
        </w:rPr>
        <w:t xml:space="preserve"> </w:t>
      </w:r>
      <w:proofErr w:type="gramStart"/>
      <w:r>
        <w:rPr>
          <w:rFonts w:ascii="Arial Unicode MS" w:cs="Arial Unicode MS"/>
        </w:rPr>
        <w:t>bacteriuria;</w:t>
      </w:r>
      <w:proofErr w:type="gramEnd"/>
      <w:r>
        <w:rPr>
          <w:rFonts w:ascii="Arial Unicode MS" w:cs="Arial Unicode MS"/>
        </w:rPr>
        <w:t xml:space="preserve"> UTI, urinary tract infection.</w:t>
      </w:r>
    </w:p>
    <w:p w14:paraId="11FE2BF8" w14:textId="073FD6A0" w:rsidR="00735337" w:rsidRDefault="00735337" w:rsidP="00735337">
      <w:bookmarkStart w:id="1" w:name="[IMAGE-Fig4_Print.jpeg]"/>
      <w:r>
        <w:rPr>
          <w:noProof/>
        </w:rPr>
        <w:drawing>
          <wp:inline distT="0" distB="0" distL="0" distR="0" wp14:anchorId="2ADCD555" wp14:editId="1C437FEA">
            <wp:extent cx="5413375" cy="3181985"/>
            <wp:effectExtent l="0" t="0" r="0" b="0"/>
            <wp:docPr id="622250156" name="Picture 1" descr="A graph of survival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250156" name="Picture 1" descr="A graph of survival func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375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5EE995E5" w14:textId="77777777" w:rsidR="00735337" w:rsidRDefault="00735337" w:rsidP="00735337">
      <w:pPr>
        <w:spacing w:line="360" w:lineRule="auto"/>
        <w:rPr>
          <w:rFonts w:ascii="Arial Unicode MS" w:hAnsi="Arial Unicode MS" w:cs="Arial Unicode MS"/>
          <w:b/>
          <w:bCs/>
        </w:rPr>
      </w:pPr>
      <w:r>
        <w:rPr>
          <w:rFonts w:ascii="Arial Unicode MS" w:cs="Arial Unicode MS"/>
          <w:b/>
          <w:bCs/>
        </w:rPr>
        <w:t>Supplementary Fig.</w:t>
      </w:r>
      <w:r>
        <w:rPr>
          <w:rFonts w:ascii="Arial Unicode MS" w:cs="Arial Unicode MS"/>
          <w:b/>
          <w:bCs/>
        </w:rPr>
        <w:t> </w:t>
      </w:r>
      <w:r>
        <w:rPr>
          <w:rFonts w:ascii="Arial Unicode MS" w:cs="Arial Unicode MS"/>
          <w:b/>
          <w:bCs/>
        </w:rPr>
        <w:t xml:space="preserve">1. </w:t>
      </w:r>
      <w:r>
        <w:rPr>
          <w:rFonts w:ascii="Arial Unicode MS" w:cs="Arial Unicode MS"/>
        </w:rPr>
        <w:t>A graph showing a Kaplan-Meier survival analysis for the 30 days mortality rate, comparing patients with and without bacteriuria. The difference between the groups was non-significant, where a P-value of &lt;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 xml:space="preserve">0.05 was considered statistically significant. SABU, </w:t>
      </w:r>
      <w:r>
        <w:rPr>
          <w:rFonts w:ascii="Arial Unicode MS" w:cs="Arial Unicode MS"/>
          <w:i/>
          <w:iCs/>
        </w:rPr>
        <w:t>Staphylococcus aureus</w:t>
      </w:r>
      <w:r>
        <w:rPr>
          <w:rFonts w:ascii="Arial Unicode MS" w:cs="Arial Unicode MS"/>
        </w:rPr>
        <w:t xml:space="preserve"> bacteriuria.</w:t>
      </w:r>
    </w:p>
    <w:p w14:paraId="2CE9D08D" w14:textId="77777777" w:rsidR="00D54D26" w:rsidRDefault="00D54D26"/>
    <w:sectPr w:rsidR="00D54D26" w:rsidSect="0073533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37"/>
    <w:rsid w:val="001128B7"/>
    <w:rsid w:val="001B4FE8"/>
    <w:rsid w:val="005952FD"/>
    <w:rsid w:val="00735337"/>
    <w:rsid w:val="008D1069"/>
    <w:rsid w:val="009244C0"/>
    <w:rsid w:val="00A243DA"/>
    <w:rsid w:val="00A41D33"/>
    <w:rsid w:val="00AB04E3"/>
    <w:rsid w:val="00AB334B"/>
    <w:rsid w:val="00B604F3"/>
    <w:rsid w:val="00D5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2C7D2"/>
  <w15:chartTrackingRefBased/>
  <w15:docId w15:val="{08D1F3E1-2214-4A4D-B9A2-B8B7C29B8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337"/>
    <w:pP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533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533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533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533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533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533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533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533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533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53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53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53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53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53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53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53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53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53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53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53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533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53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533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53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533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53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53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53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53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439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Revathy Dhinagaran</dc:creator>
  <cp:keywords/>
  <dc:description/>
  <cp:lastModifiedBy>Revathy Dhinagaran</cp:lastModifiedBy>
  <cp:revision>1</cp:revision>
  <dcterms:created xsi:type="dcterms:W3CDTF">2024-05-11T06:45:00Z</dcterms:created>
  <dcterms:modified xsi:type="dcterms:W3CDTF">2024-05-11T06:46:00Z</dcterms:modified>
</cp:coreProperties>
</file>