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937B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bCs/>
          <w:color w:val="2F5496"/>
          <w:sz w:val="28"/>
          <w:szCs w:val="28"/>
          <w:shd w:val="clear" w:color="auto" w:fill="FFFFFF"/>
          <w:lang w:val="en-US"/>
        </w:rPr>
      </w:pPr>
      <w:bookmarkStart w:id="0" w:name="_Toc154156357"/>
      <w:r w:rsidRPr="00367191">
        <w:rPr>
          <w:rFonts w:ascii="Calibri" w:eastAsia="Calibri" w:hAnsi="Calibri" w:cs="Times New Roman"/>
          <w:bCs/>
          <w:color w:val="2F5496"/>
          <w:sz w:val="28"/>
          <w:szCs w:val="28"/>
          <w:shd w:val="clear" w:color="auto" w:fill="FFFFFF"/>
          <w:lang w:val="en-US"/>
        </w:rPr>
        <w:t>Supplementary fi</w:t>
      </w:r>
      <w:bookmarkEnd w:id="0"/>
      <w:r w:rsidRPr="00367191">
        <w:rPr>
          <w:rFonts w:ascii="Calibri" w:eastAsia="Calibri" w:hAnsi="Calibri" w:cs="Times New Roman"/>
          <w:bCs/>
          <w:color w:val="2F5496"/>
          <w:sz w:val="28"/>
          <w:szCs w:val="28"/>
          <w:shd w:val="clear" w:color="auto" w:fill="FFFFFF"/>
          <w:lang w:val="en-US"/>
        </w:rPr>
        <w:t>le I.</w:t>
      </w:r>
    </w:p>
    <w:p w14:paraId="6D97B3A4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6FD3923C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b/>
          <w:bCs/>
          <w:lang w:val="en-US"/>
        </w:rPr>
      </w:pPr>
      <w:r w:rsidRPr="00367191">
        <w:rPr>
          <w:rFonts w:ascii="Calibri" w:eastAsia="Calibri" w:hAnsi="Calibri" w:cs="Times New Roman"/>
          <w:noProof/>
          <w:lang w:val="nl-NL" w:eastAsia="nl-NL"/>
        </w:rPr>
        <w:drawing>
          <wp:anchor distT="0" distB="0" distL="114300" distR="114300" simplePos="0" relativeHeight="251659264" behindDoc="1" locked="0" layoutInCell="1" allowOverlap="1" wp14:anchorId="19494534" wp14:editId="2AF0ABC4">
            <wp:simplePos x="0" y="0"/>
            <wp:positionH relativeFrom="column">
              <wp:posOffset>4507865</wp:posOffset>
            </wp:positionH>
            <wp:positionV relativeFrom="paragraph">
              <wp:posOffset>560070</wp:posOffset>
            </wp:positionV>
            <wp:extent cx="1370330" cy="890270"/>
            <wp:effectExtent l="0" t="0" r="1270" b="5080"/>
            <wp:wrapTight wrapText="bothSides">
              <wp:wrapPolygon edited="0">
                <wp:start x="0" y="0"/>
                <wp:lineTo x="0" y="21261"/>
                <wp:lineTo x="21320" y="21261"/>
                <wp:lineTo x="21320" y="0"/>
                <wp:lineTo x="0" y="0"/>
              </wp:wrapPolygon>
            </wp:wrapTight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9BDC4172-D1BD-0852-4283-5B4C517388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9BDC4172-D1BD-0852-4283-5B4C517388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7191">
        <w:rPr>
          <w:rFonts w:ascii="Calibri" w:eastAsia="Calibri" w:hAnsi="Calibri" w:cs="Times New Roman"/>
          <w:noProof/>
          <w:lang w:val="nl-NL" w:eastAsia="nl-NL"/>
        </w:rPr>
        <w:drawing>
          <wp:anchor distT="0" distB="0" distL="114300" distR="114300" simplePos="0" relativeHeight="251660288" behindDoc="1" locked="0" layoutInCell="1" allowOverlap="1" wp14:anchorId="6DFA49CE" wp14:editId="35EE483E">
            <wp:simplePos x="0" y="0"/>
            <wp:positionH relativeFrom="margin">
              <wp:align>left</wp:align>
            </wp:positionH>
            <wp:positionV relativeFrom="paragraph">
              <wp:posOffset>615315</wp:posOffset>
            </wp:positionV>
            <wp:extent cx="4509135" cy="3243580"/>
            <wp:effectExtent l="0" t="0" r="571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964" cy="324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7191">
        <w:rPr>
          <w:rFonts w:ascii="Calibri" w:eastAsia="Calibri" w:hAnsi="Calibri" w:cs="Times New Roman"/>
          <w:b/>
          <w:bCs/>
          <w:lang w:val="en-US"/>
        </w:rPr>
        <w:t xml:space="preserve">Supplementary figure 1. Survival in </w:t>
      </w:r>
      <w:r w:rsidRPr="00367191">
        <w:rPr>
          <w:rFonts w:ascii="Calibri" w:eastAsia="Calibri" w:hAnsi="Calibri" w:cs="Times New Roman"/>
          <w:b/>
          <w:bCs/>
          <w:i/>
          <w:iCs/>
          <w:lang w:val="en-US"/>
        </w:rPr>
        <w:t>S. aureus</w:t>
      </w:r>
      <w:r w:rsidRPr="00367191">
        <w:rPr>
          <w:rFonts w:ascii="Calibri" w:eastAsia="Calibri" w:hAnsi="Calibri" w:cs="Times New Roman"/>
          <w:b/>
          <w:bCs/>
          <w:lang w:val="en-US"/>
        </w:rPr>
        <w:t xml:space="preserve"> bacteremia patients that did or did not receive a PET/CT.</w:t>
      </w:r>
      <w:r w:rsidRPr="00367191">
        <w:rPr>
          <w:rFonts w:ascii="Calibri" w:eastAsia="Calibri" w:hAnsi="Calibri" w:cs="Times New Roman"/>
          <w:b/>
          <w:bCs/>
          <w:i/>
          <w:iCs/>
          <w:lang w:val="en-US"/>
        </w:rPr>
        <w:t xml:space="preserve"> </w:t>
      </w:r>
    </w:p>
    <w:p w14:paraId="229E0B26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241E7451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3F611427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0A4EF603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12407C67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4EF12E72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158F99A4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4105F455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  <w:r w:rsidRPr="00367191">
        <w:rPr>
          <w:rFonts w:ascii="Calibri" w:eastAsia="Calibri" w:hAnsi="Calibri" w:cs="Times New Roman"/>
          <w:lang w:val="en-US"/>
        </w:rPr>
        <w:t xml:space="preserve">Kaplan-Meier curve representing survival of patients with </w:t>
      </w:r>
      <w:r w:rsidRPr="00367191">
        <w:rPr>
          <w:rFonts w:ascii="Calibri" w:eastAsia="Calibri" w:hAnsi="Calibri" w:cs="Times New Roman"/>
          <w:i/>
          <w:iCs/>
          <w:lang w:val="en-US"/>
        </w:rPr>
        <w:t>S. aureus</w:t>
      </w:r>
      <w:r w:rsidRPr="00367191">
        <w:rPr>
          <w:rFonts w:ascii="Calibri" w:eastAsia="Calibri" w:hAnsi="Calibri" w:cs="Times New Roman"/>
          <w:lang w:val="en-US"/>
        </w:rPr>
        <w:t xml:space="preserve"> bacteremia at 30 days. The black line represents day six, which was the median time to PET/CT (Q1 4.3 – Q3 8.3).</w:t>
      </w:r>
    </w:p>
    <w:p w14:paraId="1C7B2CDC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b/>
          <w:bCs/>
          <w:lang w:val="en-US"/>
        </w:rPr>
      </w:pPr>
    </w:p>
    <w:p w14:paraId="3C74AE71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b/>
          <w:bCs/>
          <w:lang w:val="en-US"/>
        </w:rPr>
      </w:pPr>
    </w:p>
    <w:p w14:paraId="6354F991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b/>
          <w:bCs/>
          <w:lang w:val="en-US"/>
        </w:rPr>
      </w:pPr>
    </w:p>
    <w:p w14:paraId="4DF72BAE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b/>
          <w:bCs/>
          <w:lang w:val="en-US"/>
        </w:rPr>
      </w:pPr>
    </w:p>
    <w:p w14:paraId="1E53A3A8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b/>
          <w:bCs/>
          <w:lang w:val="en-US"/>
        </w:rPr>
      </w:pPr>
    </w:p>
    <w:p w14:paraId="09BA17A9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b/>
          <w:bCs/>
          <w:lang w:val="en-US"/>
        </w:rPr>
      </w:pPr>
    </w:p>
    <w:p w14:paraId="432A67A4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b/>
          <w:bCs/>
          <w:lang w:val="en-US"/>
        </w:rPr>
      </w:pPr>
    </w:p>
    <w:p w14:paraId="4CD6CFBA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b/>
          <w:bCs/>
          <w:lang w:val="en-US"/>
        </w:rPr>
      </w:pPr>
    </w:p>
    <w:p w14:paraId="67EBE18B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b/>
          <w:bCs/>
          <w:lang w:val="en-US"/>
        </w:rPr>
      </w:pPr>
    </w:p>
    <w:p w14:paraId="5F387C91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b/>
          <w:bCs/>
          <w:lang w:val="en-US"/>
        </w:rPr>
      </w:pPr>
    </w:p>
    <w:p w14:paraId="150FB62C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  <w:r w:rsidRPr="00367191">
        <w:rPr>
          <w:rFonts w:ascii="Calibri" w:eastAsia="Calibri" w:hAnsi="Calibri" w:cs="Times New Roman"/>
          <w:b/>
          <w:bCs/>
          <w:lang w:val="en-US"/>
        </w:rPr>
        <w:lastRenderedPageBreak/>
        <w:t xml:space="preserve">Supplementary figure 2. Survival in </w:t>
      </w:r>
      <w:r w:rsidRPr="00367191">
        <w:rPr>
          <w:rFonts w:ascii="Calibri" w:eastAsia="Calibri" w:hAnsi="Calibri" w:cs="Times New Roman"/>
          <w:b/>
          <w:bCs/>
          <w:i/>
          <w:iCs/>
          <w:lang w:val="en-US"/>
        </w:rPr>
        <w:t>S. aureus</w:t>
      </w:r>
      <w:r w:rsidRPr="00367191">
        <w:rPr>
          <w:rFonts w:ascii="Calibri" w:eastAsia="Calibri" w:hAnsi="Calibri" w:cs="Times New Roman"/>
          <w:b/>
          <w:bCs/>
          <w:lang w:val="en-US"/>
        </w:rPr>
        <w:t xml:space="preserve"> bacteremia patients that did or did not receive a PET/CT (adjusted for immortal time bias).</w:t>
      </w:r>
      <w:r w:rsidRPr="00367191">
        <w:rPr>
          <w:rFonts w:ascii="Calibri" w:eastAsia="Calibri" w:hAnsi="Calibri" w:cs="Times New Roman"/>
          <w:i/>
          <w:iCs/>
          <w:lang w:val="en-US"/>
        </w:rPr>
        <w:t xml:space="preserve"> </w:t>
      </w:r>
    </w:p>
    <w:p w14:paraId="16CC7441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367191">
        <w:rPr>
          <w:rFonts w:ascii="Calibri" w:eastAsia="Calibri" w:hAnsi="Calibri" w:cs="Times New Roman"/>
          <w:noProof/>
          <w:lang w:val="nl-NL" w:eastAsia="nl-NL"/>
        </w:rPr>
        <w:drawing>
          <wp:anchor distT="0" distB="0" distL="114300" distR="114300" simplePos="0" relativeHeight="251661312" behindDoc="0" locked="0" layoutInCell="1" allowOverlap="1" wp14:anchorId="1156354A" wp14:editId="3347054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00650" cy="3402375"/>
            <wp:effectExtent l="0" t="0" r="0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40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9492EB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2AD508C8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49BE981A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2FDE072C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73C5E1C5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09734B04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27118317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65DECA64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2F0751A5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46D3EF52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4B910876" w14:textId="77777777" w:rsidR="00367191" w:rsidRPr="00367191" w:rsidRDefault="00367191" w:rsidP="00367191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14:paraId="15FE7162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  <w:r w:rsidRPr="00367191">
        <w:rPr>
          <w:rFonts w:ascii="Calibri" w:eastAsia="Calibri" w:hAnsi="Calibri" w:cs="Times New Roman"/>
          <w:lang w:val="en-US"/>
        </w:rPr>
        <w:t xml:space="preserve">Kaplan-Meier curve representing survival of patients with </w:t>
      </w:r>
      <w:r w:rsidRPr="00367191">
        <w:rPr>
          <w:rFonts w:ascii="Calibri" w:eastAsia="Calibri" w:hAnsi="Calibri" w:cs="Times New Roman"/>
          <w:i/>
          <w:iCs/>
          <w:lang w:val="en-US"/>
        </w:rPr>
        <w:t>S. aureus</w:t>
      </w:r>
      <w:r w:rsidRPr="00367191">
        <w:rPr>
          <w:rFonts w:ascii="Calibri" w:eastAsia="Calibri" w:hAnsi="Calibri" w:cs="Times New Roman"/>
          <w:lang w:val="en-US"/>
        </w:rPr>
        <w:t xml:space="preserve"> bacteremia at 30 days, without patients that passed away in the first six days, which was the median time to PET/CT (Q1 4.3 – Q3 8.3). </w:t>
      </w:r>
    </w:p>
    <w:p w14:paraId="5D508043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74556500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0B10A8F7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192EB7DE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3050729A" w14:textId="77777777" w:rsidR="00367191" w:rsidRPr="00367191" w:rsidRDefault="00367191" w:rsidP="00367191">
      <w:pPr>
        <w:spacing w:after="160" w:line="360" w:lineRule="auto"/>
        <w:rPr>
          <w:rFonts w:ascii="Calibri" w:eastAsia="Calibri" w:hAnsi="Calibri" w:cs="Times New Roman"/>
          <w:lang w:val="en-US"/>
        </w:rPr>
      </w:pPr>
    </w:p>
    <w:p w14:paraId="45865710" w14:textId="77777777" w:rsidR="00367191" w:rsidRPr="00367191" w:rsidRDefault="00367191">
      <w:pPr>
        <w:rPr>
          <w:lang w:val="en-US"/>
        </w:rPr>
      </w:pPr>
    </w:p>
    <w:sectPr w:rsidR="00B87520" w:rsidRPr="003671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67191"/>
    <w:rsid w:val="00367191"/>
    <w:rsid w:val="006B120E"/>
    <w:rsid w:val="006F0189"/>
    <w:rsid w:val="007C4985"/>
    <w:rsid w:val="00883086"/>
    <w:rsid w:val="00C35F68"/>
    <w:rsid w:val="00C7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4990"/>
  <w15:chartTrackingRefBased/>
  <w15:docId w15:val="{001CB23D-87EA-4A93-9E83-9FEC6E57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584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de Boer</dc:creator>
  <cp:keywords/>
  <dc:description/>
  <cp:lastModifiedBy>Mark de Boer</cp:lastModifiedBy>
  <cp:revision>1</cp:revision>
  <dcterms:created xsi:type="dcterms:W3CDTF">2024-10-19T16:14:00Z</dcterms:created>
  <dcterms:modified xsi:type="dcterms:W3CDTF">2024-10-19T16:14:00Z</dcterms:modified>
</cp:coreProperties>
</file>