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57847" w:rsidRPr="00C4726A" w:rsidRDefault="00857847" w:rsidP="00857847">
      <w:pPr>
        <w:spacing w:after="200"/>
        <w:jc w:val="both"/>
        <w:rPr>
          <w:lang w:val="en-GB"/>
        </w:rPr>
      </w:pPr>
      <w:r w:rsidRPr="00C4726A">
        <w:rPr>
          <w:b/>
          <w:bCs/>
          <w:sz w:val="28"/>
          <w:szCs w:val="28"/>
          <w:lang w:val="en-GB"/>
        </w:rPr>
        <w:t>Clinical</w:t>
      </w:r>
      <w:r>
        <w:rPr>
          <w:b/>
          <w:bCs/>
          <w:sz w:val="28"/>
          <w:szCs w:val="28"/>
          <w:lang w:val="en-GB"/>
        </w:rPr>
        <w:t xml:space="preserve"> and</w:t>
      </w:r>
      <w:r w:rsidRPr="00C4726A">
        <w:rPr>
          <w:b/>
          <w:bCs/>
          <w:sz w:val="28"/>
          <w:szCs w:val="28"/>
          <w:lang w:val="en-GB"/>
        </w:rPr>
        <w:t xml:space="preserve"> microbiological </w:t>
      </w:r>
      <w:r>
        <w:rPr>
          <w:b/>
          <w:bCs/>
          <w:sz w:val="28"/>
          <w:szCs w:val="28"/>
          <w:lang w:val="en-GB"/>
        </w:rPr>
        <w:t xml:space="preserve">characteristics and outcomes of </w:t>
      </w:r>
      <w:r w:rsidRPr="00C4726A">
        <w:rPr>
          <w:b/>
          <w:bCs/>
          <w:sz w:val="28"/>
          <w:szCs w:val="28"/>
          <w:lang w:val="en-GB"/>
        </w:rPr>
        <w:t xml:space="preserve">complicated urinary tract infections managed in a </w:t>
      </w:r>
      <w:proofErr w:type="gramStart"/>
      <w:r w:rsidRPr="00C4726A">
        <w:rPr>
          <w:b/>
          <w:bCs/>
          <w:sz w:val="28"/>
          <w:szCs w:val="28"/>
          <w:lang w:val="en-GB"/>
        </w:rPr>
        <w:t>Hospital</w:t>
      </w:r>
      <w:proofErr w:type="gramEnd"/>
      <w:r w:rsidRPr="00C4726A">
        <w:rPr>
          <w:b/>
          <w:bCs/>
          <w:sz w:val="28"/>
          <w:szCs w:val="28"/>
          <w:lang w:val="en-GB"/>
        </w:rPr>
        <w:t>-at-Home programme: a prospective observational cohort study</w:t>
      </w:r>
    </w:p>
    <w:p w:rsidR="00857847" w:rsidRPr="00C250D2" w:rsidRDefault="00857847" w:rsidP="00857847">
      <w:pPr>
        <w:spacing w:after="100"/>
        <w:jc w:val="both"/>
      </w:pPr>
      <w:r w:rsidRPr="00C250D2">
        <w:rPr>
          <w:b/>
          <w:bCs/>
        </w:rPr>
        <w:t xml:space="preserve">Authors: </w:t>
      </w:r>
      <w:r w:rsidRPr="00C250D2">
        <w:t>Lira Pelari Mici¹, Elena Arranz Canales², Alexia Constanza Espiño Álvarez², Eva María Fernández Bermejo², Ángela Sánchez Juez², Victoria Gutiérrez Gómez-Lus², Fernando Ruiz Berraco², Saida Alonso Marrero², Jaime Bustos Carpio², José Curbelo³, Eduardo Albers Acosta⁴, Pablo Rodríguez Cortés²</w:t>
      </w:r>
      <w:r w:rsidRPr="00C250D2">
        <w:rPr>
          <w:vertAlign w:val="superscript"/>
        </w:rPr>
        <w:t>, 5</w:t>
      </w:r>
      <w:r w:rsidRPr="00C250D2">
        <w:t>.</w:t>
      </w:r>
    </w:p>
    <w:p w:rsidR="00857847" w:rsidRPr="00C250D2" w:rsidRDefault="00857847" w:rsidP="00857847">
      <w:pPr>
        <w:spacing w:after="50"/>
        <w:jc w:val="both"/>
      </w:pPr>
      <w:r w:rsidRPr="00C250D2">
        <w:rPr>
          <w:b/>
          <w:bCs/>
        </w:rPr>
        <w:t>Affiliations:</w:t>
      </w:r>
    </w:p>
    <w:p w:rsidR="00857847" w:rsidRPr="00C250D2" w:rsidRDefault="00857847" w:rsidP="00857847">
      <w:pPr>
        <w:spacing w:after="50"/>
        <w:jc w:val="both"/>
      </w:pPr>
      <w:r w:rsidRPr="00C250D2">
        <w:t>1. Department of Urology, Hospital Universitario de La Princesa, Madrid, Spain.</w:t>
      </w:r>
    </w:p>
    <w:p w:rsidR="00857847" w:rsidRPr="00C250D2" w:rsidRDefault="00857847" w:rsidP="00857847">
      <w:pPr>
        <w:spacing w:after="50"/>
        <w:jc w:val="both"/>
      </w:pPr>
      <w:r w:rsidRPr="00C250D2">
        <w:t>2. Hospital-at-Home Unit, Hospital Universitario de La Princesa, Madrid, Spain.</w:t>
      </w:r>
    </w:p>
    <w:p w:rsidR="00857847" w:rsidRPr="00C4726A" w:rsidRDefault="00857847" w:rsidP="00857847">
      <w:pPr>
        <w:spacing w:after="50"/>
        <w:jc w:val="both"/>
        <w:rPr>
          <w:lang w:val="en-GB"/>
        </w:rPr>
      </w:pPr>
      <w:r w:rsidRPr="00C4726A">
        <w:rPr>
          <w:lang w:val="en-GB"/>
        </w:rPr>
        <w:t>3. Faculty of Medicine, Universidad Francisco de Vitoria, Madrid, Spain.</w:t>
      </w:r>
    </w:p>
    <w:p w:rsidR="00857847" w:rsidRDefault="00857847" w:rsidP="00857847">
      <w:pPr>
        <w:spacing w:after="50"/>
        <w:jc w:val="both"/>
        <w:rPr>
          <w:lang w:val="en-GB"/>
        </w:rPr>
      </w:pPr>
      <w:r w:rsidRPr="00C4726A">
        <w:rPr>
          <w:lang w:val="en-GB"/>
        </w:rPr>
        <w:t>4. Department of Urology, University Hospital Basel, Basel, Switzerland.</w:t>
      </w:r>
    </w:p>
    <w:p w:rsidR="00857847" w:rsidRPr="00C4726A" w:rsidRDefault="00857847" w:rsidP="00857847">
      <w:pPr>
        <w:spacing w:after="50"/>
        <w:jc w:val="both"/>
        <w:rPr>
          <w:lang w:val="en-GB"/>
        </w:rPr>
      </w:pPr>
      <w:r>
        <w:rPr>
          <w:lang w:val="en-GB"/>
        </w:rPr>
        <w:t xml:space="preserve">5. </w:t>
      </w:r>
      <w:r w:rsidRPr="00733787">
        <w:rPr>
          <w:lang w:val="en-GB"/>
        </w:rPr>
        <w:t>PhD Programme in Medicine and Surgery, Universidad Autónoma de Madrid, Madrid, Spain.</w:t>
      </w:r>
    </w:p>
    <w:p w:rsidR="00857847" w:rsidRPr="00C4726A" w:rsidRDefault="00857847" w:rsidP="00857847">
      <w:pPr>
        <w:spacing w:before="150" w:after="50"/>
        <w:jc w:val="both"/>
        <w:rPr>
          <w:lang w:val="en-GB"/>
        </w:rPr>
      </w:pPr>
      <w:r w:rsidRPr="00C4726A">
        <w:rPr>
          <w:b/>
          <w:bCs/>
          <w:lang w:val="en-GB"/>
        </w:rPr>
        <w:t xml:space="preserve">Acknowledgments: </w:t>
      </w:r>
      <w:r w:rsidRPr="00C4726A">
        <w:rPr>
          <w:lang w:val="en-GB"/>
        </w:rPr>
        <w:t>None.</w:t>
      </w:r>
    </w:p>
    <w:p w:rsidR="00857847" w:rsidRPr="00C250D2" w:rsidRDefault="00857847" w:rsidP="00857847">
      <w:pPr>
        <w:spacing w:before="150" w:after="50"/>
        <w:jc w:val="both"/>
      </w:pPr>
      <w:r w:rsidRPr="00C250D2">
        <w:rPr>
          <w:b/>
          <w:bCs/>
        </w:rPr>
        <w:t>ORCIDs:</w:t>
      </w:r>
    </w:p>
    <w:p w:rsidR="00857847" w:rsidRPr="00C250D2" w:rsidRDefault="00857847" w:rsidP="00857847">
      <w:pPr>
        <w:spacing w:after="30"/>
        <w:jc w:val="both"/>
      </w:pPr>
      <w:r w:rsidRPr="00C250D2">
        <w:t>Lira Pelari Mici: 0000-0002-8954-5351</w:t>
      </w:r>
    </w:p>
    <w:p w:rsidR="00857847" w:rsidRPr="00C250D2" w:rsidRDefault="00857847" w:rsidP="00857847">
      <w:pPr>
        <w:spacing w:after="30"/>
        <w:jc w:val="both"/>
      </w:pPr>
      <w:r w:rsidRPr="00C250D2">
        <w:t>Elena Arranz Canales: 0009-0002-9404-6415</w:t>
      </w:r>
    </w:p>
    <w:p w:rsidR="00857847" w:rsidRPr="00C250D2" w:rsidRDefault="00857847" w:rsidP="00857847">
      <w:pPr>
        <w:spacing w:after="30"/>
        <w:jc w:val="both"/>
      </w:pPr>
      <w:r w:rsidRPr="00C250D2">
        <w:t>Alexia Constanza Espiño Álvarez: 0000-0001-5343-9541</w:t>
      </w:r>
    </w:p>
    <w:p w:rsidR="00857847" w:rsidRPr="00C250D2" w:rsidRDefault="00857847" w:rsidP="00857847">
      <w:pPr>
        <w:spacing w:after="30"/>
        <w:jc w:val="both"/>
      </w:pPr>
      <w:r w:rsidRPr="00C250D2">
        <w:t>Eva María Fernández Bermejo: 0009-0007-0693-9667</w:t>
      </w:r>
    </w:p>
    <w:p w:rsidR="00857847" w:rsidRPr="00C250D2" w:rsidRDefault="00857847" w:rsidP="00857847">
      <w:pPr>
        <w:spacing w:after="30"/>
        <w:jc w:val="both"/>
      </w:pPr>
      <w:r w:rsidRPr="00C250D2">
        <w:t>Ángela Sánchez Juez: 0009-0007-0203-2355</w:t>
      </w:r>
    </w:p>
    <w:p w:rsidR="00857847" w:rsidRPr="00C250D2" w:rsidRDefault="00857847" w:rsidP="00857847">
      <w:pPr>
        <w:spacing w:after="30"/>
        <w:jc w:val="both"/>
      </w:pPr>
      <w:r w:rsidRPr="00C250D2">
        <w:t>Victoria Gutiérrez Gómez-Lus: 0009-0007-3326-4896</w:t>
      </w:r>
    </w:p>
    <w:p w:rsidR="00857847" w:rsidRPr="00C250D2" w:rsidRDefault="00857847" w:rsidP="00857847">
      <w:pPr>
        <w:spacing w:after="30"/>
        <w:jc w:val="both"/>
      </w:pPr>
      <w:r w:rsidRPr="00C250D2">
        <w:t>Fernando Ruiz Berraco: 0009-0008-1652-4622</w:t>
      </w:r>
    </w:p>
    <w:p w:rsidR="00857847" w:rsidRPr="00C250D2" w:rsidRDefault="00857847" w:rsidP="00857847">
      <w:pPr>
        <w:spacing w:after="30"/>
        <w:jc w:val="both"/>
      </w:pPr>
      <w:r w:rsidRPr="00C250D2">
        <w:t>Saida Alonso Marrero: 0009-0003-5212-6940</w:t>
      </w:r>
    </w:p>
    <w:p w:rsidR="00857847" w:rsidRPr="00C250D2" w:rsidRDefault="00857847" w:rsidP="00857847">
      <w:pPr>
        <w:spacing w:after="30"/>
        <w:jc w:val="both"/>
      </w:pPr>
      <w:r w:rsidRPr="00C250D2">
        <w:t>Jaime Bustos Carpio: 0009-0009-3734-3393</w:t>
      </w:r>
    </w:p>
    <w:p w:rsidR="00857847" w:rsidRPr="00C250D2" w:rsidRDefault="00857847" w:rsidP="00857847">
      <w:pPr>
        <w:spacing w:after="30"/>
        <w:jc w:val="both"/>
      </w:pPr>
      <w:r w:rsidRPr="00C250D2">
        <w:t>José Curbelo: 0000-0002-0809-9944</w:t>
      </w:r>
    </w:p>
    <w:p w:rsidR="00857847" w:rsidRPr="00C250D2" w:rsidRDefault="00857847" w:rsidP="00857847">
      <w:pPr>
        <w:spacing w:after="30"/>
        <w:jc w:val="both"/>
      </w:pPr>
      <w:r w:rsidRPr="00C250D2">
        <w:t>Eduardo Albers Acosta: 0000-0002-0091-6209</w:t>
      </w:r>
    </w:p>
    <w:p w:rsidR="00857847" w:rsidRPr="00C250D2" w:rsidRDefault="00857847" w:rsidP="00857847">
      <w:pPr>
        <w:spacing w:after="30"/>
        <w:jc w:val="both"/>
      </w:pPr>
      <w:r w:rsidRPr="00C250D2">
        <w:t>Pablo Rodríguez Cortés: 0000-0003-1321-0616</w:t>
      </w:r>
    </w:p>
    <w:p w:rsidR="00857847" w:rsidRPr="00C250D2" w:rsidRDefault="00857847" w:rsidP="00857847">
      <w:pPr>
        <w:spacing w:after="30"/>
        <w:jc w:val="both"/>
        <w:rPr>
          <w:b/>
          <w:bCs/>
        </w:rPr>
      </w:pPr>
    </w:p>
    <w:p w:rsidR="00857847" w:rsidRPr="00C250D2" w:rsidRDefault="00857847" w:rsidP="00857847">
      <w:pPr>
        <w:spacing w:after="30"/>
        <w:jc w:val="both"/>
        <w:rPr>
          <w:b/>
          <w:bCs/>
        </w:rPr>
      </w:pPr>
      <w:r w:rsidRPr="00C250D2">
        <w:rPr>
          <w:b/>
          <w:bCs/>
        </w:rPr>
        <w:t xml:space="preserve">Corresponding author: </w:t>
      </w:r>
    </w:p>
    <w:p w:rsidR="00857847" w:rsidRPr="00C250D2" w:rsidRDefault="00857847" w:rsidP="00857847">
      <w:pPr>
        <w:spacing w:after="30"/>
        <w:jc w:val="both"/>
      </w:pPr>
      <w:r w:rsidRPr="00C250D2">
        <w:t xml:space="preserve">Pablo Rodríguez Cortés, </w:t>
      </w:r>
      <w:hyperlink r:id="rId5" w:history="1">
        <w:r w:rsidRPr="00C250D2">
          <w:t>pablo.rodriguezcortes@estudiante.uam.es</w:t>
        </w:r>
      </w:hyperlink>
      <w:r w:rsidRPr="00C250D2">
        <w:t xml:space="preserve"> </w:t>
      </w:r>
    </w:p>
    <w:p w:rsidR="00857847" w:rsidRPr="00C250D2" w:rsidRDefault="00857847" w:rsidP="00857847">
      <w:pPr>
        <w:spacing w:after="30"/>
        <w:jc w:val="both"/>
      </w:pPr>
      <w:r w:rsidRPr="00C250D2">
        <w:t>C/ Diego de León 62, 28006 Madrid, Spain</w:t>
      </w:r>
    </w:p>
    <w:p w:rsidR="00857847" w:rsidRPr="00857847" w:rsidRDefault="00857847" w:rsidP="00857847">
      <w:pPr>
        <w:rPr>
          <w:b/>
          <w:bCs/>
          <w:color w:val="2E74B5"/>
          <w:sz w:val="24"/>
          <w:szCs w:val="24"/>
        </w:rPr>
      </w:pPr>
      <w:r w:rsidRPr="008235D7">
        <w:br w:type="page"/>
      </w:r>
    </w:p>
    <w:p w:rsidR="00347901" w:rsidRPr="009150FE" w:rsidRDefault="00000000" w:rsidP="00210DE5">
      <w:pPr>
        <w:pStyle w:val="Ttulo1"/>
        <w:rPr>
          <w:b/>
          <w:bCs/>
          <w:lang w:val="en-US"/>
        </w:rPr>
      </w:pPr>
      <w:r w:rsidRPr="009150FE">
        <w:rPr>
          <w:b/>
          <w:bCs/>
          <w:lang w:val="en-US"/>
        </w:rPr>
        <w:lastRenderedPageBreak/>
        <w:t>Online Resource 3. STROBE Statement - Checklist for cohort studies</w:t>
      </w:r>
    </w:p>
    <w:p w:rsidR="00347901" w:rsidRDefault="00347901">
      <w:pPr>
        <w:spacing w:after="200"/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2100"/>
        <w:gridCol w:w="5984"/>
        <w:gridCol w:w="6095"/>
      </w:tblGrid>
      <w:tr w:rsidR="00347901" w:rsidTr="00857847">
        <w:tc>
          <w:tcPr>
            <w:tcW w:w="700" w:type="dxa"/>
            <w:shd w:val="clear" w:color="auto" w:fill="D9D9D9"/>
          </w:tcPr>
          <w:p w:rsidR="00347901" w:rsidRDefault="00000000"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>Item No</w:t>
            </w:r>
          </w:p>
        </w:tc>
        <w:tc>
          <w:tcPr>
            <w:tcW w:w="2100" w:type="dxa"/>
            <w:shd w:val="clear" w:color="auto" w:fill="D9D9D9"/>
          </w:tcPr>
          <w:p w:rsidR="00347901" w:rsidRDefault="00000000"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>Recommendation</w:t>
            </w:r>
          </w:p>
        </w:tc>
        <w:tc>
          <w:tcPr>
            <w:tcW w:w="5984" w:type="dxa"/>
            <w:shd w:val="clear" w:color="auto" w:fill="D9D9D9"/>
          </w:tcPr>
          <w:p w:rsidR="00347901" w:rsidRDefault="00000000"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>STROBE checklist (cohort)</w:t>
            </w:r>
          </w:p>
        </w:tc>
        <w:tc>
          <w:tcPr>
            <w:tcW w:w="6095" w:type="dxa"/>
            <w:shd w:val="clear" w:color="auto" w:fill="D9D9D9"/>
          </w:tcPr>
          <w:p w:rsidR="00347901" w:rsidRDefault="00000000"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>Reported in manuscript (section)</w:t>
            </w:r>
          </w:p>
        </w:tc>
      </w:tr>
      <w:tr w:rsidR="00347901" w:rsidRPr="009150FE" w:rsidTr="00857847">
        <w:tc>
          <w:tcPr>
            <w:tcW w:w="7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1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Title and abstract</w:t>
            </w:r>
          </w:p>
        </w:tc>
        <w:tc>
          <w:tcPr>
            <w:tcW w:w="5984" w:type="dxa"/>
          </w:tcPr>
          <w:p w:rsidR="00347901" w:rsidRPr="009150FE" w:rsidRDefault="00000000">
            <w:pPr>
              <w:spacing w:after="60"/>
              <w:rPr>
                <w:lang w:val="en-US"/>
              </w:rPr>
            </w:pPr>
            <w:r w:rsidRPr="009150FE">
              <w:rPr>
                <w:sz w:val="16"/>
                <w:szCs w:val="16"/>
                <w:lang w:val="en-US"/>
              </w:rPr>
              <w:t>(a) Indicate the study's design with a commonly used term in the title or the abstract</w:t>
            </w:r>
          </w:p>
          <w:p w:rsidR="00347901" w:rsidRPr="009150FE" w:rsidRDefault="00000000">
            <w:pPr>
              <w:spacing w:after="60"/>
              <w:rPr>
                <w:lang w:val="en-US"/>
              </w:rPr>
            </w:pPr>
            <w:r w:rsidRPr="009150FE">
              <w:rPr>
                <w:sz w:val="16"/>
                <w:szCs w:val="16"/>
                <w:lang w:val="en-US"/>
              </w:rPr>
              <w:t>(b) Provide in the abstract an informative and balanced summary of what was done and what was found</w:t>
            </w:r>
          </w:p>
        </w:tc>
        <w:tc>
          <w:tcPr>
            <w:tcW w:w="6095" w:type="dxa"/>
          </w:tcPr>
          <w:p w:rsidR="00347901" w:rsidRPr="009150FE" w:rsidRDefault="00000000">
            <w:pPr>
              <w:spacing w:after="60"/>
              <w:rPr>
                <w:lang w:val="en-US"/>
              </w:rPr>
            </w:pPr>
            <w:r w:rsidRPr="009150FE">
              <w:rPr>
                <w:sz w:val="16"/>
                <w:szCs w:val="16"/>
                <w:lang w:val="en-US"/>
              </w:rPr>
              <w:t>Abstract - Methods ("Prospective observational single-centre cohort")</w:t>
            </w:r>
          </w:p>
          <w:p w:rsidR="00347901" w:rsidRPr="009150FE" w:rsidRDefault="00000000">
            <w:pPr>
              <w:spacing w:after="60"/>
              <w:rPr>
                <w:lang w:val="en-US"/>
              </w:rPr>
            </w:pPr>
            <w:r w:rsidRPr="009150FE">
              <w:rPr>
                <w:sz w:val="16"/>
                <w:szCs w:val="16"/>
                <w:lang w:val="en-US"/>
              </w:rPr>
              <w:t>Abstract (Purpose / Methods / Results / Conclusion)</w:t>
            </w:r>
          </w:p>
        </w:tc>
      </w:tr>
      <w:tr w:rsidR="00347901" w:rsidTr="00857847">
        <w:tc>
          <w:tcPr>
            <w:tcW w:w="7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1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Background / rationale</w:t>
            </w:r>
          </w:p>
        </w:tc>
        <w:tc>
          <w:tcPr>
            <w:tcW w:w="5984" w:type="dxa"/>
          </w:tcPr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Explain the scientific background and rationale for the investigation being reported</w:t>
            </w:r>
          </w:p>
        </w:tc>
        <w:tc>
          <w:tcPr>
            <w:tcW w:w="6095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Introduction</w:t>
            </w:r>
          </w:p>
        </w:tc>
      </w:tr>
      <w:tr w:rsidR="00347901" w:rsidRPr="00857847" w:rsidTr="00857847">
        <w:tc>
          <w:tcPr>
            <w:tcW w:w="7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1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Objectives</w:t>
            </w:r>
          </w:p>
        </w:tc>
        <w:tc>
          <w:tcPr>
            <w:tcW w:w="5984" w:type="dxa"/>
          </w:tcPr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State specific objectives, including any prespecified hypotheses</w:t>
            </w:r>
          </w:p>
        </w:tc>
        <w:tc>
          <w:tcPr>
            <w:tcW w:w="6095" w:type="dxa"/>
          </w:tcPr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Introduction, final paragraph (primary and secondary, exploratory objectives)</w:t>
            </w:r>
          </w:p>
        </w:tc>
      </w:tr>
      <w:tr w:rsidR="00347901" w:rsidRPr="00857847" w:rsidTr="00857847">
        <w:tc>
          <w:tcPr>
            <w:tcW w:w="7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1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Study design</w:t>
            </w:r>
          </w:p>
        </w:tc>
        <w:tc>
          <w:tcPr>
            <w:tcW w:w="5984" w:type="dxa"/>
          </w:tcPr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Present key elements of study design early in the paper</w:t>
            </w:r>
          </w:p>
        </w:tc>
        <w:tc>
          <w:tcPr>
            <w:tcW w:w="6095" w:type="dxa"/>
          </w:tcPr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Methods, Study design and population</w:t>
            </w:r>
          </w:p>
        </w:tc>
      </w:tr>
      <w:tr w:rsidR="00347901" w:rsidRPr="00857847" w:rsidTr="00857847">
        <w:tc>
          <w:tcPr>
            <w:tcW w:w="7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1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Setting</w:t>
            </w:r>
          </w:p>
        </w:tc>
        <w:tc>
          <w:tcPr>
            <w:tcW w:w="5984" w:type="dxa"/>
          </w:tcPr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Describe the setting, locations and relevant dates, including periods of recruitment, exposure, follow-up, and data collection</w:t>
            </w:r>
          </w:p>
        </w:tc>
        <w:tc>
          <w:tcPr>
            <w:tcW w:w="6095" w:type="dxa"/>
          </w:tcPr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Methods, Study design and population (HaH Unit of a tertiary teaching hospital in Madrid, Spain; March 2023-October 2025)</w:t>
            </w:r>
          </w:p>
        </w:tc>
      </w:tr>
      <w:tr w:rsidR="00347901" w:rsidRPr="00857847" w:rsidTr="00857847">
        <w:tc>
          <w:tcPr>
            <w:tcW w:w="7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1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Participants</w:t>
            </w:r>
          </w:p>
        </w:tc>
        <w:tc>
          <w:tcPr>
            <w:tcW w:w="5984" w:type="dxa"/>
          </w:tcPr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(a) Cohort study - Give the eligibility criteria, and the sources and methods of selection of participants. Describe methods of follow-up</w:t>
            </w:r>
          </w:p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(b) Cohort study - For matched studies, give matching criteria and number of exposed and unexposed</w:t>
            </w:r>
          </w:p>
        </w:tc>
        <w:tc>
          <w:tcPr>
            <w:tcW w:w="6095" w:type="dxa"/>
          </w:tcPr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Methods, Study design and population (all consecutive cUTI episodes; admission-avoidance and early-discharge pathways) + Online Resource 1 (inclusion and exclusion criteria); 30-day follow-up described in Methods, Variables</w:t>
            </w:r>
          </w:p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Not applicable (single descriptive cohort; no matching)</w:t>
            </w:r>
          </w:p>
        </w:tc>
      </w:tr>
      <w:tr w:rsidR="00347901" w:rsidTr="00857847">
        <w:tc>
          <w:tcPr>
            <w:tcW w:w="7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21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Variables</w:t>
            </w:r>
          </w:p>
        </w:tc>
        <w:tc>
          <w:tcPr>
            <w:tcW w:w="5984" w:type="dxa"/>
          </w:tcPr>
          <w:p w:rsidR="00347901" w:rsidRDefault="00000000">
            <w:pPr>
              <w:spacing w:after="60"/>
            </w:pPr>
            <w:r w:rsidRPr="00857847">
              <w:rPr>
                <w:sz w:val="16"/>
                <w:szCs w:val="16"/>
                <w:lang w:val="en-US"/>
              </w:rPr>
              <w:t xml:space="preserve">Clearly define all outcomes, exposures, predictors, potential confounders, and effect modifiers. </w:t>
            </w:r>
            <w:r>
              <w:rPr>
                <w:sz w:val="16"/>
                <w:szCs w:val="16"/>
              </w:rPr>
              <w:t>Give diagnostic criteria, if applicable</w:t>
            </w:r>
          </w:p>
        </w:tc>
        <w:tc>
          <w:tcPr>
            <w:tcW w:w="6095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Methods, Definitions; Methods, Variables</w:t>
            </w:r>
          </w:p>
        </w:tc>
      </w:tr>
      <w:tr w:rsidR="00347901" w:rsidRPr="00857847" w:rsidTr="00857847">
        <w:tc>
          <w:tcPr>
            <w:tcW w:w="7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1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Data sources / measurement</w:t>
            </w:r>
          </w:p>
        </w:tc>
        <w:tc>
          <w:tcPr>
            <w:tcW w:w="5984" w:type="dxa"/>
          </w:tcPr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6095" w:type="dxa"/>
          </w:tcPr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Methods, Variables (purpose-built structured prospective database with periodic quality-control checks); Methods, Definitions (EAU 2024 Guidelines; Sepsis-3 criteria; predefined clinical-cure definition)</w:t>
            </w:r>
          </w:p>
        </w:tc>
      </w:tr>
      <w:tr w:rsidR="00347901" w:rsidRPr="00857847" w:rsidTr="00857847">
        <w:tc>
          <w:tcPr>
            <w:tcW w:w="7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21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Bias</w:t>
            </w:r>
          </w:p>
        </w:tc>
        <w:tc>
          <w:tcPr>
            <w:tcW w:w="5984" w:type="dxa"/>
          </w:tcPr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Describe any efforts to address potential sources of bias</w:t>
            </w:r>
          </w:p>
        </w:tc>
        <w:tc>
          <w:tcPr>
            <w:tcW w:w="6095" w:type="dxa"/>
          </w:tcPr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Methods, Study design and population (consecutive inclusion of all eligible episodes); Methods, Variables (prospective standardised data collection); Discussion, Limitations</w:t>
            </w:r>
          </w:p>
        </w:tc>
      </w:tr>
      <w:tr w:rsidR="00347901" w:rsidRPr="00857847" w:rsidTr="00857847">
        <w:tc>
          <w:tcPr>
            <w:tcW w:w="7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1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Study size</w:t>
            </w:r>
          </w:p>
        </w:tc>
        <w:tc>
          <w:tcPr>
            <w:tcW w:w="5984" w:type="dxa"/>
          </w:tcPr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Explain how the study size was arrived at</w:t>
            </w:r>
          </w:p>
        </w:tc>
        <w:tc>
          <w:tcPr>
            <w:tcW w:w="6095" w:type="dxa"/>
          </w:tcPr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Methods, Study design and population (all consecutive cUTI episodes during the inclusion period; n = 262); Discussion, Limitations (low events-per-variable ratio acknowledged)</w:t>
            </w:r>
          </w:p>
        </w:tc>
      </w:tr>
      <w:tr w:rsidR="00347901" w:rsidRPr="00857847" w:rsidTr="00857847">
        <w:tc>
          <w:tcPr>
            <w:tcW w:w="7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21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Quantitative variables</w:t>
            </w:r>
          </w:p>
        </w:tc>
        <w:tc>
          <w:tcPr>
            <w:tcW w:w="5984" w:type="dxa"/>
          </w:tcPr>
          <w:p w:rsidR="00347901" w:rsidRDefault="00000000">
            <w:pPr>
              <w:spacing w:after="60"/>
            </w:pPr>
            <w:r w:rsidRPr="00857847">
              <w:rPr>
                <w:sz w:val="16"/>
                <w:szCs w:val="16"/>
                <w:lang w:val="en-US"/>
              </w:rPr>
              <w:t xml:space="preserve">Explain how quantitative variables were handled in the analyses. </w:t>
            </w:r>
            <w:r>
              <w:rPr>
                <w:sz w:val="16"/>
                <w:szCs w:val="16"/>
              </w:rPr>
              <w:t>If applicable, describe which groupings were chosen and why</w:t>
            </w:r>
          </w:p>
        </w:tc>
        <w:tc>
          <w:tcPr>
            <w:tcW w:w="6095" w:type="dxa"/>
          </w:tcPr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Methods, Statistical analysis (continuous variables summarised as median/IQR; categorical as n/%). Age also categorised at &gt;65 and &gt;80 years for descriptive purposes (Table 1)</w:t>
            </w:r>
          </w:p>
        </w:tc>
      </w:tr>
      <w:tr w:rsidR="00347901" w:rsidRPr="00857847" w:rsidTr="00857847">
        <w:tc>
          <w:tcPr>
            <w:tcW w:w="7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21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Statistical methods</w:t>
            </w:r>
          </w:p>
        </w:tc>
        <w:tc>
          <w:tcPr>
            <w:tcW w:w="5984" w:type="dxa"/>
          </w:tcPr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(a) Describe all statistical methods, including those used to control for confounding</w:t>
            </w:r>
          </w:p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(b) Describe any methods used to examine subgroups and interactions</w:t>
            </w:r>
          </w:p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(c) Explain how missing data were addressed</w:t>
            </w:r>
          </w:p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(d) Cohort study - If applicable, explain how loss to follow-up was addressed</w:t>
            </w:r>
          </w:p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(e) Describe any sensitivity analyses</w:t>
            </w:r>
          </w:p>
        </w:tc>
        <w:tc>
          <w:tcPr>
            <w:tcW w:w="6095" w:type="dxa"/>
          </w:tcPr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Methods, Statistical analysis (Mann-Whitney U test; chi-squared with Yates correction or Fisher's exact test; exploratory multivariable logistic regression with candidate variables selected by clinical relevance and bivariate association. Charlson Comorbidity Index, Barthel Index and FRAIL-VIG Index were entered into the model together despite their conceptual overlap; this is acknowledged as a limitation in the Discussion)</w:t>
            </w:r>
          </w:p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Not applicable (no formal subgroup or interaction analyses planned)</w:t>
            </w:r>
          </w:p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Methods, Statistical analysis: "Permanent indwelling bladder catheter and urological manipulation status were not recorded for 4/262 episodes (1.5%); no missing values were recorded for any other variable included in the analyses, owing to the prospective and structured data-collection process. No imputation procedures were performed; the multivariable model was fitted on the 258 episodes with complete data. Stated also in footnotes of Tables 2 and 4</w:t>
            </w:r>
          </w:p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 xml:space="preserve">Methods, Variables: 30-day follow-up ascertained from the integrated electronic health record of the catchment area; patients with no recorded healthcare contact within this system were </w:t>
            </w:r>
            <w:r w:rsidRPr="00857847">
              <w:rPr>
                <w:sz w:val="16"/>
                <w:szCs w:val="16"/>
                <w:lang w:val="en-US"/>
              </w:rPr>
              <w:lastRenderedPageBreak/>
              <w:t>classified as event-free. Events occurring outside this system (e.g. private healthcare, other regions) could not be captured and may have been missed; this is acknowledged as a limitation rather than as negligible loss to follow-up</w:t>
            </w:r>
          </w:p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Not performed in this descriptive cohort</w:t>
            </w:r>
          </w:p>
        </w:tc>
      </w:tr>
      <w:tr w:rsidR="00347901" w:rsidRPr="00857847" w:rsidTr="00857847">
        <w:tc>
          <w:tcPr>
            <w:tcW w:w="7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lastRenderedPageBreak/>
              <w:t>13</w:t>
            </w:r>
          </w:p>
        </w:tc>
        <w:tc>
          <w:tcPr>
            <w:tcW w:w="21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Participants</w:t>
            </w:r>
          </w:p>
        </w:tc>
        <w:tc>
          <w:tcPr>
            <w:tcW w:w="5984" w:type="dxa"/>
          </w:tcPr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(a) Report numbers of individuals at each stage of study</w:t>
            </w:r>
          </w:p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(b) Give reasons for non-participation at each stage</w:t>
            </w:r>
          </w:p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(c) Consider use of a flow diagram</w:t>
            </w:r>
          </w:p>
        </w:tc>
        <w:tc>
          <w:tcPr>
            <w:tcW w:w="6095" w:type="dxa"/>
          </w:tcPr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Results, Baseline characteristics of the cohort: "All 262 consecutive cUTI episodes managed in the HaH Unit during the study period met the eligibility criteria and were included in the analysis; no patients were lost to 30-day follow-up (Fig. 1)"</w:t>
            </w:r>
          </w:p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Not applicable - consecutive inclusion of all eligible episodes; no non-participation</w:t>
            </w:r>
          </w:p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Fig. 1 - Patient flow diagram (262 consecutive episodes; complete 30-day follow-up; components of the composite endpoint)</w:t>
            </w:r>
          </w:p>
        </w:tc>
      </w:tr>
      <w:tr w:rsidR="00347901" w:rsidRPr="00857847" w:rsidTr="00857847">
        <w:tc>
          <w:tcPr>
            <w:tcW w:w="7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1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Descriptive data</w:t>
            </w:r>
          </w:p>
        </w:tc>
        <w:tc>
          <w:tcPr>
            <w:tcW w:w="5984" w:type="dxa"/>
          </w:tcPr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(a) Give characteristics of study participants and information on exposures and potential confounders</w:t>
            </w:r>
          </w:p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(b) Indicate number of participants with missing data for each variable of interest</w:t>
            </w:r>
          </w:p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(c) Cohort study - Summarise follow-up time</w:t>
            </w:r>
          </w:p>
        </w:tc>
        <w:tc>
          <w:tcPr>
            <w:tcW w:w="6095" w:type="dxa"/>
          </w:tcPr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Results, Baseline characteristics of the cohort + Table 1; Results, Urological and microbiological characteristics + Table 2</w:t>
            </w:r>
          </w:p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No missing data for any variable; explicitly stated in footnotes of Tables 1 and 2 and applicable to Tables 3 and 4 given the prospective structured data collection</w:t>
            </w:r>
          </w:p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Results, Antimicrobial therapy and management in Hospital-at-Home (median HaH stay 4 days, IQR 3); 30-day post-discharge follow-up window stated in Methods, Variables</w:t>
            </w:r>
          </w:p>
        </w:tc>
      </w:tr>
      <w:tr w:rsidR="00347901" w:rsidRPr="00857847" w:rsidTr="00857847">
        <w:tc>
          <w:tcPr>
            <w:tcW w:w="7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1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Outcome data</w:t>
            </w:r>
          </w:p>
        </w:tc>
        <w:tc>
          <w:tcPr>
            <w:tcW w:w="5984" w:type="dxa"/>
          </w:tcPr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Cohort study - Report numbers of outcome events or summary measures over time</w:t>
            </w:r>
          </w:p>
        </w:tc>
        <w:tc>
          <w:tcPr>
            <w:tcW w:w="6095" w:type="dxa"/>
          </w:tcPr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Results, Clinical outcomes during the HaH episode + 30-day outcomes + Table 3 (clinical cure, in-HaH unplanned transfer, in-HaH deaths, 30-day readmission, 30-day death, composite endpoint)</w:t>
            </w:r>
          </w:p>
        </w:tc>
      </w:tr>
      <w:tr w:rsidR="00347901" w:rsidTr="00857847">
        <w:tc>
          <w:tcPr>
            <w:tcW w:w="7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1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Main results</w:t>
            </w:r>
          </w:p>
        </w:tc>
        <w:tc>
          <w:tcPr>
            <w:tcW w:w="5984" w:type="dxa"/>
          </w:tcPr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(a) Give unadjusted estimates and, if applicable, confounder-adjusted estimates and their precision (e.g., 95% CI)</w:t>
            </w:r>
          </w:p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(b) Report category boundaries when continuous variables were categorised</w:t>
            </w:r>
          </w:p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(c) If relevant, consider translating estimates of relative risk into absolute risk for a meaningful time period</w:t>
            </w:r>
          </w:p>
        </w:tc>
        <w:tc>
          <w:tcPr>
            <w:tcW w:w="6095" w:type="dxa"/>
          </w:tcPr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Results, Factors associated with the 30-day composite endpoint + Table 4 (bivariate analysis); exploratory multivariable logistic regression with OR and 95% CI for older age and prior urological manipulation, with rationale for variable selection described in Methods, Statistical analysis</w:t>
            </w:r>
          </w:p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Age categorised at &gt;65 and &gt;80 years (Table 1)</w:t>
            </w:r>
          </w:p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Not applicable (descriptive cohort)</w:t>
            </w:r>
          </w:p>
        </w:tc>
      </w:tr>
      <w:tr w:rsidR="00347901" w:rsidTr="00857847">
        <w:tc>
          <w:tcPr>
            <w:tcW w:w="7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1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Other analyses</w:t>
            </w:r>
          </w:p>
        </w:tc>
        <w:tc>
          <w:tcPr>
            <w:tcW w:w="5984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Report other analyses done</w:t>
            </w:r>
          </w:p>
        </w:tc>
        <w:tc>
          <w:tcPr>
            <w:tcW w:w="6095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None performed</w:t>
            </w:r>
          </w:p>
        </w:tc>
      </w:tr>
      <w:tr w:rsidR="00347901" w:rsidTr="00857847">
        <w:tc>
          <w:tcPr>
            <w:tcW w:w="7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21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Key results</w:t>
            </w:r>
          </w:p>
        </w:tc>
        <w:tc>
          <w:tcPr>
            <w:tcW w:w="5984" w:type="dxa"/>
          </w:tcPr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Summarise key results with reference to study objectives</w:t>
            </w:r>
          </w:p>
        </w:tc>
        <w:tc>
          <w:tcPr>
            <w:tcW w:w="6095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Discussion, Main findings</w:t>
            </w:r>
          </w:p>
        </w:tc>
      </w:tr>
      <w:tr w:rsidR="00347901" w:rsidRPr="00857847" w:rsidTr="00857847">
        <w:tc>
          <w:tcPr>
            <w:tcW w:w="7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21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Limitations</w:t>
            </w:r>
          </w:p>
        </w:tc>
        <w:tc>
          <w:tcPr>
            <w:tcW w:w="5984" w:type="dxa"/>
          </w:tcPr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Discuss limitations of the study, taking into account sources of potential bias or imprecision</w:t>
            </w:r>
          </w:p>
        </w:tc>
        <w:tc>
          <w:tcPr>
            <w:tcW w:w="6095" w:type="dxa"/>
          </w:tcPr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Discussion, Limitations (single-centre design, absence of a concurrent conventional-hospitalisation comparator, heterogeneous composite endpoint, low events-per-variable ratio, 30-day follow-up window, outcomes not captured)</w:t>
            </w:r>
          </w:p>
        </w:tc>
      </w:tr>
      <w:tr w:rsidR="00347901" w:rsidRPr="00857847" w:rsidTr="00857847">
        <w:tc>
          <w:tcPr>
            <w:tcW w:w="7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1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Interpretation</w:t>
            </w:r>
          </w:p>
        </w:tc>
        <w:tc>
          <w:tcPr>
            <w:tcW w:w="5984" w:type="dxa"/>
          </w:tcPr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6095" w:type="dxa"/>
          </w:tcPr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Discussion, Comparison with previous literature; Discussion, Antimicrobial stewardship considerations; Discussion, Exploratory factors associated with the composite endpoint; Discussion, Clinical implications</w:t>
            </w:r>
          </w:p>
        </w:tc>
      </w:tr>
      <w:tr w:rsidR="00347901" w:rsidRPr="00857847" w:rsidTr="00857847">
        <w:tc>
          <w:tcPr>
            <w:tcW w:w="7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21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Generalisability</w:t>
            </w:r>
          </w:p>
        </w:tc>
        <w:tc>
          <w:tcPr>
            <w:tcW w:w="5984" w:type="dxa"/>
          </w:tcPr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Discuss the generalisability (external validity) of the study results</w:t>
            </w:r>
          </w:p>
        </w:tc>
        <w:tc>
          <w:tcPr>
            <w:tcW w:w="6095" w:type="dxa"/>
          </w:tcPr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Discussion, Limitations (single urban tertiary centre with defined catchment area)</w:t>
            </w:r>
          </w:p>
        </w:tc>
      </w:tr>
      <w:tr w:rsidR="00347901" w:rsidRPr="00857847" w:rsidTr="00857847">
        <w:tc>
          <w:tcPr>
            <w:tcW w:w="7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2100" w:type="dxa"/>
          </w:tcPr>
          <w:p w:rsidR="00347901" w:rsidRDefault="00000000">
            <w:pPr>
              <w:spacing w:after="60"/>
            </w:pPr>
            <w:r>
              <w:rPr>
                <w:sz w:val="16"/>
                <w:szCs w:val="16"/>
              </w:rPr>
              <w:t>Funding</w:t>
            </w:r>
          </w:p>
        </w:tc>
        <w:tc>
          <w:tcPr>
            <w:tcW w:w="5984" w:type="dxa"/>
          </w:tcPr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Give the source of funding and the role of the funders</w:t>
            </w:r>
          </w:p>
        </w:tc>
        <w:tc>
          <w:tcPr>
            <w:tcW w:w="6095" w:type="dxa"/>
          </w:tcPr>
          <w:p w:rsidR="00347901" w:rsidRPr="00857847" w:rsidRDefault="00000000">
            <w:pPr>
              <w:spacing w:after="60"/>
              <w:rPr>
                <w:lang w:val="en-US"/>
              </w:rPr>
            </w:pPr>
            <w:r w:rsidRPr="00857847">
              <w:rPr>
                <w:sz w:val="16"/>
                <w:szCs w:val="16"/>
                <w:lang w:val="en-US"/>
              </w:rPr>
              <w:t>Statements and Declarations - Funding (no specific grant from any funding agency)</w:t>
            </w:r>
          </w:p>
        </w:tc>
      </w:tr>
    </w:tbl>
    <w:p w:rsidR="00347901" w:rsidRPr="00857847" w:rsidRDefault="00000000">
      <w:pPr>
        <w:spacing w:before="200" w:after="100"/>
        <w:rPr>
          <w:lang w:val="en-US"/>
        </w:rPr>
      </w:pPr>
      <w:r w:rsidRPr="00857847">
        <w:rPr>
          <w:i/>
          <w:iCs/>
          <w:sz w:val="16"/>
          <w:szCs w:val="16"/>
          <w:lang w:val="en-US"/>
        </w:rPr>
        <w:t>All STROBE items have been addressed in the final manuscript. An editable Online Resource 1 (inclusion and exclusion criteria for HaH admission) and Online Resource 2 (description of the HaH Unit) accompany this checklist. The completed STROBE checklist is provided in accordance with the EQUATOR Network recommendations for reporting of observational cohort studies.</w:t>
      </w:r>
    </w:p>
    <w:sectPr w:rsidR="00347901" w:rsidRPr="00857847" w:rsidSect="00210DE5">
      <w:pgSz w:w="16838" w:h="11906" w:orient="landscape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64410"/>
    <w:multiLevelType w:val="hybridMultilevel"/>
    <w:tmpl w:val="A496969C"/>
    <w:lvl w:ilvl="0" w:tplc="87648CE0">
      <w:start w:val="1"/>
      <w:numFmt w:val="bullet"/>
      <w:lvlText w:val="●"/>
      <w:lvlJc w:val="left"/>
      <w:pPr>
        <w:ind w:left="720" w:hanging="360"/>
      </w:pPr>
    </w:lvl>
    <w:lvl w:ilvl="1" w:tplc="E67842D4">
      <w:start w:val="1"/>
      <w:numFmt w:val="bullet"/>
      <w:lvlText w:val="○"/>
      <w:lvlJc w:val="left"/>
      <w:pPr>
        <w:ind w:left="1440" w:hanging="360"/>
      </w:pPr>
    </w:lvl>
    <w:lvl w:ilvl="2" w:tplc="4BA8E22E">
      <w:start w:val="1"/>
      <w:numFmt w:val="bullet"/>
      <w:lvlText w:val="■"/>
      <w:lvlJc w:val="left"/>
      <w:pPr>
        <w:ind w:left="2160" w:hanging="360"/>
      </w:pPr>
    </w:lvl>
    <w:lvl w:ilvl="3" w:tplc="C09467B0">
      <w:start w:val="1"/>
      <w:numFmt w:val="bullet"/>
      <w:lvlText w:val="●"/>
      <w:lvlJc w:val="left"/>
      <w:pPr>
        <w:ind w:left="2880" w:hanging="360"/>
      </w:pPr>
    </w:lvl>
    <w:lvl w:ilvl="4" w:tplc="6354FFF0">
      <w:start w:val="1"/>
      <w:numFmt w:val="bullet"/>
      <w:lvlText w:val="○"/>
      <w:lvlJc w:val="left"/>
      <w:pPr>
        <w:ind w:left="3600" w:hanging="360"/>
      </w:pPr>
    </w:lvl>
    <w:lvl w:ilvl="5" w:tplc="60CE179E">
      <w:start w:val="1"/>
      <w:numFmt w:val="bullet"/>
      <w:lvlText w:val="■"/>
      <w:lvlJc w:val="left"/>
      <w:pPr>
        <w:ind w:left="4320" w:hanging="360"/>
      </w:pPr>
    </w:lvl>
    <w:lvl w:ilvl="6" w:tplc="6492CFE0">
      <w:start w:val="1"/>
      <w:numFmt w:val="bullet"/>
      <w:lvlText w:val="●"/>
      <w:lvlJc w:val="left"/>
      <w:pPr>
        <w:ind w:left="5040" w:hanging="360"/>
      </w:pPr>
    </w:lvl>
    <w:lvl w:ilvl="7" w:tplc="6972C76C">
      <w:start w:val="1"/>
      <w:numFmt w:val="bullet"/>
      <w:lvlText w:val="●"/>
      <w:lvlJc w:val="left"/>
      <w:pPr>
        <w:ind w:left="5760" w:hanging="360"/>
      </w:pPr>
    </w:lvl>
    <w:lvl w:ilvl="8" w:tplc="0FE04D06">
      <w:start w:val="1"/>
      <w:numFmt w:val="bullet"/>
      <w:lvlText w:val="●"/>
      <w:lvlJc w:val="left"/>
      <w:pPr>
        <w:ind w:left="6480" w:hanging="360"/>
      </w:pPr>
    </w:lvl>
  </w:abstractNum>
  <w:num w:numId="1" w16cid:durableId="14342039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901"/>
    <w:rsid w:val="00210DE5"/>
    <w:rsid w:val="00294AA9"/>
    <w:rsid w:val="00347901"/>
    <w:rsid w:val="005A6D1F"/>
    <w:rsid w:val="00857847"/>
    <w:rsid w:val="00915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AAB74"/>
  <w15:docId w15:val="{DA3FC5C9-81F0-6C47-BABE-4B1E2DB04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ablo.rodriguezcortes@estudiante.uam.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1592</Words>
  <Characters>8756</Characters>
  <Application>Microsoft Office Word</Application>
  <DocSecurity>0</DocSecurity>
  <Lines>72</Lines>
  <Paragraphs>20</Paragraphs>
  <ScaleCrop>false</ScaleCrop>
  <Company/>
  <LinksUpToDate>false</LinksUpToDate>
  <CharactersWithSpaces>10328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STROBE checklist - Online Resource 3</dc:title>
  <dc:creator>EJCMID submission</dc:creator>
  <cp:lastModifiedBy>Pablo Rodríguez Cortés</cp:lastModifiedBy>
  <cp:revision>3</cp:revision>
  <dcterms:created xsi:type="dcterms:W3CDTF">2026-08-17T10:16:00Z</dcterms:created>
  <dcterms:modified xsi:type="dcterms:W3CDTF">2026-08-17T10:17:00Z</dcterms:modified>
</cp:coreProperties>
</file>