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A54CD" w14:textId="77777777" w:rsidR="0007172B" w:rsidRDefault="0007172B" w:rsidP="0007172B">
      <w:pPr>
        <w:rPr>
          <w:rFonts w:ascii="Cambria" w:eastAsia="Times New Roman" w:hAnsi="Cambria" w:cs="Times New Roman"/>
          <w:b/>
          <w:bCs/>
          <w:color w:val="1B1B1B"/>
          <w:kern w:val="0"/>
          <w:sz w:val="26"/>
          <w:szCs w:val="26"/>
          <w:lang w:eastAsia="it-IT"/>
          <w14:ligatures w14:val="none"/>
        </w:rPr>
      </w:pPr>
      <w:r w:rsidRPr="0007172B">
        <w:rPr>
          <w:rFonts w:ascii="Cambria" w:eastAsia="Times New Roman" w:hAnsi="Cambria" w:cs="Times New Roman"/>
          <w:b/>
          <w:bCs/>
          <w:color w:val="1B1B1B"/>
          <w:kern w:val="0"/>
          <w:sz w:val="26"/>
          <w:szCs w:val="26"/>
          <w:lang w:eastAsia="it-IT"/>
          <w14:ligatures w14:val="none"/>
        </w:rPr>
        <w:t>Standard definitions adopted for the analysis</w:t>
      </w:r>
    </w:p>
    <w:p w14:paraId="1D8C7183" w14:textId="77777777" w:rsidR="0007172B" w:rsidRPr="0007172B" w:rsidRDefault="0007172B" w:rsidP="0007172B">
      <w:pPr>
        <w:rPr>
          <w:rFonts w:ascii="Cambria" w:eastAsia="Times New Roman" w:hAnsi="Cambria" w:cs="Times New Roman"/>
          <w:b/>
          <w:bCs/>
          <w:color w:val="1B1B1B"/>
          <w:kern w:val="0"/>
          <w:sz w:val="26"/>
          <w:szCs w:val="26"/>
          <w:lang w:eastAsia="it-IT"/>
          <w14:ligatures w14:val="none"/>
        </w:rPr>
      </w:pPr>
    </w:p>
    <w:tbl>
      <w:tblPr>
        <w:tblW w:w="1016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8"/>
        <w:gridCol w:w="8212"/>
      </w:tblGrid>
      <w:tr w:rsidR="0007172B" w:rsidRPr="0007172B" w14:paraId="7726A673" w14:textId="77777777" w:rsidTr="0007172B">
        <w:trPr>
          <w:tblHeader/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DA3F4E5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Definition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5F6C66A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Explanation</w:t>
            </w:r>
          </w:p>
        </w:tc>
      </w:tr>
      <w:tr w:rsidR="0007172B" w:rsidRPr="0007172B" w14:paraId="46DECCCB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0CC70BB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BC set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E0D7F70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Pair of BC bottles (aerobic and anaerobic), or single bottles, obtained from the same sampling procedure; applies for multi-sampling strategy only (MSS).</w:t>
            </w:r>
          </w:p>
        </w:tc>
      </w:tr>
      <w:tr w:rsidR="0007172B" w:rsidRPr="0007172B" w14:paraId="2507F2E8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C63712B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BC episode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DF96E44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Group of BC bottles collected within 24 h (after the first index BC sample that defines hour 0) from a single patient in a hospital area</w:t>
            </w:r>
          </w:p>
        </w:tc>
      </w:tr>
      <w:tr w:rsidR="0007172B" w:rsidRPr="0007172B" w14:paraId="6E11D169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CFE7DB5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PV episode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A2950EA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Episode consisting of a group of BC bottles obtained exclusively from PV</w:t>
            </w:r>
          </w:p>
        </w:tc>
      </w:tr>
      <w:tr w:rsidR="0007172B" w:rsidRPr="0007172B" w14:paraId="55854994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C9B9006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CVC episode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6F0F8CB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Episode consisting of a group of BC bottles with at least one sample from a CVC. Any peripheral vein samples part of the same episode is considered part of the CVC episode</w:t>
            </w:r>
          </w:p>
        </w:tc>
      </w:tr>
      <w:tr w:rsidR="0007172B" w:rsidRPr="0007172B" w14:paraId="6CEF9964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56497B1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Solitary episode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F1C54D7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Episode consisting of a single BC set or of a single BC bottle</w:t>
            </w:r>
          </w:p>
        </w:tc>
      </w:tr>
      <w:tr w:rsidR="0007172B" w:rsidRPr="0007172B" w14:paraId="2A2CA2A8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EDC70A3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Contaminant organisms panel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9D9F8DB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CoNS (excluding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S. lugdunensis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),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Micrococcus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spp.,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Cutibacterium acnes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,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Corynebacterium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spp. (excluding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C. jeikeium and C. striatum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),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Bacillus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spp.,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Lactobacillus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spp., </w:t>
            </w:r>
            <w:r w:rsidRPr="0007172B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Aerococcus</w:t>
            </w: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spp.</w:t>
            </w:r>
          </w:p>
        </w:tc>
      </w:tr>
      <w:tr w:rsidR="0007172B" w:rsidRPr="0007172B" w14:paraId="5581D3FB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D68CA3F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Restrictive contamination criteria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82383BE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Non-solitary PV episode with an isolated organism belonging to the contaminant organisms panel found in only one BC bottle</w:t>
            </w:r>
          </w:p>
        </w:tc>
      </w:tr>
      <w:tr w:rsidR="0007172B" w:rsidRPr="0007172B" w14:paraId="5A86F9C8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0AE3AB8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Contaminations after manual review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70F8C51" w14:textId="77777777" w:rsidR="0007172B" w:rsidRPr="0007172B" w:rsidRDefault="0007172B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7172B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Manual definition by an operator of adjunctive contaminated events. The system gives the opportunity of reviewing non-solitary episodes with an organism belonging to the contaminant organisms panel found in &gt; 1 BC bottles (any number of bottles) and classifying them as contaminated or not</w:t>
            </w:r>
          </w:p>
        </w:tc>
      </w:tr>
      <w:tr w:rsidR="00176C1E" w:rsidRPr="0007172B" w14:paraId="666FFE79" w14:textId="77777777" w:rsidTr="0007172B">
        <w:trPr>
          <w:tblCellSpacing w:w="15" w:type="dxa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4BA5978" w14:textId="42F0CF59" w:rsidR="00176C1E" w:rsidRPr="0007172B" w:rsidRDefault="00176C1E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True positive episode</w:t>
            </w:r>
            <w:r w:rsidR="0051353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</w:p>
        </w:tc>
        <w:tc>
          <w:tcPr>
            <w:tcW w:w="8167" w:type="dxa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0712FA" w14:textId="7B8649D6" w:rsidR="00176C1E" w:rsidRPr="0007172B" w:rsidRDefault="00176C1E" w:rsidP="0007172B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</w:t>
            </w:r>
            <w:r w:rsidRPr="00176C1E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umber of positive episodes minus number of contaminated episodes/ total number of episodes per cent</w:t>
            </w:r>
          </w:p>
        </w:tc>
      </w:tr>
    </w:tbl>
    <w:p w14:paraId="44DF3B36" w14:textId="77777777" w:rsidR="0007172B" w:rsidRPr="0007172B" w:rsidRDefault="0007172B" w:rsidP="0007172B">
      <w:pPr>
        <w:rPr>
          <w:rFonts w:ascii="Helvetica Neue" w:eastAsia="Times New Roman" w:hAnsi="Helvetica Neue" w:cs="Times New Roman"/>
          <w:color w:val="1B1B1B"/>
          <w:kern w:val="0"/>
          <w:sz w:val="26"/>
          <w:szCs w:val="26"/>
          <w:lang w:eastAsia="it-IT"/>
          <w14:ligatures w14:val="none"/>
        </w:rPr>
      </w:pPr>
    </w:p>
    <w:p w14:paraId="72C1CC47" w14:textId="77777777" w:rsidR="0007172B" w:rsidRPr="0007172B" w:rsidRDefault="0007172B" w:rsidP="0007172B">
      <w:pPr>
        <w:rPr>
          <w:rFonts w:ascii="Helvetica Neue" w:eastAsia="Times New Roman" w:hAnsi="Helvetica Neue" w:cs="Times New Roman"/>
          <w:color w:val="1B1B1B"/>
          <w:kern w:val="0"/>
          <w:sz w:val="26"/>
          <w:szCs w:val="26"/>
          <w:lang w:eastAsia="it-IT"/>
          <w14:ligatures w14:val="none"/>
        </w:rPr>
      </w:pPr>
    </w:p>
    <w:p w14:paraId="5937DBD0" w14:textId="42EF55F7" w:rsidR="0007172B" w:rsidRPr="0007172B" w:rsidRDefault="0007172B" w:rsidP="0007172B">
      <w:pPr>
        <w:rPr>
          <w:rFonts w:ascii="Cambria" w:eastAsia="Times New Roman" w:hAnsi="Cambria" w:cs="Times New Roman"/>
          <w:color w:val="1B1B1B"/>
          <w:kern w:val="0"/>
          <w:sz w:val="26"/>
          <w:szCs w:val="26"/>
          <w:lang w:eastAsia="it-IT"/>
          <w14:ligatures w14:val="none"/>
        </w:rPr>
      </w:pPr>
      <w:r w:rsidRPr="0007172B">
        <w:rPr>
          <w:rFonts w:ascii="Cambria" w:eastAsia="Times New Roman" w:hAnsi="Cambria" w:cs="Times New Roman"/>
          <w:i/>
          <w:iCs/>
          <w:color w:val="1B1B1B"/>
          <w:kern w:val="0"/>
          <w:sz w:val="26"/>
          <w:szCs w:val="26"/>
          <w:lang w:eastAsia="it-IT"/>
          <w14:ligatures w14:val="none"/>
        </w:rPr>
        <w:t>BC</w:t>
      </w:r>
      <w:r w:rsidRPr="0007172B">
        <w:rPr>
          <w:rFonts w:ascii="Cambria" w:eastAsia="Times New Roman" w:hAnsi="Cambria" w:cs="Times New Roman"/>
          <w:color w:val="1B1B1B"/>
          <w:kern w:val="0"/>
          <w:sz w:val="26"/>
          <w:szCs w:val="26"/>
          <w:lang w:eastAsia="it-IT"/>
          <w14:ligatures w14:val="none"/>
        </w:rPr>
        <w:t> blood culture, </w:t>
      </w:r>
      <w:r w:rsidRPr="0007172B">
        <w:rPr>
          <w:rFonts w:ascii="Cambria" w:eastAsia="Times New Roman" w:hAnsi="Cambria" w:cs="Times New Roman"/>
          <w:i/>
          <w:iCs/>
          <w:color w:val="1B1B1B"/>
          <w:kern w:val="0"/>
          <w:sz w:val="26"/>
          <w:szCs w:val="26"/>
          <w:lang w:eastAsia="it-IT"/>
          <w14:ligatures w14:val="none"/>
        </w:rPr>
        <w:t>CoNS</w:t>
      </w:r>
      <w:r w:rsidRPr="0007172B">
        <w:rPr>
          <w:rFonts w:ascii="Cambria" w:eastAsia="Times New Roman" w:hAnsi="Cambria" w:cs="Times New Roman"/>
          <w:color w:val="1B1B1B"/>
          <w:kern w:val="0"/>
          <w:sz w:val="26"/>
          <w:szCs w:val="26"/>
          <w:lang w:eastAsia="it-IT"/>
          <w14:ligatures w14:val="none"/>
        </w:rPr>
        <w:t> coagulase-negative staphylococci, </w:t>
      </w:r>
      <w:r w:rsidRPr="0007172B">
        <w:rPr>
          <w:rFonts w:ascii="Cambria" w:eastAsia="Times New Roman" w:hAnsi="Cambria" w:cs="Times New Roman"/>
          <w:i/>
          <w:iCs/>
          <w:color w:val="1B1B1B"/>
          <w:kern w:val="0"/>
          <w:sz w:val="26"/>
          <w:szCs w:val="26"/>
          <w:lang w:eastAsia="it-IT"/>
          <w14:ligatures w14:val="none"/>
        </w:rPr>
        <w:t>CVC</w:t>
      </w:r>
      <w:r w:rsidRPr="0007172B">
        <w:rPr>
          <w:rFonts w:ascii="Cambria" w:eastAsia="Times New Roman" w:hAnsi="Cambria" w:cs="Times New Roman"/>
          <w:color w:val="1B1B1B"/>
          <w:kern w:val="0"/>
          <w:sz w:val="26"/>
          <w:szCs w:val="26"/>
          <w:lang w:eastAsia="it-IT"/>
          <w14:ligatures w14:val="none"/>
        </w:rPr>
        <w:t> central venous catheter, </w:t>
      </w:r>
      <w:r w:rsidRPr="0007172B">
        <w:rPr>
          <w:rFonts w:ascii="Cambria" w:eastAsia="Times New Roman" w:hAnsi="Cambria" w:cs="Times New Roman"/>
          <w:i/>
          <w:iCs/>
          <w:color w:val="1B1B1B"/>
          <w:kern w:val="0"/>
          <w:sz w:val="26"/>
          <w:szCs w:val="26"/>
          <w:lang w:eastAsia="it-IT"/>
          <w14:ligatures w14:val="none"/>
        </w:rPr>
        <w:t>PV</w:t>
      </w:r>
      <w:r w:rsidRPr="0007172B">
        <w:rPr>
          <w:rFonts w:ascii="Cambria" w:eastAsia="Times New Roman" w:hAnsi="Cambria" w:cs="Times New Roman"/>
          <w:color w:val="1B1B1B"/>
          <w:kern w:val="0"/>
          <w:sz w:val="26"/>
          <w:szCs w:val="26"/>
          <w:lang w:eastAsia="it-IT"/>
          <w14:ligatures w14:val="none"/>
        </w:rPr>
        <w:t> peripheral vein</w:t>
      </w:r>
    </w:p>
    <w:p w14:paraId="7B81584A" w14:textId="77777777" w:rsidR="00892CD5" w:rsidRDefault="00892CD5"/>
    <w:sectPr w:rsidR="00892C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72B"/>
    <w:rsid w:val="0005335D"/>
    <w:rsid w:val="0007172B"/>
    <w:rsid w:val="00176C1E"/>
    <w:rsid w:val="0051353F"/>
    <w:rsid w:val="00892CD5"/>
    <w:rsid w:val="00B212D2"/>
    <w:rsid w:val="00B92349"/>
    <w:rsid w:val="00D0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6195C1"/>
  <w15:chartTrackingRefBased/>
  <w15:docId w15:val="{F8E8E8C7-7331-7645-8D68-D632E6F2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1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1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17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17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17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17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1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1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1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17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17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17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17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17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17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17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17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17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17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17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17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1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17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172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717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07172B"/>
  </w:style>
  <w:style w:type="character" w:styleId="Enfasicorsivo">
    <w:name w:val="Emphasis"/>
    <w:basedOn w:val="Carpredefinitoparagrafo"/>
    <w:uiPriority w:val="20"/>
    <w:qFormat/>
    <w:rsid w:val="0007172B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071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1415</Characters>
  <Application>Microsoft Office Word</Application>
  <DocSecurity>0</DocSecurity>
  <Lines>44</Lines>
  <Paragraphs>26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Arena</dc:creator>
  <cp:keywords/>
  <dc:description/>
  <cp:lastModifiedBy>Fabio Arena</cp:lastModifiedBy>
  <cp:revision>3</cp:revision>
  <dcterms:created xsi:type="dcterms:W3CDTF">2026-06-23T09:05:00Z</dcterms:created>
  <dcterms:modified xsi:type="dcterms:W3CDTF">2026-06-23T10:58:00Z</dcterms:modified>
</cp:coreProperties>
</file>