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462"/>
        <w:gridCol w:w="498"/>
        <w:gridCol w:w="471"/>
        <w:gridCol w:w="489"/>
        <w:gridCol w:w="490"/>
        <w:gridCol w:w="452"/>
        <w:gridCol w:w="480"/>
        <w:gridCol w:w="517"/>
        <w:gridCol w:w="461"/>
        <w:gridCol w:w="536"/>
        <w:gridCol w:w="452"/>
        <w:gridCol w:w="674"/>
        <w:gridCol w:w="970"/>
      </w:tblGrid>
      <w:tr w14:paraId="21A75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</w:tcPr>
          <w:p w14:paraId="6D3783CB">
            <w:pPr>
              <w:rPr>
                <w:vertAlign w:val="baseline"/>
              </w:rPr>
            </w:pPr>
          </w:p>
        </w:tc>
        <w:tc>
          <w:tcPr>
            <w:tcW w:w="6952" w:type="dxa"/>
            <w:gridSpan w:val="13"/>
          </w:tcPr>
          <w:p w14:paraId="1391EF0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Item number</w:t>
            </w:r>
          </w:p>
        </w:tc>
      </w:tr>
      <w:tr w14:paraId="1077C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70" w:type="dxa"/>
            <w:vAlign w:val="center"/>
          </w:tcPr>
          <w:p w14:paraId="543F58B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Study ID</w:t>
            </w:r>
          </w:p>
        </w:tc>
        <w:tc>
          <w:tcPr>
            <w:tcW w:w="462" w:type="dxa"/>
            <w:vAlign w:val="center"/>
          </w:tcPr>
          <w:p w14:paraId="4C12C9E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1*</w:t>
            </w:r>
          </w:p>
        </w:tc>
        <w:tc>
          <w:tcPr>
            <w:tcW w:w="498" w:type="dxa"/>
            <w:vAlign w:val="center"/>
          </w:tcPr>
          <w:p w14:paraId="11876F4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71" w:type="dxa"/>
            <w:vAlign w:val="center"/>
          </w:tcPr>
          <w:p w14:paraId="070BCF50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489" w:type="dxa"/>
            <w:vAlign w:val="center"/>
          </w:tcPr>
          <w:p w14:paraId="2FF2BCC0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490" w:type="dxa"/>
            <w:vAlign w:val="center"/>
          </w:tcPr>
          <w:p w14:paraId="002D118C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452" w:type="dxa"/>
            <w:vAlign w:val="center"/>
          </w:tcPr>
          <w:p w14:paraId="43BC755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480" w:type="dxa"/>
            <w:vAlign w:val="center"/>
          </w:tcPr>
          <w:p w14:paraId="0AC8BA9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517" w:type="dxa"/>
            <w:vAlign w:val="center"/>
          </w:tcPr>
          <w:p w14:paraId="23FD8BE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461" w:type="dxa"/>
            <w:vAlign w:val="center"/>
          </w:tcPr>
          <w:p w14:paraId="7E97810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536" w:type="dxa"/>
            <w:vAlign w:val="center"/>
          </w:tcPr>
          <w:p w14:paraId="1B77FFB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452" w:type="dxa"/>
            <w:vAlign w:val="center"/>
          </w:tcPr>
          <w:p w14:paraId="1F58B97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674" w:type="dxa"/>
            <w:vAlign w:val="center"/>
          </w:tcPr>
          <w:p w14:paraId="5CAE5FC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</w:t>
            </w:r>
          </w:p>
        </w:tc>
        <w:tc>
          <w:tcPr>
            <w:tcW w:w="970" w:type="dxa"/>
            <w:vAlign w:val="center"/>
          </w:tcPr>
          <w:p w14:paraId="2858C37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Quality</w:t>
            </w:r>
          </w:p>
        </w:tc>
      </w:tr>
      <w:tr w14:paraId="75389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0E9BD0A1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 xml:space="preserve">Sai-Nan Zhang </w:t>
            </w:r>
          </w:p>
          <w:p w14:paraId="631F66FE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sz w:val="18"/>
                <w:szCs w:val="21"/>
                <w:vertAlign w:val="baseline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>et al (2024)</w:t>
            </w:r>
          </w:p>
        </w:tc>
        <w:tc>
          <w:tcPr>
            <w:tcW w:w="462" w:type="dxa"/>
          </w:tcPr>
          <w:p w14:paraId="70FC7DF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12DFDB6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728E5FD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9" w:type="dxa"/>
          </w:tcPr>
          <w:p w14:paraId="7A091F7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3662087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52" w:type="dxa"/>
          </w:tcPr>
          <w:p w14:paraId="1A6A491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55C7586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17" w:type="dxa"/>
          </w:tcPr>
          <w:p w14:paraId="14B7914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</w:tcPr>
          <w:p w14:paraId="07569AC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36" w:type="dxa"/>
          </w:tcPr>
          <w:p w14:paraId="3ADB0BE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6E547E9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6617440E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970" w:type="dxa"/>
          </w:tcPr>
          <w:p w14:paraId="527D31A7">
            <w:pPr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Moderate</w:t>
            </w:r>
          </w:p>
        </w:tc>
      </w:tr>
      <w:tr w14:paraId="3784A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57CF82AF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sz w:val="18"/>
                <w:szCs w:val="21"/>
                <w:vertAlign w:val="baseline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>Morteza Beyrami et al (2023)</w:t>
            </w:r>
          </w:p>
        </w:tc>
        <w:tc>
          <w:tcPr>
            <w:tcW w:w="462" w:type="dxa"/>
          </w:tcPr>
          <w:p w14:paraId="7CD489B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746AC79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08237B0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9" w:type="dxa"/>
          </w:tcPr>
          <w:p w14:paraId="02ED5F3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4890BCC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29EFCC3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253B6F7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17" w:type="dxa"/>
          </w:tcPr>
          <w:p w14:paraId="4EFCF9B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</w:tcPr>
          <w:p w14:paraId="5693782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36" w:type="dxa"/>
          </w:tcPr>
          <w:p w14:paraId="5395A46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38D3251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608C5D3C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970" w:type="dxa"/>
          </w:tcPr>
          <w:p w14:paraId="6474207F">
            <w:pPr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Moderate</w:t>
            </w:r>
          </w:p>
        </w:tc>
      </w:tr>
      <w:tr w14:paraId="2ABC4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5E407D94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 xml:space="preserve">Emine Esra Bilir </w:t>
            </w:r>
          </w:p>
          <w:p w14:paraId="4C09F0FC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sz w:val="18"/>
                <w:szCs w:val="21"/>
                <w:vertAlign w:val="baseline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>et al (2024)</w:t>
            </w:r>
          </w:p>
        </w:tc>
        <w:tc>
          <w:tcPr>
            <w:tcW w:w="462" w:type="dxa"/>
          </w:tcPr>
          <w:p w14:paraId="27E32C0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4C13B99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5F53B46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9" w:type="dxa"/>
          </w:tcPr>
          <w:p w14:paraId="68A27F5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15CC662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52" w:type="dxa"/>
          </w:tcPr>
          <w:p w14:paraId="7EDF31B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0AD584A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17" w:type="dxa"/>
          </w:tcPr>
          <w:p w14:paraId="0CCB69FA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61" w:type="dxa"/>
          </w:tcPr>
          <w:p w14:paraId="5547700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36" w:type="dxa"/>
          </w:tcPr>
          <w:p w14:paraId="6C55635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6CA54FF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222B94F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970" w:type="dxa"/>
          </w:tcPr>
          <w:p w14:paraId="48DB472B">
            <w:pPr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Moderate</w:t>
            </w:r>
          </w:p>
        </w:tc>
      </w:tr>
      <w:tr w14:paraId="7A38D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15254B54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sz w:val="18"/>
                <w:szCs w:val="21"/>
                <w:vertAlign w:val="baseline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>Umit Dundar et al (2015)</w:t>
            </w:r>
          </w:p>
        </w:tc>
        <w:tc>
          <w:tcPr>
            <w:tcW w:w="462" w:type="dxa"/>
          </w:tcPr>
          <w:p w14:paraId="71EAB81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39B8A65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19846A2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89" w:type="dxa"/>
          </w:tcPr>
          <w:p w14:paraId="00BF047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41A08F3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544A50D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4BC5AE7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17" w:type="dxa"/>
          </w:tcPr>
          <w:p w14:paraId="7A540DB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</w:tcPr>
          <w:p w14:paraId="3CFDFE3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36" w:type="dxa"/>
          </w:tcPr>
          <w:p w14:paraId="5384423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023D02E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4038A817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970" w:type="dxa"/>
          </w:tcPr>
          <w:p w14:paraId="7A139C65">
            <w:pPr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High</w:t>
            </w:r>
          </w:p>
        </w:tc>
      </w:tr>
      <w:tr w14:paraId="62203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4723F246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 xml:space="preserve">A.M.Elsodany </w:t>
            </w:r>
          </w:p>
          <w:p w14:paraId="6344F1D5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sz w:val="18"/>
                <w:szCs w:val="21"/>
                <w:vertAlign w:val="baseline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>et al (2018)</w:t>
            </w:r>
          </w:p>
        </w:tc>
        <w:tc>
          <w:tcPr>
            <w:tcW w:w="462" w:type="dxa"/>
          </w:tcPr>
          <w:p w14:paraId="456A186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573AE39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4FF7B91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9" w:type="dxa"/>
          </w:tcPr>
          <w:p w14:paraId="239BB84A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26E491A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743D2CA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2B3539D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17" w:type="dxa"/>
          </w:tcPr>
          <w:p w14:paraId="1638AE5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</w:tcPr>
          <w:p w14:paraId="41FD004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36" w:type="dxa"/>
          </w:tcPr>
          <w:p w14:paraId="30AC6E1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34D989C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453A6C9B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970" w:type="dxa"/>
          </w:tcPr>
          <w:p w14:paraId="70B4C6FB">
            <w:pPr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High</w:t>
            </w:r>
          </w:p>
        </w:tc>
      </w:tr>
      <w:tr w14:paraId="663EE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7E0DE292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 xml:space="preserve">İbrahim Karaca </w:t>
            </w:r>
          </w:p>
          <w:p w14:paraId="3BB60CDA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sz w:val="18"/>
                <w:szCs w:val="21"/>
                <w:vertAlign w:val="baseline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>et al (2022)</w:t>
            </w:r>
          </w:p>
        </w:tc>
        <w:tc>
          <w:tcPr>
            <w:tcW w:w="462" w:type="dxa"/>
          </w:tcPr>
          <w:p w14:paraId="09A3816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4EC8369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07900B8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9" w:type="dxa"/>
          </w:tcPr>
          <w:p w14:paraId="1F54059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4EE991C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52" w:type="dxa"/>
          </w:tcPr>
          <w:p w14:paraId="5855236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6B79609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17" w:type="dxa"/>
          </w:tcPr>
          <w:p w14:paraId="6FC835C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</w:tcPr>
          <w:p w14:paraId="1F8AE0A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36" w:type="dxa"/>
          </w:tcPr>
          <w:p w14:paraId="543FF3F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7C51640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1C7ACF05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970" w:type="dxa"/>
          </w:tcPr>
          <w:p w14:paraId="6F0D0EC6">
            <w:pPr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Moderate</w:t>
            </w:r>
          </w:p>
        </w:tc>
      </w:tr>
      <w:tr w14:paraId="43783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271F7249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 xml:space="preserve">Angela Notarnicola </w:t>
            </w:r>
          </w:p>
          <w:p w14:paraId="3117B2A5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sz w:val="18"/>
                <w:szCs w:val="21"/>
                <w:vertAlign w:val="baseline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>et al(2014)</w:t>
            </w:r>
          </w:p>
        </w:tc>
        <w:tc>
          <w:tcPr>
            <w:tcW w:w="462" w:type="dxa"/>
          </w:tcPr>
          <w:p w14:paraId="14644C6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47D6697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6731CFE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9" w:type="dxa"/>
          </w:tcPr>
          <w:p w14:paraId="32E877B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6A897AF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52" w:type="dxa"/>
          </w:tcPr>
          <w:p w14:paraId="3FCEB8E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2241F5D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17" w:type="dxa"/>
          </w:tcPr>
          <w:p w14:paraId="506D1E3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</w:tcPr>
          <w:p w14:paraId="3893BD3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36" w:type="dxa"/>
          </w:tcPr>
          <w:p w14:paraId="18F17B6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3E96A20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6322939D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970" w:type="dxa"/>
          </w:tcPr>
          <w:p w14:paraId="731A6FE5">
            <w:pPr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High</w:t>
            </w:r>
          </w:p>
        </w:tc>
      </w:tr>
      <w:tr w14:paraId="41C77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570" w:type="dxa"/>
            <w:vAlign w:val="center"/>
          </w:tcPr>
          <w:p w14:paraId="3234AF62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sz w:val="18"/>
                <w:szCs w:val="21"/>
                <w:vertAlign w:val="baseline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>Sidika Buyukvural Sen et al (2024)</w:t>
            </w:r>
          </w:p>
        </w:tc>
        <w:tc>
          <w:tcPr>
            <w:tcW w:w="462" w:type="dxa"/>
          </w:tcPr>
          <w:p w14:paraId="2BFA530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0E37656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4FAF078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89" w:type="dxa"/>
          </w:tcPr>
          <w:p w14:paraId="539E674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3E522E8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52" w:type="dxa"/>
          </w:tcPr>
          <w:p w14:paraId="0F89846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1922B05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17" w:type="dxa"/>
          </w:tcPr>
          <w:p w14:paraId="7D43D1F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</w:tcPr>
          <w:p w14:paraId="0A8B459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36" w:type="dxa"/>
          </w:tcPr>
          <w:p w14:paraId="0F91F6A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279A839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02EA3EB5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970" w:type="dxa"/>
          </w:tcPr>
          <w:p w14:paraId="5C245347">
            <w:pPr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Moderate</w:t>
            </w:r>
          </w:p>
        </w:tc>
      </w:tr>
      <w:tr w14:paraId="72201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438EA69F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 xml:space="preserve">Sachin Verma </w:t>
            </w:r>
          </w:p>
          <w:p w14:paraId="35C1795A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>et al (2022)</w:t>
            </w:r>
          </w:p>
        </w:tc>
        <w:tc>
          <w:tcPr>
            <w:tcW w:w="462" w:type="dxa"/>
          </w:tcPr>
          <w:p w14:paraId="347D74E4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7FD1195A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02CAE52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9" w:type="dxa"/>
          </w:tcPr>
          <w:p w14:paraId="54BC168D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65F32F91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5FC1462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51967CDA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17" w:type="dxa"/>
          </w:tcPr>
          <w:p w14:paraId="67BBD6C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</w:tcPr>
          <w:p w14:paraId="391B7CA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36" w:type="dxa"/>
          </w:tcPr>
          <w:p w14:paraId="4BB986B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22EBD4A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2F92D89E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970" w:type="dxa"/>
          </w:tcPr>
          <w:p w14:paraId="233AEF75">
            <w:pPr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High</w:t>
            </w:r>
          </w:p>
        </w:tc>
      </w:tr>
      <w:tr w14:paraId="10E70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0F6FFD9B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bidi="ar"/>
              </w:rPr>
              <w:t>Ali SALLI et al (2016)</w:t>
            </w:r>
          </w:p>
        </w:tc>
        <w:tc>
          <w:tcPr>
            <w:tcW w:w="462" w:type="dxa"/>
          </w:tcPr>
          <w:p w14:paraId="0160A798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71145895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76449EC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9" w:type="dxa"/>
          </w:tcPr>
          <w:p w14:paraId="454BBFF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1480095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52" w:type="dxa"/>
          </w:tcPr>
          <w:p w14:paraId="69DC1B2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62E0694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17" w:type="dxa"/>
          </w:tcPr>
          <w:p w14:paraId="187A964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</w:tcPr>
          <w:p w14:paraId="4C84492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36" w:type="dxa"/>
          </w:tcPr>
          <w:p w14:paraId="3D44C34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044E34C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38567691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970" w:type="dxa"/>
          </w:tcPr>
          <w:p w14:paraId="41F6AF65">
            <w:pPr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Moderate</w:t>
            </w:r>
          </w:p>
        </w:tc>
      </w:tr>
      <w:tr w14:paraId="25437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2D3661E1">
            <w:pPr>
              <w:spacing w:beforeLines="0" w:afterLines="0"/>
              <w:jc w:val="center"/>
              <w:rPr>
                <w:rFonts w:hint="default" w:asciiTheme="minorAscii" w:hAnsiTheme="minorAscii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Theme="minorAscii" w:hAnsiTheme="minorAscii"/>
                <w:color w:val="000000"/>
                <w:sz w:val="18"/>
                <w:szCs w:val="18"/>
              </w:rPr>
              <w:t xml:space="preserve">H. Yüksel et al (2025) </w:t>
            </w:r>
          </w:p>
        </w:tc>
        <w:tc>
          <w:tcPr>
            <w:tcW w:w="462" w:type="dxa"/>
          </w:tcPr>
          <w:p w14:paraId="1BC0125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540C9A1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7DE9705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9" w:type="dxa"/>
          </w:tcPr>
          <w:p w14:paraId="3E20166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6039C92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52" w:type="dxa"/>
          </w:tcPr>
          <w:p w14:paraId="31DAB65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0AE1648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17" w:type="dxa"/>
          </w:tcPr>
          <w:p w14:paraId="2F5D219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61" w:type="dxa"/>
          </w:tcPr>
          <w:p w14:paraId="44894E1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36" w:type="dxa"/>
          </w:tcPr>
          <w:p w14:paraId="26CA479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1981E9A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3666BF47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970" w:type="dxa"/>
          </w:tcPr>
          <w:p w14:paraId="1207C928">
            <w:pPr>
              <w:rPr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Moderate</w:t>
            </w:r>
          </w:p>
        </w:tc>
      </w:tr>
      <w:tr w14:paraId="4C1C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142D9DA7">
            <w:pPr>
              <w:spacing w:beforeLines="0" w:afterLines="0"/>
              <w:jc w:val="center"/>
              <w:rPr>
                <w:rFonts w:hint="eastAsia" w:asciiTheme="minorAscii" w:hAnsiTheme="minorAscii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Theme="minorAscii" w:hAnsiTheme="minorAscii"/>
                <w:color w:val="000000"/>
                <w:sz w:val="18"/>
                <w:szCs w:val="18"/>
              </w:rPr>
              <w:t>Z. Zaki et al</w:t>
            </w:r>
            <w:r>
              <w:rPr>
                <w:rFonts w:hint="eastAsia" w:asciiTheme="minorAscii" w:hAnsiTheme="minorAscii"/>
                <w:color w:val="000000"/>
                <w:sz w:val="18"/>
                <w:szCs w:val="18"/>
                <w:lang w:val="en-US" w:eastAsia="zh-CN"/>
              </w:rPr>
              <w:t xml:space="preserve"> (2025)</w:t>
            </w:r>
          </w:p>
        </w:tc>
        <w:tc>
          <w:tcPr>
            <w:tcW w:w="462" w:type="dxa"/>
          </w:tcPr>
          <w:p w14:paraId="0AB04F9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09CAA478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6A8157E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89" w:type="dxa"/>
          </w:tcPr>
          <w:p w14:paraId="691B4D3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2CFA3B9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52" w:type="dxa"/>
          </w:tcPr>
          <w:p w14:paraId="6F5965B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1A2B3B7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17" w:type="dxa"/>
            <w:vAlign w:val="top"/>
          </w:tcPr>
          <w:p w14:paraId="65E3B57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  <w:vAlign w:val="top"/>
          </w:tcPr>
          <w:p w14:paraId="311C3B3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36" w:type="dxa"/>
            <w:vAlign w:val="top"/>
          </w:tcPr>
          <w:p w14:paraId="0F50634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  <w:vAlign w:val="top"/>
          </w:tcPr>
          <w:p w14:paraId="5945477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09F46C93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970" w:type="dxa"/>
          </w:tcPr>
          <w:p w14:paraId="16F2FD94">
            <w:pPr>
              <w:rPr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High</w:t>
            </w:r>
          </w:p>
        </w:tc>
      </w:tr>
      <w:tr w14:paraId="4A6A9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4CC9F53A">
            <w:pPr>
              <w:spacing w:beforeLines="0" w:afterLines="0"/>
              <w:jc w:val="center"/>
              <w:rPr>
                <w:rFonts w:hint="eastAsia" w:asciiTheme="minorAscii" w:hAnsiTheme="minorAscii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Theme="minorAscii" w:hAnsiTheme="minorAscii"/>
                <w:color w:val="000000"/>
                <w:sz w:val="18"/>
                <w:szCs w:val="18"/>
              </w:rPr>
              <w:t>M. R. Nikoo et al</w:t>
            </w:r>
            <w:r>
              <w:rPr>
                <w:rFonts w:hint="eastAsia" w:asciiTheme="minorAscii" w:hAnsiTheme="minorAscii"/>
                <w:color w:val="000000"/>
                <w:sz w:val="18"/>
                <w:szCs w:val="18"/>
                <w:lang w:val="en-US" w:eastAsia="zh-CN"/>
              </w:rPr>
              <w:t xml:space="preserve"> (2024)</w:t>
            </w:r>
          </w:p>
        </w:tc>
        <w:tc>
          <w:tcPr>
            <w:tcW w:w="462" w:type="dxa"/>
          </w:tcPr>
          <w:p w14:paraId="39BADED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210757D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2A8C102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9" w:type="dxa"/>
          </w:tcPr>
          <w:p w14:paraId="28FF4A0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334936F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52" w:type="dxa"/>
          </w:tcPr>
          <w:p w14:paraId="58DEBD0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6A4ECE3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17" w:type="dxa"/>
          </w:tcPr>
          <w:p w14:paraId="0B9D4EA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</w:tcPr>
          <w:p w14:paraId="62B96F0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536" w:type="dxa"/>
          </w:tcPr>
          <w:p w14:paraId="2FFD008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0F7DBE4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76CE768E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970" w:type="dxa"/>
          </w:tcPr>
          <w:p w14:paraId="55E2DE3F">
            <w:pPr>
              <w:rPr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Moderate</w:t>
            </w:r>
          </w:p>
        </w:tc>
      </w:tr>
      <w:tr w14:paraId="64173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51568625">
            <w:pPr>
              <w:spacing w:beforeLines="0" w:afterLines="0"/>
              <w:jc w:val="center"/>
              <w:rPr>
                <w:rFonts w:hint="eastAsia" w:asciiTheme="minorAscii" w:hAnsiTheme="minorAscii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Theme="minorAscii" w:hAnsiTheme="minorAscii"/>
                <w:color w:val="000000"/>
                <w:sz w:val="18"/>
                <w:szCs w:val="18"/>
              </w:rPr>
              <w:t>E. Kaydok et al</w:t>
            </w:r>
            <w:r>
              <w:rPr>
                <w:rFonts w:hint="eastAsia" w:asciiTheme="minorAscii" w:hAnsiTheme="minorAscii"/>
                <w:color w:val="000000"/>
                <w:sz w:val="18"/>
                <w:szCs w:val="18"/>
                <w:lang w:val="en-US" w:eastAsia="zh-CN"/>
              </w:rPr>
              <w:t xml:space="preserve"> (2020)</w:t>
            </w:r>
          </w:p>
        </w:tc>
        <w:tc>
          <w:tcPr>
            <w:tcW w:w="462" w:type="dxa"/>
          </w:tcPr>
          <w:p w14:paraId="4B3A12E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313B6C3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71" w:type="dxa"/>
          </w:tcPr>
          <w:p w14:paraId="4524437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9" w:type="dxa"/>
          </w:tcPr>
          <w:p w14:paraId="1D5144C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0" w:type="dxa"/>
          </w:tcPr>
          <w:p w14:paraId="42145FE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52" w:type="dxa"/>
          </w:tcPr>
          <w:p w14:paraId="7EDFD70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80" w:type="dxa"/>
          </w:tcPr>
          <w:p w14:paraId="508287F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17" w:type="dxa"/>
          </w:tcPr>
          <w:p w14:paraId="1EE65D7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</w:tcPr>
          <w:p w14:paraId="575D0AD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36" w:type="dxa"/>
          </w:tcPr>
          <w:p w14:paraId="1189A4E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6AD0177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78D6BF29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970" w:type="dxa"/>
          </w:tcPr>
          <w:p w14:paraId="0D24EC25">
            <w:pPr>
              <w:rPr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Moderate</w:t>
            </w:r>
          </w:p>
        </w:tc>
      </w:tr>
      <w:tr w14:paraId="7E41C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 w14:paraId="10EB0A1B">
            <w:pPr>
              <w:widowControl/>
              <w:spacing w:beforeLines="0" w:afterLines="0"/>
              <w:jc w:val="center"/>
              <w:textAlignment w:val="center"/>
              <w:rPr>
                <w:rFonts w:hint="default" w:asciiTheme="minorAscii" w:hAnsiTheme="minorAsci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Ascii" w:hAnsiTheme="minorAscii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A. Santamato et al </w:t>
            </w:r>
            <w:r>
              <w:rPr>
                <w:rFonts w:hint="eastAsia" w:asciiTheme="minorAscii" w:hAnsiTheme="minorAscii"/>
                <w:color w:val="000000"/>
                <w:sz w:val="18"/>
                <w:szCs w:val="18"/>
                <w:lang w:val="en-US" w:eastAsia="zh-CN"/>
              </w:rPr>
              <w:t>(2009)</w:t>
            </w:r>
          </w:p>
        </w:tc>
        <w:tc>
          <w:tcPr>
            <w:tcW w:w="462" w:type="dxa"/>
          </w:tcPr>
          <w:p w14:paraId="6BF4647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98" w:type="dxa"/>
          </w:tcPr>
          <w:p w14:paraId="36AFF396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71" w:type="dxa"/>
          </w:tcPr>
          <w:p w14:paraId="6982684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89" w:type="dxa"/>
          </w:tcPr>
          <w:p w14:paraId="245C159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90" w:type="dxa"/>
          </w:tcPr>
          <w:p w14:paraId="4C87289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452" w:type="dxa"/>
          </w:tcPr>
          <w:p w14:paraId="7C16DF4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80" w:type="dxa"/>
          </w:tcPr>
          <w:p w14:paraId="724C091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17" w:type="dxa"/>
          </w:tcPr>
          <w:p w14:paraId="7F824EE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61" w:type="dxa"/>
          </w:tcPr>
          <w:p w14:paraId="214AF4F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536" w:type="dxa"/>
          </w:tcPr>
          <w:p w14:paraId="62A861C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452" w:type="dxa"/>
          </w:tcPr>
          <w:p w14:paraId="2148437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674" w:type="dxa"/>
          </w:tcPr>
          <w:p w14:paraId="16056D2F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970" w:type="dxa"/>
          </w:tcPr>
          <w:p w14:paraId="1FB49391">
            <w:pPr>
              <w:rPr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High</w:t>
            </w:r>
          </w:p>
        </w:tc>
      </w:tr>
    </w:tbl>
    <w:p w14:paraId="024E06FC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D4603"/>
    <w:rsid w:val="04781A0B"/>
    <w:rsid w:val="0D5B20E9"/>
    <w:rsid w:val="211508B6"/>
    <w:rsid w:val="278F65E8"/>
    <w:rsid w:val="28266A1F"/>
    <w:rsid w:val="305F7080"/>
    <w:rsid w:val="3267118D"/>
    <w:rsid w:val="41337A31"/>
    <w:rsid w:val="42774755"/>
    <w:rsid w:val="42D75573"/>
    <w:rsid w:val="47226FD9"/>
    <w:rsid w:val="493E60A2"/>
    <w:rsid w:val="4B3814C1"/>
    <w:rsid w:val="4D8D658D"/>
    <w:rsid w:val="6F88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800</Characters>
  <Lines>0</Lines>
  <Paragraphs>0</Paragraphs>
  <TotalTime>13</TotalTime>
  <ScaleCrop>false</ScaleCrop>
  <LinksUpToDate>false</LinksUpToDate>
  <CharactersWithSpaces>881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2025-10-20T09:47:00Z</dcterms:created>
  <dc:creator>洪蕊</dc:creator>
  <cp:lastModifiedBy>Rui Hong</cp:lastModifiedBy>
  <dcterms:modified xsi:type="dcterms:W3CDTF">2025-10-21T11:52:26Z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eyJoZGlkIjoiYTc2ZGZiNzZiNDVlOGViOWVmM2JhOTY0NGJkNjUyYzgiLCJ1c2VySWQiOiIxMTMxNjM0NzA4In0=</vt:lpwstr>
  </property>
  <property fmtid="{D5CDD505-2E9C-101B-9397-08002B2CF9AE}" pid="4" name="ICV">
    <vt:lpwstr>06AC2659309C4D4B952217F11D2B871C_12</vt:lpwstr>
  </property>
</Properties>
</file>