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899" w:rsidRPr="00576899" w:rsidRDefault="00576899" w:rsidP="00A4045A">
      <w:pPr>
        <w:pBdr>
          <w:bottom w:val="single" w:sz="6" w:space="1" w:color="auto"/>
        </w:pBdr>
        <w:rPr>
          <w:b/>
          <w:sz w:val="24"/>
          <w:szCs w:val="24"/>
        </w:rPr>
      </w:pPr>
      <w:r w:rsidRPr="00576899">
        <w:rPr>
          <w:b/>
          <w:sz w:val="24"/>
          <w:szCs w:val="24"/>
        </w:rPr>
        <w:t xml:space="preserve">Appendix </w:t>
      </w:r>
      <w:r w:rsidR="00B232CD">
        <w:rPr>
          <w:b/>
          <w:sz w:val="24"/>
          <w:szCs w:val="24"/>
        </w:rPr>
        <w:t>B</w:t>
      </w:r>
      <w:r w:rsidRPr="00576899">
        <w:rPr>
          <w:b/>
          <w:sz w:val="24"/>
          <w:szCs w:val="24"/>
        </w:rPr>
        <w:t xml:space="preserve"> – </w:t>
      </w:r>
      <w:r w:rsidR="00253841">
        <w:rPr>
          <w:b/>
          <w:sz w:val="24"/>
          <w:szCs w:val="24"/>
        </w:rPr>
        <w:t xml:space="preserve">Information on UK National Ecosystem Assessment Scenarios and </w:t>
      </w:r>
      <w:r w:rsidRPr="00576899">
        <w:rPr>
          <w:b/>
          <w:sz w:val="24"/>
          <w:szCs w:val="24"/>
        </w:rPr>
        <w:t xml:space="preserve">Methods for </w:t>
      </w:r>
      <w:r w:rsidR="00253841">
        <w:rPr>
          <w:b/>
          <w:sz w:val="24"/>
          <w:szCs w:val="24"/>
        </w:rPr>
        <w:t>Calculating Ecosystem G</w:t>
      </w:r>
      <w:r w:rsidRPr="00576899">
        <w:rPr>
          <w:b/>
          <w:sz w:val="24"/>
          <w:szCs w:val="24"/>
        </w:rPr>
        <w:t xml:space="preserve">oods </w:t>
      </w:r>
      <w:r w:rsidR="00253841">
        <w:rPr>
          <w:b/>
          <w:sz w:val="24"/>
          <w:szCs w:val="24"/>
        </w:rPr>
        <w:t>and S</w:t>
      </w:r>
      <w:r w:rsidRPr="00576899">
        <w:rPr>
          <w:b/>
          <w:sz w:val="24"/>
          <w:szCs w:val="24"/>
        </w:rPr>
        <w:t xml:space="preserve">ervices </w:t>
      </w:r>
      <w:r w:rsidR="00253841">
        <w:rPr>
          <w:b/>
          <w:sz w:val="24"/>
          <w:szCs w:val="24"/>
        </w:rPr>
        <w:t>I</w:t>
      </w:r>
      <w:r w:rsidRPr="00576899">
        <w:rPr>
          <w:b/>
          <w:sz w:val="24"/>
          <w:szCs w:val="24"/>
        </w:rPr>
        <w:t>ndicators</w:t>
      </w:r>
    </w:p>
    <w:p w:rsidR="00576899" w:rsidRDefault="00576899" w:rsidP="00A4045A">
      <w:pPr>
        <w:pBdr>
          <w:bottom w:val="single" w:sz="6" w:space="1" w:color="auto"/>
        </w:pBdr>
      </w:pPr>
    </w:p>
    <w:p w:rsidR="00253841" w:rsidRPr="00253841" w:rsidRDefault="00253841" w:rsidP="00A4045A">
      <w:pPr>
        <w:pBdr>
          <w:bottom w:val="single" w:sz="6" w:space="1" w:color="auto"/>
        </w:pBdr>
        <w:rPr>
          <w:b/>
        </w:rPr>
      </w:pPr>
    </w:p>
    <w:p w:rsidR="00253841" w:rsidRPr="00253841" w:rsidRDefault="00253841" w:rsidP="00A4045A">
      <w:pPr>
        <w:pBdr>
          <w:bottom w:val="single" w:sz="6" w:space="1" w:color="auto"/>
        </w:pBdr>
        <w:rPr>
          <w:b/>
        </w:rPr>
      </w:pPr>
      <w:r w:rsidRPr="00253841">
        <w:rPr>
          <w:b/>
        </w:rPr>
        <w:t>Information about the six UK National Ecosystem Assessment Scen</w:t>
      </w:r>
      <w:r>
        <w:rPr>
          <w:b/>
        </w:rPr>
        <w:t>a</w:t>
      </w:r>
      <w:r w:rsidRPr="00253841">
        <w:rPr>
          <w:b/>
        </w:rPr>
        <w:t>rios</w:t>
      </w:r>
    </w:p>
    <w:p w:rsidR="00253841" w:rsidRDefault="00253841" w:rsidP="00253841">
      <w:r w:rsidRPr="00253841">
        <w:rPr>
          <w:b/>
        </w:rPr>
        <w:t>‘Go with the Flow’</w:t>
      </w:r>
      <w:r w:rsidRPr="00D22D45">
        <w:t xml:space="preserve"> is not strictly a </w:t>
      </w:r>
      <w:r w:rsidRPr="00253841">
        <w:t>business as usual</w:t>
      </w:r>
      <w:r w:rsidRPr="00D22D45">
        <w:t xml:space="preserve"> scenario, since</w:t>
      </w:r>
      <w:r>
        <w:t xml:space="preserve"> the UK National Ecosystem Assessment</w:t>
      </w:r>
      <w:r w:rsidRPr="00D22D45">
        <w:t xml:space="preserve"> attempted to extrapolate current policy </w:t>
      </w:r>
      <w:r>
        <w:t xml:space="preserve">direction </w:t>
      </w:r>
      <w:r w:rsidRPr="00D22D45">
        <w:t>into the future. However in Wales, current policy in favour of</w:t>
      </w:r>
      <w:r w:rsidRPr="00253841">
        <w:t xml:space="preserve"> low impact </w:t>
      </w:r>
      <w:proofErr w:type="spellStart"/>
      <w:r w:rsidRPr="00253841">
        <w:t>silviculture</w:t>
      </w:r>
      <w:proofErr w:type="spellEnd"/>
      <w:r w:rsidRPr="00253841">
        <w:t xml:space="preserve"> systems</w:t>
      </w:r>
      <w:r w:rsidRPr="00D22D45">
        <w:t xml:space="preserve"> has influenced management for the last 10 years, and our ‘business as usual’ trajectory identifies and maintains</w:t>
      </w:r>
      <w:r w:rsidRPr="00253841">
        <w:t xml:space="preserve"> low impact </w:t>
      </w:r>
      <w:proofErr w:type="spellStart"/>
      <w:r w:rsidRPr="00253841">
        <w:t>silviculture</w:t>
      </w:r>
      <w:proofErr w:type="spellEnd"/>
      <w:r w:rsidRPr="00253841">
        <w:t xml:space="preserve"> systems</w:t>
      </w:r>
      <w:r w:rsidRPr="00D22D45">
        <w:t xml:space="preserve"> </w:t>
      </w:r>
      <w:r>
        <w:t>management units</w:t>
      </w:r>
      <w:r w:rsidRPr="00D22D45">
        <w:t xml:space="preserve">. The slow rate of change in forest planning and management, compared to agriculture, makes </w:t>
      </w:r>
      <w:r>
        <w:t>‘</w:t>
      </w:r>
      <w:r w:rsidRPr="004B6B9B">
        <w:t>Go with the F</w:t>
      </w:r>
      <w:r w:rsidRPr="00BF7804">
        <w:t>low</w:t>
      </w:r>
      <w:r w:rsidRPr="00253841">
        <w:t>’</w:t>
      </w:r>
      <w:r w:rsidRPr="00D22D45">
        <w:t xml:space="preserve"> and </w:t>
      </w:r>
      <w:r w:rsidRPr="00253841">
        <w:t>business as usual</w:t>
      </w:r>
      <w:r w:rsidRPr="00D22D45">
        <w:t xml:space="preserve"> very similar scenarios. Differences occur mainly in the rate of change from exotic conifer to native species as defined in the</w:t>
      </w:r>
      <w:r>
        <w:t xml:space="preserve"> UK National Ecosystem Assessment</w:t>
      </w:r>
      <w:r w:rsidRPr="00D22D45">
        <w:t xml:space="preserve"> scenario </w:t>
      </w:r>
      <w:r>
        <w:t>‘</w:t>
      </w:r>
      <w:r w:rsidRPr="00BF7804">
        <w:t>Go with the Flow</w:t>
      </w:r>
      <w:r>
        <w:t>’</w:t>
      </w:r>
      <w:r w:rsidRPr="00D22D45">
        <w:t xml:space="preserve">. </w:t>
      </w:r>
    </w:p>
    <w:p w:rsidR="00253841" w:rsidRPr="00D22D45" w:rsidRDefault="00253841" w:rsidP="00253841">
      <w:r w:rsidRPr="00253841">
        <w:rPr>
          <w:b/>
        </w:rPr>
        <w:t>The ‘National security’</w:t>
      </w:r>
      <w:r w:rsidRPr="00D22D45">
        <w:t xml:space="preserve"> similarity to </w:t>
      </w:r>
      <w:r>
        <w:t xml:space="preserve">our </w:t>
      </w:r>
      <w:r w:rsidRPr="00253841">
        <w:t>business as usual</w:t>
      </w:r>
      <w:r w:rsidRPr="00D22D45">
        <w:t xml:space="preserve"> is because high yielding conifers remain a priority through sustainable forest management. </w:t>
      </w:r>
    </w:p>
    <w:p w:rsidR="00253841" w:rsidRPr="00D22D45" w:rsidRDefault="00253841" w:rsidP="00253841">
      <w:r w:rsidRPr="00253841">
        <w:rPr>
          <w:b/>
        </w:rPr>
        <w:t>‘Green &amp; pleasant land’ and ‘</w:t>
      </w:r>
      <w:proofErr w:type="spellStart"/>
      <w:r w:rsidRPr="00253841">
        <w:rPr>
          <w:b/>
        </w:rPr>
        <w:t>Nature@work</w:t>
      </w:r>
      <w:proofErr w:type="spellEnd"/>
      <w:r w:rsidRPr="00253841">
        <w:rPr>
          <w:b/>
        </w:rPr>
        <w:t>’</w:t>
      </w:r>
      <w:r w:rsidRPr="00253841">
        <w:t xml:space="preserve"> </w:t>
      </w:r>
      <w:r w:rsidRPr="00D22D45">
        <w:t xml:space="preserve">have close similarities to our </w:t>
      </w:r>
      <w:r w:rsidRPr="00253841">
        <w:t>tree species diversity</w:t>
      </w:r>
      <w:r w:rsidRPr="00D22D45">
        <w:t xml:space="preserve"> trajectory and whilst each retains an emphasis on sustainable forest management, the former has a strong biodiversity and recreation focus and the latter a strong ecosystem goods and services focus. The difference again reflects changes in species composition, with native broadleaved species promoted in the former scenario and </w:t>
      </w:r>
      <w:r>
        <w:t xml:space="preserve">a </w:t>
      </w:r>
      <w:r w:rsidRPr="00D22D45">
        <w:t xml:space="preserve">mix of higher yielding conifers with some broadleaves in the latter.  </w:t>
      </w:r>
    </w:p>
    <w:p w:rsidR="00253841" w:rsidRPr="00D22D45" w:rsidRDefault="00253841" w:rsidP="00253841">
      <w:r w:rsidRPr="00253841">
        <w:rPr>
          <w:b/>
        </w:rPr>
        <w:t>‘World markets’</w:t>
      </w:r>
      <w:r w:rsidRPr="00D22D45">
        <w:t xml:space="preserve"> is an extreme scenario that takes forest policy objectives back to economics. The scenario assumes the UK’s timber needs will be satisfied by imports, and that UK forests will be transformed largely to short rotation forestry for biomass and fuel, with a reduced timber production requirement, and hence the similarity to </w:t>
      </w:r>
      <w:r w:rsidRPr="00253841">
        <w:t>short rotation forestry</w:t>
      </w:r>
      <w:r w:rsidRPr="00D22D45">
        <w:t xml:space="preserve">.  </w:t>
      </w:r>
    </w:p>
    <w:p w:rsidR="00253841" w:rsidRPr="00D22D45" w:rsidRDefault="00253841" w:rsidP="00253841">
      <w:r w:rsidRPr="00253841">
        <w:rPr>
          <w:b/>
        </w:rPr>
        <w:t>‘Local stewardship’</w:t>
      </w:r>
      <w:r w:rsidRPr="00D22D45">
        <w:t xml:space="preserve"> defines a scenario in which devolution continues and local objectives predominate. We think that this would change existing forest as a result of less intensive management systems, with smaller interventions and increased transformation to </w:t>
      </w:r>
      <w:r w:rsidRPr="00253841">
        <w:t xml:space="preserve">low impact </w:t>
      </w:r>
      <w:proofErr w:type="spellStart"/>
      <w:r w:rsidRPr="00253841">
        <w:t>silviculture</w:t>
      </w:r>
      <w:proofErr w:type="spellEnd"/>
      <w:r w:rsidRPr="00253841">
        <w:t xml:space="preserve"> systems.</w:t>
      </w:r>
      <w:r w:rsidRPr="00D22D45">
        <w:t xml:space="preserve">  </w:t>
      </w:r>
    </w:p>
    <w:p w:rsidR="00253841" w:rsidRDefault="00253841" w:rsidP="00A4045A">
      <w:pPr>
        <w:pBdr>
          <w:bottom w:val="single" w:sz="6" w:space="1" w:color="auto"/>
        </w:pBdr>
      </w:pPr>
    </w:p>
    <w:p w:rsidR="000326F6" w:rsidRPr="00576899" w:rsidRDefault="000326F6" w:rsidP="000326F6">
      <w:pPr>
        <w:pBdr>
          <w:bottom w:val="single" w:sz="6" w:space="1" w:color="auto"/>
        </w:pBdr>
        <w:rPr>
          <w:b/>
        </w:rPr>
      </w:pPr>
      <w:r w:rsidRPr="00576899">
        <w:rPr>
          <w:b/>
        </w:rPr>
        <w:t>Indicators</w:t>
      </w:r>
    </w:p>
    <w:p w:rsidR="000326F6" w:rsidRDefault="000326F6" w:rsidP="000326F6">
      <w:r>
        <w:t xml:space="preserve">A series of 9 indicators were evaluated for each management unit of the study forests. On the public forest estate in Britain, the smallest spatial management unit is known as the sub-compartment, and this may have several constituent non-spatial components to represent a mix of tree species, age classes and/or open space. We assumed that the management units were comprised of a single tree species or an open space depending upon the area of the dominant component. </w:t>
      </w:r>
    </w:p>
    <w:p w:rsidR="000326F6" w:rsidRDefault="000326F6" w:rsidP="000326F6">
      <w:r>
        <w:t>The indicators are initially calculated per hectare then weighted according to area:</w:t>
      </w:r>
    </w:p>
    <w:p w:rsidR="000326F6" w:rsidRDefault="000326F6" w:rsidP="000326F6">
      <w:r>
        <w:t xml:space="preserve">Indicator Score = Management Unit Area </w:t>
      </w:r>
      <m:oMath>
        <m:r>
          <w:rPr>
            <w:rFonts w:ascii="Cambria Math" w:hAnsi="Cambria Math"/>
          </w:rPr>
          <m:t>×</m:t>
        </m:r>
      </m:oMath>
      <w:r>
        <w:t xml:space="preserve"> Indicator Value</w:t>
      </w:r>
      <w:r w:rsidR="00C52707">
        <w:t xml:space="preserve"> (</w:t>
      </w:r>
      <w:r>
        <w:t>hectare</w:t>
      </w:r>
      <w:r w:rsidR="00C52707">
        <w:rPr>
          <w:vertAlign w:val="superscript"/>
        </w:rPr>
        <w:t>-1</w:t>
      </w:r>
      <w:r w:rsidR="00C52707">
        <w:t>)</w:t>
      </w:r>
    </w:p>
    <w:p w:rsidR="000326F6" w:rsidRDefault="000326F6" w:rsidP="000326F6"/>
    <w:p w:rsidR="00A4045A" w:rsidRPr="00576899" w:rsidRDefault="00A4045A" w:rsidP="00A4045A">
      <w:pPr>
        <w:pBdr>
          <w:bottom w:val="single" w:sz="6" w:space="1" w:color="auto"/>
        </w:pBdr>
        <w:rPr>
          <w:b/>
        </w:rPr>
      </w:pPr>
      <w:r w:rsidRPr="00576899">
        <w:rPr>
          <w:b/>
        </w:rPr>
        <w:t>Allocating FMA type to Management Units</w:t>
      </w:r>
    </w:p>
    <w:p w:rsidR="006813F8" w:rsidRDefault="002047D6" w:rsidP="000326F6">
      <w:r>
        <w:t xml:space="preserve">A management unit was assigned a single </w:t>
      </w:r>
      <w:r w:rsidR="0018115C">
        <w:t>Forest Management Alternative (</w:t>
      </w:r>
      <w:r>
        <w:t>FMA</w:t>
      </w:r>
      <w:r w:rsidR="0018115C">
        <w:t xml:space="preserve">) </w:t>
      </w:r>
      <w:r w:rsidR="00C27A99">
        <w:fldChar w:fldCharType="begin"/>
      </w:r>
      <w:r w:rsidR="0018115C">
        <w:instrText xml:space="preserve"> ADDIN EN.CITE &lt;EndNote&gt;&lt;Cite&gt;&lt;Author&gt;Duncker&lt;/Author&gt;&lt;Year&gt;2012&lt;/Year&gt;&lt;RecNum&gt;1345&lt;/RecNum&gt;&lt;record&gt;&lt;rec-number&gt;1345&lt;/rec-number&gt;&lt;ref-type name="Journal Article"&gt;17&lt;/ref-type&gt;&lt;contributors&gt;&lt;authors&gt;&lt;author&gt;Philipp S. Duncker&lt;/author&gt;&lt;author&gt;Susana M. Barreiro&lt;/author&gt;&lt;author&gt;Geerten M. Hengeveld&lt;/author&gt;&lt;author&gt;Torgny Lind&lt;/author&gt;&lt;author&gt;William L. Mason&lt;/author&gt;&lt;author&gt;Slawomir Ambrozy&lt;/author&gt;&lt;author&gt;Heinrich Spiecker&lt;/author&gt;&lt;/authors&gt;&lt;/contributors&gt;&lt;titles&gt;&lt;title&gt;Classification of Forest Management Approaches: A New Conceptual Framework and Its Applicability to European Forestry&lt;/title&gt;&lt;secondary-title&gt;Ecology and Society&lt;/secondary-title&gt;&lt;/titles&gt;&lt;periodical&gt;&lt;full-title&gt;Ecology and Society&lt;/full-title&gt;&lt;/periodical&gt;&lt;volume&gt;17&lt;/volume&gt;&lt;number&gt;4&lt;/number&gt;&lt;keywords&gt;&lt;keyword&gt;FMA&lt;/keyword&gt;&lt;/keywords&gt;&lt;dates&gt;&lt;year&gt;2012&lt;/year&gt;&lt;/dates&gt;&lt;urls&gt;&lt;pdf-urls&gt;&lt;url&gt;file:///C:/Documents%20and%20Settings/duncan.ray/My%20Documents/pdf_downloads/british%20forestry/Duncker%20et%20al%20FMAs%20ES-2012.pdf&lt;/url&gt;&lt;/pdf-urls&gt;&lt;/urls&gt;&lt;/record&gt;&lt;/Cite&gt;&lt;/EndNote&gt;</w:instrText>
      </w:r>
      <w:r w:rsidR="00C27A99">
        <w:fldChar w:fldCharType="separate"/>
      </w:r>
      <w:r w:rsidR="0018115C">
        <w:t>(Duncker et al. 2012)</w:t>
      </w:r>
      <w:r w:rsidR="00C27A99">
        <w:fldChar w:fldCharType="end"/>
      </w:r>
      <w:r w:rsidR="006813F8">
        <w:t>. FMA definitions</w:t>
      </w:r>
      <w:r>
        <w:t xml:space="preserve"> </w:t>
      </w:r>
      <w:r w:rsidR="006813F8">
        <w:t xml:space="preserve">are: </w:t>
      </w:r>
      <w:proofErr w:type="spellStart"/>
      <w:r w:rsidR="006813F8">
        <w:t>FMAs</w:t>
      </w:r>
      <w:proofErr w:type="spellEnd"/>
      <w:r w:rsidR="006813F8">
        <w:t xml:space="preserve"> include: FMA1 – ‘natural reserve’, FMA 2 – ‘close to nature’, FMA3 – ‘mixed objective’, FMA 4 – ‘intensive even aged’, FMA 5 – ‘intensive short rotation’. </w:t>
      </w:r>
    </w:p>
    <w:p w:rsidR="006813F8" w:rsidRDefault="006813F8" w:rsidP="000326F6"/>
    <w:p w:rsidR="002047D6" w:rsidRDefault="006813F8" w:rsidP="002047D6">
      <w:pPr>
        <w:pBdr>
          <w:bottom w:val="single" w:sz="6" w:space="1" w:color="auto"/>
        </w:pBdr>
      </w:pPr>
      <w:r>
        <w:t xml:space="preserve">We used the FMA classifications to define and transform our adaptation management trajectories through </w:t>
      </w:r>
      <w:r w:rsidR="002047D6">
        <w:t>time</w:t>
      </w:r>
      <w:r>
        <w:t xml:space="preserve"> in the simulation</w:t>
      </w:r>
      <w:r w:rsidR="002047D6">
        <w:t xml:space="preserve">, according to the following </w:t>
      </w:r>
      <w:r>
        <w:t xml:space="preserve">initialisation </w:t>
      </w:r>
      <w:r w:rsidR="002047D6">
        <w:t>assumptions:</w:t>
      </w:r>
    </w:p>
    <w:p w:rsidR="002047D6" w:rsidRDefault="002047D6" w:rsidP="002047D6">
      <w:pPr>
        <w:pBdr>
          <w:bottom w:val="single" w:sz="6" w:space="1" w:color="auto"/>
        </w:pBdr>
        <w:jc w:val="both"/>
      </w:pPr>
      <w:r>
        <w:t>•</w:t>
      </w:r>
      <w:r>
        <w:tab/>
        <w:t xml:space="preserve">Initially stands </w:t>
      </w:r>
      <w:r w:rsidR="0018115C">
        <w:t>were</w:t>
      </w:r>
      <w:r>
        <w:t xml:space="preserve"> in only two categories, FMA 3 or FMA 4. </w:t>
      </w:r>
      <w:r w:rsidR="00C52707">
        <w:t>Sub-compartments</w:t>
      </w:r>
      <w:r>
        <w:t xml:space="preserve"> aged &gt; 50 years where assumed to be FMA 3 management types under long term retention for aesthetic or conservation purposes (100 year rotation). </w:t>
      </w:r>
      <w:r w:rsidR="00C52707">
        <w:t>Sub-compartments</w:t>
      </w:r>
      <w:r>
        <w:t xml:space="preserve"> less than 50 years in age where assumed to be available for FMA 4 management and would be felled at age 50.</w:t>
      </w:r>
    </w:p>
    <w:p w:rsidR="002047D6" w:rsidRDefault="002047D6" w:rsidP="002047D6">
      <w:pPr>
        <w:pBdr>
          <w:bottom w:val="single" w:sz="6" w:space="1" w:color="auto"/>
        </w:pBdr>
        <w:jc w:val="both"/>
      </w:pPr>
      <w:r>
        <w:t>•</w:t>
      </w:r>
      <w:r>
        <w:tab/>
        <w:t>Broadleaved species w</w:t>
      </w:r>
      <w:r w:rsidR="00C52707">
        <w:t xml:space="preserve">ere assumed </w:t>
      </w:r>
      <w:r>
        <w:t xml:space="preserve">to be FMA 3 </w:t>
      </w:r>
      <w:r w:rsidR="00C52707">
        <w:t>sub-compartments</w:t>
      </w:r>
      <w:r>
        <w:t xml:space="preserve"> with 100 year</w:t>
      </w:r>
      <w:r w:rsidR="0018115C">
        <w:t xml:space="preserve"> rotations, except b</w:t>
      </w:r>
      <w:r>
        <w:t>irch which followed the conifer rules due to its shorter life.</w:t>
      </w:r>
    </w:p>
    <w:p w:rsidR="002047D6" w:rsidRDefault="002047D6" w:rsidP="002047D6">
      <w:pPr>
        <w:pBdr>
          <w:bottom w:val="single" w:sz="6" w:space="1" w:color="auto"/>
        </w:pBdr>
        <w:jc w:val="both"/>
      </w:pPr>
      <w:r>
        <w:t>•</w:t>
      </w:r>
      <w:r>
        <w:tab/>
        <w:t xml:space="preserve">The FMA 3 and FMA 4 stands also had the option </w:t>
      </w:r>
      <w:r w:rsidR="0018115C">
        <w:t xml:space="preserve">to be managed as </w:t>
      </w:r>
      <w:r>
        <w:t>thinn</w:t>
      </w:r>
      <w:r w:rsidR="0018115C">
        <w:t>ed or un-</w:t>
      </w:r>
      <w:r>
        <w:t>thinn</w:t>
      </w:r>
      <w:r w:rsidR="0018115C">
        <w:t>ed sub-compartments</w:t>
      </w:r>
      <w:r>
        <w:t xml:space="preserve"> according to the wind throw </w:t>
      </w:r>
      <w:r w:rsidR="0018115C">
        <w:t>risk of the site</w:t>
      </w:r>
      <w:r>
        <w:t xml:space="preserve">. Sites with a DAMS score greater than 16 were assumed to </w:t>
      </w:r>
      <w:r w:rsidR="0018115C">
        <w:t>remain</w:t>
      </w:r>
      <w:r>
        <w:t xml:space="preserve"> un</w:t>
      </w:r>
      <w:r w:rsidR="0018115C">
        <w:t>-</w:t>
      </w:r>
      <w:r>
        <w:t xml:space="preserve">thinned to avoid </w:t>
      </w:r>
      <w:r w:rsidR="0018115C">
        <w:t>endemic wind disturbance</w:t>
      </w:r>
      <w:r>
        <w:t xml:space="preserve">, while those on more sheltered sites (DAMS score &lt;= 16) were thinned every 5 years from age 20 until felling. </w:t>
      </w:r>
    </w:p>
    <w:p w:rsidR="002047D6" w:rsidRDefault="0018115C" w:rsidP="002047D6">
      <w:pPr>
        <w:pBdr>
          <w:bottom w:val="single" w:sz="6" w:space="1" w:color="auto"/>
        </w:pBdr>
        <w:jc w:val="both"/>
      </w:pPr>
      <w:r>
        <w:t>•</w:t>
      </w:r>
      <w:r>
        <w:tab/>
        <w:t>For conversion to FMA2 a sub-compartment</w:t>
      </w:r>
      <w:r w:rsidR="002047D6">
        <w:t xml:space="preserve"> must have a DAMS score &lt;= 14 and be less than 50 years in age to minimise the risk of wind damage. The transformation step </w:t>
      </w:r>
      <w:r w:rsidR="00AF3313">
        <w:t>wa</w:t>
      </w:r>
      <w:r w:rsidR="002047D6">
        <w:t>s assumed to yield two component stands</w:t>
      </w:r>
      <w:r>
        <w:t xml:space="preserve"> within the one sub-compartment</w:t>
      </w:r>
      <w:r w:rsidR="002047D6">
        <w:t>, both under FMA2 type management</w:t>
      </w:r>
      <w:r w:rsidR="006813F8">
        <w:t>,</w:t>
      </w:r>
      <w:r w:rsidR="002047D6">
        <w:t xml:space="preserve"> </w:t>
      </w:r>
      <w:r w:rsidR="006813F8">
        <w:t xml:space="preserve">and each </w:t>
      </w:r>
      <w:r w:rsidR="002047D6">
        <w:t>occupying 50% of the stand area. Th</w:t>
      </w:r>
      <w:r w:rsidR="006813F8">
        <w:t xml:space="preserve">is assumption leads to the regeneration of a </w:t>
      </w:r>
      <w:r w:rsidR="002047D6">
        <w:t xml:space="preserve">younger component </w:t>
      </w:r>
      <w:r w:rsidR="002047D6">
        <w:lastRenderedPageBreak/>
        <w:t xml:space="preserve">aged </w:t>
      </w:r>
      <w:r w:rsidR="006813F8">
        <w:t>5</w:t>
      </w:r>
      <w:r w:rsidR="002047D6">
        <w:t xml:space="preserve">0 years </w:t>
      </w:r>
      <w:r w:rsidR="00AF3313">
        <w:t xml:space="preserve">younger </w:t>
      </w:r>
      <w:r w:rsidR="002047D6">
        <w:t xml:space="preserve">than the over storey, and both </w:t>
      </w:r>
      <w:r w:rsidR="00AF3313">
        <w:t xml:space="preserve">components </w:t>
      </w:r>
      <w:r w:rsidR="002047D6">
        <w:t>have a 100 year rotation.</w:t>
      </w:r>
      <w:r w:rsidR="006813F8">
        <w:t xml:space="preserve"> This simulates a </w:t>
      </w:r>
      <w:proofErr w:type="spellStart"/>
      <w:r w:rsidR="006813F8">
        <w:t>shelterwood</w:t>
      </w:r>
      <w:proofErr w:type="spellEnd"/>
      <w:r w:rsidR="006813F8">
        <w:t xml:space="preserve"> management system, classified as a </w:t>
      </w:r>
      <w:r w:rsidR="006813F8" w:rsidRPr="006813F8">
        <w:rPr>
          <w:i/>
        </w:rPr>
        <w:t xml:space="preserve">low impact </w:t>
      </w:r>
      <w:proofErr w:type="spellStart"/>
      <w:r w:rsidR="006813F8" w:rsidRPr="006813F8">
        <w:rPr>
          <w:i/>
        </w:rPr>
        <w:t>silviculture</w:t>
      </w:r>
      <w:proofErr w:type="spellEnd"/>
      <w:r w:rsidR="006813F8" w:rsidRPr="006813F8">
        <w:rPr>
          <w:i/>
        </w:rPr>
        <w:t xml:space="preserve"> system</w:t>
      </w:r>
      <w:r w:rsidR="006813F8">
        <w:rPr>
          <w:i/>
        </w:rPr>
        <w:t>.</w:t>
      </w:r>
    </w:p>
    <w:p w:rsidR="002047D6" w:rsidRDefault="002047D6" w:rsidP="002047D6">
      <w:pPr>
        <w:pBdr>
          <w:bottom w:val="single" w:sz="6" w:space="1" w:color="auto"/>
        </w:pBdr>
        <w:jc w:val="both"/>
      </w:pPr>
      <w:r>
        <w:t>•</w:t>
      </w:r>
      <w:r>
        <w:tab/>
        <w:t>FMA5 management can be applied to any species, though the overarching scenario includes some constraints to preserve areas for biodiversity and conservation.</w:t>
      </w:r>
    </w:p>
    <w:p w:rsidR="00844EDE" w:rsidRDefault="00844EDE">
      <w:pPr>
        <w:pBdr>
          <w:bottom w:val="single" w:sz="6" w:space="1" w:color="auto"/>
        </w:pBdr>
      </w:pPr>
    </w:p>
    <w:p w:rsidR="00D4273D" w:rsidRPr="00576899" w:rsidRDefault="00BA5D27">
      <w:pPr>
        <w:pBdr>
          <w:bottom w:val="single" w:sz="6" w:space="1" w:color="auto"/>
        </w:pBdr>
        <w:rPr>
          <w:b/>
        </w:rPr>
      </w:pPr>
      <w:r w:rsidRPr="00576899">
        <w:rPr>
          <w:b/>
        </w:rPr>
        <w:t>Biodiversity Indicator</w:t>
      </w:r>
    </w:p>
    <w:p w:rsidR="00BA5D27" w:rsidRDefault="00BA5D27">
      <w:r>
        <w:t>Based upon work assessing the biodiversity of forests</w:t>
      </w:r>
      <w:r w:rsidR="00576899">
        <w:t xml:space="preserve"> </w:t>
      </w:r>
      <w:r w:rsidR="00C27A99">
        <w:fldChar w:fldCharType="begin"/>
      </w:r>
      <w:r w:rsidR="0018115C">
        <w:instrText xml:space="preserve"> ADDIN EN.CITE &lt;EndNote&gt;&lt;Cite&gt;&lt;Author&gt;Humphrey&lt;/Author&gt;&lt;Year&gt;2006&lt;/Year&gt;&lt;RecNum&gt;839&lt;/RecNum&gt;&lt;record&gt;&lt;rec-number&gt;839&lt;/rec-number&gt;&lt;ref-type name="Book Section"&gt;5&lt;/ref-type&gt;&lt;contributors&gt;&lt;authors&gt;&lt;author&gt;JW Humphrey&lt;/author&gt;&lt;author&gt;CP Quine &lt;/author&gt;&lt;author&gt;K Watts&lt;/author&gt;&lt;/authors&gt;&lt;secondary-authors&gt;&lt;author&gt;Davison R, Galbraith CA&lt;/author&gt;&lt;/secondary-authors&gt;&lt;/contributors&gt;&lt;titles&gt;&lt;title&gt;The influence of forest and woodland management on biodiversity in Scotland: recent findings and future prospects.&lt;/title&gt;&lt;secondary-title&gt;Farming, forestry and the natural heritage: towards a more integrated approach&lt;/secondary-title&gt;&lt;/titles&gt;&lt;pages&gt;59-75&lt;/pages&gt;&lt;dates&gt;&lt;year&gt;2006&lt;/year&gt;&lt;/dates&gt;&lt;pub-location&gt;Edinburgh&lt;/pub-location&gt;&lt;publisher&gt;Scottish Natural Heritage&lt;/publisher&gt;&lt;urls&gt;&lt;/urls&gt;&lt;/record&gt;&lt;/Cite&gt;&lt;Cite&gt;&lt;Author&gt;Humphrey&lt;/Author&gt;&lt;Year&gt;2004&lt;/Year&gt;&lt;RecNum&gt;1368&lt;/RecNum&gt;&lt;record&gt;&lt;rec-number&gt;1368&lt;/rec-number&gt;&lt;ref-type name="Book Section"&gt;5&lt;/ref-type&gt;&lt;contributors&gt;&lt;authors&gt;&lt;author&gt;J W Humphrey&lt;/author&gt;&lt;author&gt;A-L Sippola&lt;/author&gt;&lt;author&gt;L G Lempérière&lt;/author&gt;&lt;author&gt;B Dodelin&lt;/author&gt;&lt;author&gt;K N A Alexander&lt;/author&gt;&lt;author&gt;J E Butler&lt;/author&gt;&lt;/authors&gt;&lt;secondary-authors&gt;&lt;author&gt;M Marchetti&lt;/author&gt;&lt;/secondary-authors&gt;&lt;/contributors&gt;&lt;titles&gt;&lt;title&gt;Deadwood as an indicator of biodiversity in European forests: from theory to operational guidance&lt;/title&gt;&lt;secondary-title&gt;Monitoring and indicators of forest biodiversity in Europe - from ideas to operationality&lt;/secondary-title&gt;&lt;/titles&gt;&lt;pages&gt;193-206&lt;/pages&gt;&lt;dates&gt;&lt;year&gt;2004&lt;/year&gt;&lt;/dates&gt;&lt;pub-location&gt;Joensuu&lt;/pub-location&gt;&lt;publisher&gt;European Forest Institute&lt;/publisher&gt;&lt;urls&gt;&lt;/urls&gt;&lt;/record&gt;&lt;/Cite&gt;&lt;/EndNote&gt;</w:instrText>
      </w:r>
      <w:r w:rsidR="00C27A99">
        <w:fldChar w:fldCharType="separate"/>
      </w:r>
      <w:r w:rsidR="00576899">
        <w:t>(Humphrey et al. 2006; Humphrey et al. 2004)</w:t>
      </w:r>
      <w:r w:rsidR="00C27A99">
        <w:fldChar w:fldCharType="end"/>
      </w:r>
      <w:r>
        <w:t xml:space="preserve"> the two main factors identified were age and management </w:t>
      </w:r>
      <w:r w:rsidR="00AF3313">
        <w:t xml:space="preserve">accommodated in </w:t>
      </w:r>
      <w:r>
        <w:t xml:space="preserve">the following table which expresses </w:t>
      </w:r>
      <w:r w:rsidR="00AF3313">
        <w:t xml:space="preserve">the </w:t>
      </w:r>
      <w:r>
        <w:t>biodiversity</w:t>
      </w:r>
      <w:r w:rsidR="00AF3313">
        <w:t xml:space="preserve"> index</w:t>
      </w:r>
      <w:r>
        <w:t xml:space="preserve"> as a score, where higher values reflect greater biodiversity</w:t>
      </w:r>
      <w:r w:rsidR="00AF3313">
        <w:t xml:space="preserve"> score</w:t>
      </w:r>
      <w:r>
        <w:t>.</w:t>
      </w:r>
      <w:r w:rsidR="00844EDE">
        <w:t xml:space="preserve"> </w:t>
      </w:r>
    </w:p>
    <w:p w:rsidR="00BA5D27" w:rsidRDefault="00BA5D27"/>
    <w:tbl>
      <w:tblPr>
        <w:tblStyle w:val="TableGrid"/>
        <w:tblW w:w="0" w:type="auto"/>
        <w:tblLook w:val="01E0"/>
      </w:tblPr>
      <w:tblGrid>
        <w:gridCol w:w="1420"/>
        <w:gridCol w:w="1420"/>
        <w:gridCol w:w="1420"/>
        <w:gridCol w:w="1420"/>
        <w:gridCol w:w="1421"/>
        <w:gridCol w:w="1421"/>
      </w:tblGrid>
      <w:tr w:rsidR="00BA5D27" w:rsidTr="00BA5D27">
        <w:tc>
          <w:tcPr>
            <w:tcW w:w="1420" w:type="dxa"/>
          </w:tcPr>
          <w:p w:rsidR="00BA5D27" w:rsidRDefault="00BA5D27">
            <w:r>
              <w:t xml:space="preserve">Phase </w:t>
            </w:r>
          </w:p>
          <w:p w:rsidR="00BA5D27" w:rsidRDefault="00BA5D27">
            <w:r>
              <w:t>(Age)</w:t>
            </w:r>
          </w:p>
        </w:tc>
        <w:tc>
          <w:tcPr>
            <w:tcW w:w="1420" w:type="dxa"/>
          </w:tcPr>
          <w:p w:rsidR="00BA5D27" w:rsidRDefault="00BA5D27">
            <w:r>
              <w:t>FMA 1</w:t>
            </w:r>
          </w:p>
        </w:tc>
        <w:tc>
          <w:tcPr>
            <w:tcW w:w="1420" w:type="dxa"/>
          </w:tcPr>
          <w:p w:rsidR="00BA5D27" w:rsidRDefault="00BA5D27">
            <w:r>
              <w:t>FMA 2</w:t>
            </w:r>
          </w:p>
        </w:tc>
        <w:tc>
          <w:tcPr>
            <w:tcW w:w="1420" w:type="dxa"/>
          </w:tcPr>
          <w:p w:rsidR="00BA5D27" w:rsidRDefault="00BA5D27">
            <w:r>
              <w:t>FMA 3</w:t>
            </w:r>
          </w:p>
        </w:tc>
        <w:tc>
          <w:tcPr>
            <w:tcW w:w="1421" w:type="dxa"/>
          </w:tcPr>
          <w:p w:rsidR="00BA5D27" w:rsidRDefault="00BA5D27">
            <w:r>
              <w:t>FMA 4</w:t>
            </w:r>
          </w:p>
        </w:tc>
        <w:tc>
          <w:tcPr>
            <w:tcW w:w="1421" w:type="dxa"/>
          </w:tcPr>
          <w:p w:rsidR="00BA5D27" w:rsidRDefault="00BA5D27">
            <w:r>
              <w:t>FMA 5</w:t>
            </w:r>
          </w:p>
        </w:tc>
      </w:tr>
      <w:tr w:rsidR="00BA5D27" w:rsidTr="00BA5D27">
        <w:tc>
          <w:tcPr>
            <w:tcW w:w="1420" w:type="dxa"/>
          </w:tcPr>
          <w:p w:rsidR="00BA5D27" w:rsidRDefault="00BA5D27">
            <w:r>
              <w:t>Establishment (0-4 years)</w:t>
            </w:r>
          </w:p>
        </w:tc>
        <w:tc>
          <w:tcPr>
            <w:tcW w:w="1420" w:type="dxa"/>
          </w:tcPr>
          <w:p w:rsidR="00BA5D27" w:rsidRDefault="00BA5D27">
            <w:r>
              <w:t>5.2</w:t>
            </w:r>
          </w:p>
        </w:tc>
        <w:tc>
          <w:tcPr>
            <w:tcW w:w="1420" w:type="dxa"/>
          </w:tcPr>
          <w:p w:rsidR="00BA5D27" w:rsidRDefault="00BA5D27">
            <w:r>
              <w:t>5.1</w:t>
            </w:r>
          </w:p>
        </w:tc>
        <w:tc>
          <w:tcPr>
            <w:tcW w:w="1420" w:type="dxa"/>
          </w:tcPr>
          <w:p w:rsidR="00BA5D27" w:rsidRDefault="00BA5D27">
            <w:r>
              <w:t>3.7</w:t>
            </w:r>
          </w:p>
        </w:tc>
        <w:tc>
          <w:tcPr>
            <w:tcW w:w="1421" w:type="dxa"/>
          </w:tcPr>
          <w:p w:rsidR="00BA5D27" w:rsidRDefault="00BA5D27">
            <w:r>
              <w:t>3.1</w:t>
            </w:r>
          </w:p>
        </w:tc>
        <w:tc>
          <w:tcPr>
            <w:tcW w:w="1421" w:type="dxa"/>
          </w:tcPr>
          <w:p w:rsidR="00BA5D27" w:rsidRDefault="00BA5D27">
            <w:r>
              <w:t>1.8</w:t>
            </w:r>
          </w:p>
        </w:tc>
      </w:tr>
      <w:tr w:rsidR="00BA5D27" w:rsidTr="00BA5D27">
        <w:tc>
          <w:tcPr>
            <w:tcW w:w="1420" w:type="dxa"/>
          </w:tcPr>
          <w:p w:rsidR="00BA5D27" w:rsidRDefault="00BA5D27">
            <w:r>
              <w:t>Young</w:t>
            </w:r>
            <w:r w:rsidR="003C035D">
              <w:t xml:space="preserve"> </w:t>
            </w:r>
          </w:p>
          <w:p w:rsidR="003C035D" w:rsidRDefault="003C035D">
            <w:r>
              <w:t>(5-15 years)</w:t>
            </w:r>
          </w:p>
        </w:tc>
        <w:tc>
          <w:tcPr>
            <w:tcW w:w="1420" w:type="dxa"/>
          </w:tcPr>
          <w:p w:rsidR="00BA5D27" w:rsidRDefault="00BA5D27">
            <w:r>
              <w:t>5</w:t>
            </w:r>
          </w:p>
        </w:tc>
        <w:tc>
          <w:tcPr>
            <w:tcW w:w="1420" w:type="dxa"/>
          </w:tcPr>
          <w:p w:rsidR="00BA5D27" w:rsidRDefault="00BA5D27">
            <w:r>
              <w:t>4.1</w:t>
            </w:r>
          </w:p>
        </w:tc>
        <w:tc>
          <w:tcPr>
            <w:tcW w:w="1420" w:type="dxa"/>
          </w:tcPr>
          <w:p w:rsidR="00BA5D27" w:rsidRDefault="00BA5D27">
            <w:r>
              <w:t>2.9</w:t>
            </w:r>
          </w:p>
        </w:tc>
        <w:tc>
          <w:tcPr>
            <w:tcW w:w="1421" w:type="dxa"/>
          </w:tcPr>
          <w:p w:rsidR="00BA5D27" w:rsidRDefault="00BA5D27">
            <w:r>
              <w:t>1.6</w:t>
            </w:r>
          </w:p>
        </w:tc>
        <w:tc>
          <w:tcPr>
            <w:tcW w:w="1421" w:type="dxa"/>
          </w:tcPr>
          <w:p w:rsidR="00BA5D27" w:rsidRDefault="00BA5D27">
            <w:r>
              <w:t>1.2</w:t>
            </w:r>
          </w:p>
        </w:tc>
      </w:tr>
      <w:tr w:rsidR="00BA5D27" w:rsidTr="00BA5D27">
        <w:tc>
          <w:tcPr>
            <w:tcW w:w="1420" w:type="dxa"/>
          </w:tcPr>
          <w:p w:rsidR="00BA5D27" w:rsidRDefault="00BA5D27">
            <w:r>
              <w:t>Medium</w:t>
            </w:r>
          </w:p>
          <w:p w:rsidR="003C035D" w:rsidRDefault="003C035D">
            <w:r>
              <w:t>(16-50 years)</w:t>
            </w:r>
          </w:p>
        </w:tc>
        <w:tc>
          <w:tcPr>
            <w:tcW w:w="1420" w:type="dxa"/>
          </w:tcPr>
          <w:p w:rsidR="00BA5D27" w:rsidRDefault="00BA5D27">
            <w:r>
              <w:t>6</w:t>
            </w:r>
          </w:p>
        </w:tc>
        <w:tc>
          <w:tcPr>
            <w:tcW w:w="1420" w:type="dxa"/>
          </w:tcPr>
          <w:p w:rsidR="00BA5D27" w:rsidRDefault="00BA5D27">
            <w:r>
              <w:t>4.5</w:t>
            </w:r>
          </w:p>
        </w:tc>
        <w:tc>
          <w:tcPr>
            <w:tcW w:w="1420" w:type="dxa"/>
          </w:tcPr>
          <w:p w:rsidR="00BA5D27" w:rsidRDefault="00BA5D27">
            <w:r>
              <w:t>3.8</w:t>
            </w:r>
          </w:p>
        </w:tc>
        <w:tc>
          <w:tcPr>
            <w:tcW w:w="1421" w:type="dxa"/>
          </w:tcPr>
          <w:p w:rsidR="00BA5D27" w:rsidRDefault="00BA5D27">
            <w:r>
              <w:t>2.1</w:t>
            </w:r>
          </w:p>
        </w:tc>
        <w:tc>
          <w:tcPr>
            <w:tcW w:w="1421" w:type="dxa"/>
          </w:tcPr>
          <w:p w:rsidR="00BA5D27" w:rsidRDefault="00BA5D27">
            <w:r>
              <w:t>1.1</w:t>
            </w:r>
          </w:p>
        </w:tc>
      </w:tr>
      <w:tr w:rsidR="00BA5D27" w:rsidTr="00BA5D27">
        <w:tc>
          <w:tcPr>
            <w:tcW w:w="1420" w:type="dxa"/>
          </w:tcPr>
          <w:p w:rsidR="00BA5D27" w:rsidRDefault="00BA5D27">
            <w:r>
              <w:t>Mature</w:t>
            </w:r>
          </w:p>
          <w:p w:rsidR="003C035D" w:rsidRDefault="003C035D">
            <w:r>
              <w:t>(&gt;51 years)</w:t>
            </w:r>
          </w:p>
        </w:tc>
        <w:tc>
          <w:tcPr>
            <w:tcW w:w="1420" w:type="dxa"/>
          </w:tcPr>
          <w:p w:rsidR="00BA5D27" w:rsidRDefault="00BA5D27">
            <w:r>
              <w:t>7.5</w:t>
            </w:r>
          </w:p>
        </w:tc>
        <w:tc>
          <w:tcPr>
            <w:tcW w:w="1420" w:type="dxa"/>
          </w:tcPr>
          <w:p w:rsidR="00BA5D27" w:rsidRDefault="00BA5D27">
            <w:r>
              <w:t>5.8</w:t>
            </w:r>
          </w:p>
        </w:tc>
        <w:tc>
          <w:tcPr>
            <w:tcW w:w="1420" w:type="dxa"/>
          </w:tcPr>
          <w:p w:rsidR="00BA5D27" w:rsidRDefault="00BA5D27">
            <w:r>
              <w:t>5.4</w:t>
            </w:r>
          </w:p>
        </w:tc>
        <w:tc>
          <w:tcPr>
            <w:tcW w:w="1421" w:type="dxa"/>
          </w:tcPr>
          <w:p w:rsidR="00BA5D27" w:rsidRDefault="003C035D">
            <w:r>
              <w:t>2.1*</w:t>
            </w:r>
          </w:p>
        </w:tc>
        <w:tc>
          <w:tcPr>
            <w:tcW w:w="1421" w:type="dxa"/>
          </w:tcPr>
          <w:p w:rsidR="00BA5D27" w:rsidRDefault="003C035D">
            <w:r>
              <w:t>1.1*</w:t>
            </w:r>
          </w:p>
        </w:tc>
      </w:tr>
    </w:tbl>
    <w:p w:rsidR="00BA5D27" w:rsidRDefault="003C035D">
      <w:r>
        <w:t>*</w:t>
      </w:r>
      <w:r w:rsidR="00BA5D27">
        <w:t xml:space="preserve"> </w:t>
      </w:r>
      <w:proofErr w:type="gramStart"/>
      <w:r w:rsidR="00AF3313">
        <w:t>sub-compartments</w:t>
      </w:r>
      <w:proofErr w:type="gramEnd"/>
      <w:r w:rsidR="00BA5D27">
        <w:t xml:space="preserve"> under this management by definition</w:t>
      </w:r>
      <w:r w:rsidR="00AF3313">
        <w:t>, are</w:t>
      </w:r>
      <w:r w:rsidR="00BA5D27">
        <w:t xml:space="preserve"> felled before this stage.</w:t>
      </w:r>
      <w:r>
        <w:t xml:space="preserve"> In the event of a stand being in this category (e.g. due to delayed felling) the last value </w:t>
      </w:r>
      <w:r w:rsidR="00AF3313">
        <w:t>assigned is</w:t>
      </w:r>
      <w:r>
        <w:t xml:space="preserve"> used as the biodiversity indicator.</w:t>
      </w:r>
    </w:p>
    <w:p w:rsidR="003C035D" w:rsidRDefault="003C035D"/>
    <w:p w:rsidR="003C035D" w:rsidRDefault="003C035D">
      <w:r>
        <w:t>Open space</w:t>
      </w:r>
      <w:r w:rsidR="004C7D85">
        <w:t xml:space="preserve"> sub-compartments</w:t>
      </w:r>
      <w:r>
        <w:t xml:space="preserve"> within the forest area </w:t>
      </w:r>
      <w:r w:rsidR="00AF3313">
        <w:t>we</w:t>
      </w:r>
      <w:r>
        <w:t>re assigned a value of 2.</w:t>
      </w:r>
    </w:p>
    <w:p w:rsidR="003C035D" w:rsidRDefault="003C035D">
      <w:r>
        <w:t xml:space="preserve">The biodiversity score </w:t>
      </w:r>
      <w:r w:rsidR="00AF3313">
        <w:t>wa</w:t>
      </w:r>
      <w:r>
        <w:t xml:space="preserve">s weighted according to the size of the management unit, </w:t>
      </w:r>
      <w:r w:rsidR="004C7D85">
        <w:t xml:space="preserve">and </w:t>
      </w:r>
      <w:r>
        <w:t xml:space="preserve">this </w:t>
      </w:r>
      <w:r w:rsidR="00AF3313">
        <w:t>wa</w:t>
      </w:r>
      <w:r>
        <w:t xml:space="preserve">s </w:t>
      </w:r>
      <w:r w:rsidR="00DF2AC9">
        <w:t>calculated by</w:t>
      </w:r>
      <w:r>
        <w:t xml:space="preserve"> multiplying the above scores by the management unit area </w:t>
      </w:r>
      <w:r w:rsidR="00AF3313">
        <w:t>(hectare)</w:t>
      </w:r>
      <w:r>
        <w:t>.</w:t>
      </w:r>
    </w:p>
    <w:p w:rsidR="00DF2AC9" w:rsidRDefault="00DF2AC9"/>
    <w:p w:rsidR="001B5D86" w:rsidRDefault="00DF2AC9">
      <w:r>
        <w:t xml:space="preserve">FMA2 stands </w:t>
      </w:r>
      <w:r w:rsidR="00AF3313">
        <w:t xml:space="preserve">have </w:t>
      </w:r>
      <w:r>
        <w:t xml:space="preserve">two components, </w:t>
      </w:r>
      <w:r w:rsidR="004C7D85">
        <w:t xml:space="preserve">each was </w:t>
      </w:r>
      <w:r>
        <w:t>assumed to occupy 50% of the area</w:t>
      </w:r>
      <w:r w:rsidR="004C7D85">
        <w:t>, as</w:t>
      </w:r>
      <w:r>
        <w:t xml:space="preserve"> the </w:t>
      </w:r>
      <w:r w:rsidR="00AF3313">
        <w:t>young</w:t>
      </w:r>
      <w:r w:rsidR="004C7D85">
        <w:t>er</w:t>
      </w:r>
      <w:r>
        <w:t xml:space="preserve"> component </w:t>
      </w:r>
      <w:r w:rsidR="00AF3313">
        <w:t xml:space="preserve">regenerates </w:t>
      </w:r>
      <w:r>
        <w:t>50 years</w:t>
      </w:r>
      <w:r w:rsidR="00AF3313">
        <w:t xml:space="preserve"> after the high forest is thinned</w:t>
      </w:r>
      <w:r>
        <w:t>. For a 1 h</w:t>
      </w:r>
      <w:r w:rsidR="004C7D85">
        <w:t xml:space="preserve">a </w:t>
      </w:r>
      <w:r>
        <w:t>FMA2 stand comprising components aged age 5 and age 55, the weigh</w:t>
      </w:r>
      <w:r w:rsidR="001B5D86">
        <w:t>ted biodiversity index would be:</w:t>
      </w:r>
    </w:p>
    <w:p w:rsidR="001B5D86" w:rsidRDefault="001B5D86">
      <m:oMathPara>
        <m:oMath>
          <m:r>
            <w:rPr>
              <w:rFonts w:ascii="Cambria Math" w:hAnsi="Cambria Math"/>
            </w:rPr>
            <m:t>WBI=</m:t>
          </m:r>
          <m:d>
            <m:dPr>
              <m:ctrlPr>
                <w:rPr>
                  <w:rFonts w:ascii="Cambria Math" w:hAnsi="Cambria Math"/>
                  <w:i/>
                </w:rPr>
              </m:ctrlPr>
            </m:dPr>
            <m:e>
              <m:r>
                <w:rPr>
                  <w:rFonts w:ascii="Cambria Math" w:hAnsi="Cambria Math"/>
                </w:rPr>
                <m:t>0.5×1×4.1</m:t>
              </m:r>
            </m:e>
          </m:d>
          <m:r>
            <w:rPr>
              <w:rFonts w:ascii="Cambria Math" w:hAnsi="Cambria Math"/>
            </w:rPr>
            <m:t>+</m:t>
          </m:r>
          <m:d>
            <m:dPr>
              <m:ctrlPr>
                <w:rPr>
                  <w:rFonts w:ascii="Cambria Math" w:hAnsi="Cambria Math"/>
                  <w:i/>
                </w:rPr>
              </m:ctrlPr>
            </m:dPr>
            <m:e>
              <m:r>
                <w:rPr>
                  <w:rFonts w:ascii="Cambria Math" w:hAnsi="Cambria Math"/>
                </w:rPr>
                <m:t>0.5×1×5.8</m:t>
              </m:r>
            </m:e>
          </m:d>
          <m:r>
            <w:rPr>
              <w:rFonts w:ascii="Cambria Math" w:hAnsi="Cambria Math"/>
            </w:rPr>
            <m:t>=5</m:t>
          </m:r>
        </m:oMath>
      </m:oMathPara>
    </w:p>
    <w:p w:rsidR="001B5D86" w:rsidRDefault="001B5D86"/>
    <w:p w:rsidR="00DF2AC9" w:rsidRDefault="00DF2AC9"/>
    <w:p w:rsidR="00844EDE" w:rsidRPr="00576899" w:rsidRDefault="00DF2AC9" w:rsidP="00844EDE">
      <w:pPr>
        <w:pBdr>
          <w:bottom w:val="single" w:sz="6" w:space="1" w:color="auto"/>
        </w:pBdr>
        <w:rPr>
          <w:b/>
        </w:rPr>
      </w:pPr>
      <w:r>
        <w:t xml:space="preserve"> </w:t>
      </w:r>
      <w:r w:rsidR="00844EDE" w:rsidRPr="00576899">
        <w:rPr>
          <w:b/>
        </w:rPr>
        <w:t>Operations Indicator</w:t>
      </w:r>
    </w:p>
    <w:p w:rsidR="00844EDE" w:rsidRDefault="00A4045A" w:rsidP="00844EDE">
      <w:r>
        <w:t xml:space="preserve">Operations </w:t>
      </w:r>
      <w:r w:rsidR="00AF3313">
        <w:t>we</w:t>
      </w:r>
      <w:r>
        <w:t xml:space="preserve">re defined as felling and establishment operations, where the former includes </w:t>
      </w:r>
      <w:proofErr w:type="spellStart"/>
      <w:r>
        <w:t>clearfelling</w:t>
      </w:r>
      <w:proofErr w:type="spellEnd"/>
      <w:r>
        <w:t xml:space="preserve">, thinning and </w:t>
      </w:r>
      <w:proofErr w:type="spellStart"/>
      <w:r>
        <w:t>respacing</w:t>
      </w:r>
      <w:proofErr w:type="spellEnd"/>
      <w:r>
        <w:t>. This indicator gives a simple measure of the number of interventions</w:t>
      </w:r>
      <w:r w:rsidR="00A366C2">
        <w:t xml:space="preserve"> and </w:t>
      </w:r>
      <w:r w:rsidR="004C4F5A">
        <w:t xml:space="preserve">the </w:t>
      </w:r>
      <w:r w:rsidR="00A366C2">
        <w:t>associated employment</w:t>
      </w:r>
      <w:r>
        <w:t xml:space="preserve"> required to support a particular FMA.</w:t>
      </w:r>
    </w:p>
    <w:p w:rsidR="00A4045A" w:rsidRDefault="00A4045A" w:rsidP="00844EDE"/>
    <w:p w:rsidR="00A4045A" w:rsidRDefault="00A4045A" w:rsidP="00844EDE">
      <w:r>
        <w:t xml:space="preserve">For FMA3 and FMA4 </w:t>
      </w:r>
      <w:r w:rsidR="004C4F5A">
        <w:t>sub-compartments, we assumed that</w:t>
      </w:r>
      <w:r>
        <w:t xml:space="preserve"> the number of operations was dependent upon whether of not thinning was </w:t>
      </w:r>
      <w:r w:rsidR="004C4F5A">
        <w:t>scheduled to occur</w:t>
      </w:r>
      <w:r>
        <w:t>. The suitability of a stand for thinning was determin</w:t>
      </w:r>
      <w:r w:rsidR="004C4F5A">
        <w:t xml:space="preserve">ed by the DAMS score of a site. Sub-compartments with a DAMS score greater than 16 were assumed to have </w:t>
      </w:r>
      <w:r w:rsidR="005343B9">
        <w:t xml:space="preserve">no thinning taking place. </w:t>
      </w:r>
    </w:p>
    <w:p w:rsidR="005343B9" w:rsidRDefault="005343B9" w:rsidP="00844EDE"/>
    <w:p w:rsidR="00844EDE" w:rsidRDefault="00A366C2" w:rsidP="00844EDE">
      <w:r>
        <w:t>The operations indicator was weighted by area so for a 2 h</w:t>
      </w:r>
      <w:r w:rsidR="00C52707">
        <w:t>a</w:t>
      </w:r>
      <w:r>
        <w:t xml:space="preserve"> FMA4 thinned </w:t>
      </w:r>
      <w:r w:rsidR="009A0561">
        <w:t xml:space="preserve">sub-compartment </w:t>
      </w:r>
      <w:r>
        <w:t>with a 50 year rotation the following operations would take place:</w:t>
      </w:r>
    </w:p>
    <w:p w:rsidR="00A366C2" w:rsidRDefault="00A366C2" w:rsidP="00844EDE"/>
    <w:tbl>
      <w:tblPr>
        <w:tblStyle w:val="TableGrid"/>
        <w:tblW w:w="0" w:type="auto"/>
        <w:tblLook w:val="01E0"/>
      </w:tblPr>
      <w:tblGrid>
        <w:gridCol w:w="2840"/>
        <w:gridCol w:w="2841"/>
        <w:gridCol w:w="2841"/>
      </w:tblGrid>
      <w:tr w:rsidR="00A366C2" w:rsidTr="00A366C2">
        <w:tc>
          <w:tcPr>
            <w:tcW w:w="2840" w:type="dxa"/>
          </w:tcPr>
          <w:p w:rsidR="00A366C2" w:rsidRDefault="00A366C2" w:rsidP="00844EDE">
            <w:r>
              <w:t>Age</w:t>
            </w:r>
          </w:p>
        </w:tc>
        <w:tc>
          <w:tcPr>
            <w:tcW w:w="2841" w:type="dxa"/>
          </w:tcPr>
          <w:p w:rsidR="00A366C2" w:rsidRDefault="00A366C2" w:rsidP="00844EDE">
            <w:r>
              <w:t>Operation</w:t>
            </w:r>
          </w:p>
        </w:tc>
        <w:tc>
          <w:tcPr>
            <w:tcW w:w="2841" w:type="dxa"/>
          </w:tcPr>
          <w:p w:rsidR="00A366C2" w:rsidRDefault="00A366C2" w:rsidP="00844EDE">
            <w:r>
              <w:t>Total</w:t>
            </w:r>
          </w:p>
        </w:tc>
      </w:tr>
      <w:tr w:rsidR="00A366C2" w:rsidTr="00A366C2">
        <w:tc>
          <w:tcPr>
            <w:tcW w:w="2840" w:type="dxa"/>
          </w:tcPr>
          <w:p w:rsidR="00A366C2" w:rsidRDefault="00A366C2" w:rsidP="00844EDE">
            <w:r>
              <w:t>0</w:t>
            </w:r>
          </w:p>
        </w:tc>
        <w:tc>
          <w:tcPr>
            <w:tcW w:w="2841" w:type="dxa"/>
          </w:tcPr>
          <w:p w:rsidR="00A366C2" w:rsidRDefault="00A366C2" w:rsidP="00844EDE">
            <w:r>
              <w:t>Establishment</w:t>
            </w:r>
          </w:p>
        </w:tc>
        <w:tc>
          <w:tcPr>
            <w:tcW w:w="2841" w:type="dxa"/>
          </w:tcPr>
          <w:p w:rsidR="00A366C2" w:rsidRDefault="00A366C2" w:rsidP="00844EDE">
            <w:r>
              <w:t>1</w:t>
            </w:r>
          </w:p>
        </w:tc>
      </w:tr>
      <w:tr w:rsidR="00A366C2" w:rsidTr="00A366C2">
        <w:tc>
          <w:tcPr>
            <w:tcW w:w="2840" w:type="dxa"/>
          </w:tcPr>
          <w:p w:rsidR="00A366C2" w:rsidRDefault="00A366C2" w:rsidP="00844EDE">
            <w:r>
              <w:t>20, 25, 30, 35, 40, 45</w:t>
            </w:r>
          </w:p>
        </w:tc>
        <w:tc>
          <w:tcPr>
            <w:tcW w:w="2841" w:type="dxa"/>
          </w:tcPr>
          <w:p w:rsidR="00A366C2" w:rsidRDefault="00A366C2" w:rsidP="00844EDE">
            <w:r>
              <w:t>Thinning</w:t>
            </w:r>
          </w:p>
        </w:tc>
        <w:tc>
          <w:tcPr>
            <w:tcW w:w="2841" w:type="dxa"/>
          </w:tcPr>
          <w:p w:rsidR="00A366C2" w:rsidRDefault="00A366C2" w:rsidP="00844EDE">
            <w:r>
              <w:t>6</w:t>
            </w:r>
          </w:p>
        </w:tc>
      </w:tr>
      <w:tr w:rsidR="00A366C2" w:rsidTr="00A366C2">
        <w:tc>
          <w:tcPr>
            <w:tcW w:w="2840" w:type="dxa"/>
          </w:tcPr>
          <w:p w:rsidR="00A366C2" w:rsidRDefault="00A366C2" w:rsidP="00844EDE">
            <w:r>
              <w:t xml:space="preserve">50 </w:t>
            </w:r>
          </w:p>
        </w:tc>
        <w:tc>
          <w:tcPr>
            <w:tcW w:w="2841" w:type="dxa"/>
          </w:tcPr>
          <w:p w:rsidR="00A366C2" w:rsidRDefault="00A366C2" w:rsidP="00844EDE">
            <w:proofErr w:type="spellStart"/>
            <w:r>
              <w:t>Clearfell</w:t>
            </w:r>
            <w:proofErr w:type="spellEnd"/>
          </w:p>
        </w:tc>
        <w:tc>
          <w:tcPr>
            <w:tcW w:w="2841" w:type="dxa"/>
          </w:tcPr>
          <w:p w:rsidR="00A366C2" w:rsidRDefault="00A366C2" w:rsidP="00844EDE">
            <w:r>
              <w:t>1</w:t>
            </w:r>
          </w:p>
        </w:tc>
      </w:tr>
      <w:tr w:rsidR="00A366C2" w:rsidTr="00A366C2">
        <w:tc>
          <w:tcPr>
            <w:tcW w:w="2840" w:type="dxa"/>
          </w:tcPr>
          <w:p w:rsidR="00A366C2" w:rsidRDefault="00A366C2" w:rsidP="00844EDE"/>
        </w:tc>
        <w:tc>
          <w:tcPr>
            <w:tcW w:w="2841" w:type="dxa"/>
          </w:tcPr>
          <w:p w:rsidR="00A366C2" w:rsidRDefault="00A366C2" w:rsidP="00844EDE"/>
        </w:tc>
        <w:tc>
          <w:tcPr>
            <w:tcW w:w="2841" w:type="dxa"/>
          </w:tcPr>
          <w:p w:rsidR="00A366C2" w:rsidRDefault="00A366C2" w:rsidP="00844EDE">
            <w:r>
              <w:t>8</w:t>
            </w:r>
          </w:p>
        </w:tc>
      </w:tr>
    </w:tbl>
    <w:p w:rsidR="00A366C2" w:rsidRDefault="00A366C2" w:rsidP="00844EDE"/>
    <w:p w:rsidR="00844EDE" w:rsidRDefault="00A366C2" w:rsidP="00844EDE">
      <w:r>
        <w:t>The weighted operations score for this stand would then be 2 (area) x 8 (number of operations) = 16.</w:t>
      </w:r>
    </w:p>
    <w:p w:rsidR="002E6A01" w:rsidRDefault="002E6A01" w:rsidP="00844EDE"/>
    <w:p w:rsidR="0066286D" w:rsidRDefault="0066286D" w:rsidP="00844EDE"/>
    <w:p w:rsidR="0066286D" w:rsidRDefault="0066286D" w:rsidP="00844EDE"/>
    <w:p w:rsidR="0066286D" w:rsidRDefault="0066286D" w:rsidP="00844EDE"/>
    <w:p w:rsidR="002E6A01" w:rsidRDefault="002E6A01" w:rsidP="00844EDE"/>
    <w:p w:rsidR="002E6A01" w:rsidRPr="00055862" w:rsidRDefault="002E6A01" w:rsidP="002E6A01">
      <w:pPr>
        <w:pBdr>
          <w:bottom w:val="single" w:sz="6" w:space="1" w:color="auto"/>
        </w:pBdr>
        <w:rPr>
          <w:b/>
        </w:rPr>
      </w:pPr>
      <w:r w:rsidRPr="00055862">
        <w:rPr>
          <w:b/>
        </w:rPr>
        <w:lastRenderedPageBreak/>
        <w:t>Recreation Indicator</w:t>
      </w:r>
    </w:p>
    <w:p w:rsidR="002E6A01" w:rsidRDefault="00E835D2" w:rsidP="002E6A01">
      <w:r w:rsidRPr="00055862">
        <w:t xml:space="preserve">The recreation indicator was developed </w:t>
      </w:r>
      <w:r w:rsidR="00C27A99" w:rsidRPr="00055862">
        <w:fldChar w:fldCharType="begin"/>
      </w:r>
      <w:r w:rsidR="0018115C" w:rsidRPr="00055862">
        <w:instrText xml:space="preserve"> ADDIN EN.CITE &lt;EndNote&gt;&lt;Cite&gt;&lt;Author&gt;Edwards&lt;/Author&gt;&lt;Year&gt;2011&lt;/Year&gt;&lt;RecNum&gt;1099&lt;/RecNum&gt;&lt;record&gt;&lt;rec-number&gt;1099&lt;/rec-number&gt;&lt;ref-type name="Journal Article"&gt;17&lt;/ref-type&gt;&lt;contributors&gt;&lt;authors&gt;&lt;author&gt;Edwards, D.M.&lt;/author&gt;&lt;author&gt;Jensen, F.S.&lt;/author&gt;&lt;author&gt;Marzano, M.&lt;/author&gt;&lt;author&gt;Mason, B.&lt;/author&gt;&lt;author&gt;Pizzirani, S.&lt;/author&gt;&lt;author&gt;Schelhaas, M.J. &lt;/author&gt;&lt;/authors&gt;&lt;/contributors&gt;&lt;titles&gt;&lt;title&gt; A Theoretical Framework to Assess the Impacts of Forest Management on the Recreational Value of European Forests.&lt;/title&gt;&lt;secondary-title&gt;Ecological Indicators&lt;/secondary-title&gt;&lt;/titles&gt;&lt;periodical&gt;&lt;full-title&gt;Ecological Indicators&lt;/full-title&gt;&lt;/periodical&gt;&lt;pages&gt;81-89&lt;/pages&gt;&lt;volume&gt;11&lt;/volume&gt;&lt;dates&gt;&lt;year&gt;2011&lt;/year&gt;&lt;/dates&gt;&lt;urls&gt;&lt;pdf-urls&gt;&lt;url&gt;file:///C:/Documents%20and%20Settings/duncan.ray/My%20Documents/pdf_downloads/indicators/ECOIND529_Offprint.pdf&lt;/url&gt;&lt;/pdf-urls&gt;&lt;/urls&gt;&lt;/record&gt;&lt;/Cite&gt;&lt;Cite&gt;&lt;Author&gt;Edwards&lt;/Author&gt;&lt;Year&gt;2012&lt;/Year&gt;&lt;RecNum&gt;1100&lt;/RecNum&gt;&lt;record&gt;&lt;rec-number&gt;1100&lt;/rec-number&gt;&lt;ref-type name="Journal Article"&gt;17&lt;/ref-type&gt;&lt;contributors&gt;&lt;authors&gt;&lt;author&gt;Edwards, D.M.&lt;/author&gt;&lt;author&gt;Jay, M.&lt;/author&gt;&lt;author&gt;Jensen, F.S.&lt;/author&gt;&lt;author&gt;Lucas, B.&lt;/author&gt;&lt;author&gt;Marzano, M.&lt;/author&gt;&lt;author&gt;Montagné, C.&lt;/author&gt;&lt;author&gt;Peace, A.&lt;/author&gt;&lt;author&gt;Weiss, G.&lt;/author&gt;&lt;/authors&gt;&lt;/contributors&gt;&lt;titles&gt;&lt;title&gt;Public preferences for structural attributes of forests: Towards a pan-European perspective &lt;/title&gt;&lt;secondary-title&gt;Forest Policy and Economics&lt;/secondary-title&gt;&lt;/titles&gt;&lt;periodical&gt;&lt;full-title&gt;Forest Policy and Economics&lt;/full-title&gt;&lt;/periodical&gt;&lt;pages&gt;12-19&lt;/pages&gt;&lt;volume&gt;19&lt;/volume&gt;&lt;dates&gt;&lt;year&gt;2012&lt;/year&gt;&lt;/dates&gt;&lt;urls&gt;&lt;pdf-urls&gt;&lt;url&gt;file:///C:/Documents%20and%20Settings/duncan.ray/My%20Documents/pdf_downloads/indicators/Edwards%20et%20al%20public%20pref%20structure%20forests%20(2012).pdf&lt;/url&gt;&lt;/pdf-urls&gt;&lt;/urls&gt;&lt;/record&gt;&lt;/Cite&gt;&lt;/EndNote&gt;</w:instrText>
      </w:r>
      <w:r w:rsidR="00C27A99" w:rsidRPr="00055862">
        <w:fldChar w:fldCharType="separate"/>
      </w:r>
      <w:r w:rsidR="00576899" w:rsidRPr="00055862">
        <w:t>(Edwards et al. 2011; Edwards et al. 2012)</w:t>
      </w:r>
      <w:r w:rsidR="00C27A99" w:rsidRPr="00055862">
        <w:fldChar w:fldCharType="end"/>
      </w:r>
      <w:r w:rsidR="00576899" w:rsidRPr="00055862">
        <w:t xml:space="preserve"> </w:t>
      </w:r>
      <w:r w:rsidRPr="00055862">
        <w:t>as a me</w:t>
      </w:r>
      <w:r w:rsidR="001A3409" w:rsidRPr="00055862">
        <w:t>thod for</w:t>
      </w:r>
      <w:r w:rsidRPr="00055862">
        <w:t xml:space="preserve"> quantifying the aesthetic qualities of different </w:t>
      </w:r>
      <w:proofErr w:type="spellStart"/>
      <w:r w:rsidR="001A3409" w:rsidRPr="00055862">
        <w:t>FMAs</w:t>
      </w:r>
      <w:proofErr w:type="spellEnd"/>
      <w:r w:rsidRPr="00055862">
        <w:t>, species and age classes.</w:t>
      </w:r>
      <w:r w:rsidR="000D3A2A" w:rsidRPr="00055862">
        <w:t xml:space="preserve"> The index score is for 1 hectare so it is modified according to the size of the </w:t>
      </w:r>
      <w:r w:rsidR="009A0561" w:rsidRPr="00055862">
        <w:t>sub-compartment</w:t>
      </w:r>
      <w:r w:rsidR="000D3A2A" w:rsidRPr="00055862">
        <w:t xml:space="preserve"> area.</w:t>
      </w:r>
      <w:r>
        <w:t xml:space="preserve"> </w:t>
      </w:r>
    </w:p>
    <w:p w:rsidR="00E835D2" w:rsidRDefault="00E835D2" w:rsidP="002E6A01"/>
    <w:p w:rsidR="00E835D2" w:rsidRDefault="00E835D2" w:rsidP="002E6A01"/>
    <w:tbl>
      <w:tblPr>
        <w:tblStyle w:val="TableGrid"/>
        <w:tblW w:w="0" w:type="auto"/>
        <w:tblLook w:val="01E0"/>
      </w:tblPr>
      <w:tblGrid>
        <w:gridCol w:w="1351"/>
        <w:gridCol w:w="714"/>
        <w:gridCol w:w="714"/>
        <w:gridCol w:w="714"/>
        <w:gridCol w:w="705"/>
        <w:gridCol w:w="714"/>
        <w:gridCol w:w="714"/>
        <w:gridCol w:w="714"/>
        <w:gridCol w:w="714"/>
        <w:gridCol w:w="734"/>
        <w:gridCol w:w="734"/>
      </w:tblGrid>
      <w:tr w:rsidR="00E835D2" w:rsidTr="00B7061B">
        <w:tc>
          <w:tcPr>
            <w:tcW w:w="774" w:type="dxa"/>
            <w:vMerge w:val="restart"/>
          </w:tcPr>
          <w:p w:rsidR="00E835D2" w:rsidRDefault="00E835D2" w:rsidP="00E835D2">
            <w:r>
              <w:t xml:space="preserve">Phase </w:t>
            </w:r>
          </w:p>
          <w:p w:rsidR="00E835D2" w:rsidRDefault="00E835D2" w:rsidP="00E835D2">
            <w:r>
              <w:t>(Age)</w:t>
            </w:r>
          </w:p>
        </w:tc>
        <w:tc>
          <w:tcPr>
            <w:tcW w:w="1548" w:type="dxa"/>
            <w:gridSpan w:val="2"/>
          </w:tcPr>
          <w:p w:rsidR="00E835D2" w:rsidRDefault="00E835D2" w:rsidP="002E6A01">
            <w:r>
              <w:t>FMA1</w:t>
            </w:r>
          </w:p>
        </w:tc>
        <w:tc>
          <w:tcPr>
            <w:tcW w:w="1550" w:type="dxa"/>
            <w:gridSpan w:val="2"/>
          </w:tcPr>
          <w:p w:rsidR="00E835D2" w:rsidRDefault="00E835D2" w:rsidP="002E6A01">
            <w:r>
              <w:t>FMA2</w:t>
            </w:r>
          </w:p>
        </w:tc>
        <w:tc>
          <w:tcPr>
            <w:tcW w:w="1550" w:type="dxa"/>
            <w:gridSpan w:val="2"/>
          </w:tcPr>
          <w:p w:rsidR="00E835D2" w:rsidRDefault="00E835D2" w:rsidP="002E6A01">
            <w:r>
              <w:t>FMA3</w:t>
            </w:r>
          </w:p>
        </w:tc>
        <w:tc>
          <w:tcPr>
            <w:tcW w:w="1550" w:type="dxa"/>
            <w:gridSpan w:val="2"/>
          </w:tcPr>
          <w:p w:rsidR="00E835D2" w:rsidRDefault="00E835D2" w:rsidP="002E6A01">
            <w:r>
              <w:t>FMA4</w:t>
            </w:r>
          </w:p>
        </w:tc>
        <w:tc>
          <w:tcPr>
            <w:tcW w:w="1550" w:type="dxa"/>
            <w:gridSpan w:val="2"/>
          </w:tcPr>
          <w:p w:rsidR="00E835D2" w:rsidRDefault="00E835D2" w:rsidP="002E6A01">
            <w:r>
              <w:t>FMA5</w:t>
            </w:r>
          </w:p>
        </w:tc>
      </w:tr>
      <w:tr w:rsidR="00E835D2" w:rsidTr="00E835D2">
        <w:tc>
          <w:tcPr>
            <w:tcW w:w="774" w:type="dxa"/>
            <w:vMerge/>
          </w:tcPr>
          <w:p w:rsidR="00E835D2" w:rsidRDefault="00E835D2" w:rsidP="002E6A01"/>
        </w:tc>
        <w:tc>
          <w:tcPr>
            <w:tcW w:w="774" w:type="dxa"/>
          </w:tcPr>
          <w:p w:rsidR="00E835D2" w:rsidRDefault="00E835D2" w:rsidP="002E6A01">
            <w:proofErr w:type="spellStart"/>
            <w:r>
              <w:t>Bl</w:t>
            </w:r>
            <w:proofErr w:type="spellEnd"/>
          </w:p>
        </w:tc>
        <w:tc>
          <w:tcPr>
            <w:tcW w:w="774" w:type="dxa"/>
          </w:tcPr>
          <w:p w:rsidR="00E835D2" w:rsidRDefault="00E835D2" w:rsidP="002E6A01">
            <w:proofErr w:type="spellStart"/>
            <w:r>
              <w:t>Cf</w:t>
            </w:r>
            <w:proofErr w:type="spellEnd"/>
          </w:p>
        </w:tc>
        <w:tc>
          <w:tcPr>
            <w:tcW w:w="775" w:type="dxa"/>
          </w:tcPr>
          <w:p w:rsidR="00E835D2" w:rsidRDefault="00E835D2" w:rsidP="002E6A01">
            <w:proofErr w:type="spellStart"/>
            <w:r>
              <w:t>Bl</w:t>
            </w:r>
            <w:proofErr w:type="spellEnd"/>
          </w:p>
        </w:tc>
        <w:tc>
          <w:tcPr>
            <w:tcW w:w="775" w:type="dxa"/>
          </w:tcPr>
          <w:p w:rsidR="00E835D2" w:rsidRDefault="00E835D2" w:rsidP="002E6A01">
            <w:proofErr w:type="spellStart"/>
            <w:r>
              <w:t>Cf</w:t>
            </w:r>
            <w:proofErr w:type="spellEnd"/>
          </w:p>
        </w:tc>
        <w:tc>
          <w:tcPr>
            <w:tcW w:w="775" w:type="dxa"/>
          </w:tcPr>
          <w:p w:rsidR="00E835D2" w:rsidRDefault="00E835D2" w:rsidP="002E6A01">
            <w:proofErr w:type="spellStart"/>
            <w:r>
              <w:t>Bl</w:t>
            </w:r>
            <w:proofErr w:type="spellEnd"/>
          </w:p>
        </w:tc>
        <w:tc>
          <w:tcPr>
            <w:tcW w:w="775" w:type="dxa"/>
          </w:tcPr>
          <w:p w:rsidR="00E835D2" w:rsidRDefault="00E835D2" w:rsidP="002E6A01">
            <w:proofErr w:type="spellStart"/>
            <w:r>
              <w:t>Cf</w:t>
            </w:r>
            <w:proofErr w:type="spellEnd"/>
          </w:p>
        </w:tc>
        <w:tc>
          <w:tcPr>
            <w:tcW w:w="775" w:type="dxa"/>
          </w:tcPr>
          <w:p w:rsidR="00E835D2" w:rsidRDefault="00E835D2" w:rsidP="002E6A01">
            <w:proofErr w:type="spellStart"/>
            <w:r>
              <w:t>Bl</w:t>
            </w:r>
            <w:proofErr w:type="spellEnd"/>
          </w:p>
        </w:tc>
        <w:tc>
          <w:tcPr>
            <w:tcW w:w="775" w:type="dxa"/>
          </w:tcPr>
          <w:p w:rsidR="00E835D2" w:rsidRDefault="00E835D2" w:rsidP="002E6A01">
            <w:proofErr w:type="spellStart"/>
            <w:r>
              <w:t>Cf</w:t>
            </w:r>
            <w:proofErr w:type="spellEnd"/>
          </w:p>
        </w:tc>
        <w:tc>
          <w:tcPr>
            <w:tcW w:w="775" w:type="dxa"/>
          </w:tcPr>
          <w:p w:rsidR="00E835D2" w:rsidRDefault="00E835D2" w:rsidP="002E6A01">
            <w:proofErr w:type="spellStart"/>
            <w:r>
              <w:t>Bl</w:t>
            </w:r>
            <w:proofErr w:type="spellEnd"/>
          </w:p>
        </w:tc>
        <w:tc>
          <w:tcPr>
            <w:tcW w:w="775" w:type="dxa"/>
          </w:tcPr>
          <w:p w:rsidR="00E835D2" w:rsidRDefault="00E835D2" w:rsidP="002E6A01">
            <w:proofErr w:type="spellStart"/>
            <w:r>
              <w:t>Cf</w:t>
            </w:r>
            <w:proofErr w:type="spellEnd"/>
          </w:p>
        </w:tc>
      </w:tr>
      <w:tr w:rsidR="000D3A2A" w:rsidTr="00E835D2">
        <w:tc>
          <w:tcPr>
            <w:tcW w:w="774" w:type="dxa"/>
          </w:tcPr>
          <w:p w:rsidR="000D3A2A" w:rsidRDefault="000D3A2A" w:rsidP="00B7061B">
            <w:r>
              <w:t>Establishment (0-4 years)</w:t>
            </w:r>
          </w:p>
        </w:tc>
        <w:tc>
          <w:tcPr>
            <w:tcW w:w="774" w:type="dxa"/>
          </w:tcPr>
          <w:p w:rsidR="000D3A2A" w:rsidRDefault="000D3A2A" w:rsidP="002E6A01">
            <w:r>
              <w:t>4</w:t>
            </w:r>
          </w:p>
        </w:tc>
        <w:tc>
          <w:tcPr>
            <w:tcW w:w="774" w:type="dxa"/>
          </w:tcPr>
          <w:p w:rsidR="000D3A2A" w:rsidRDefault="000D3A2A" w:rsidP="002E6A01">
            <w:r>
              <w:t>3</w:t>
            </w:r>
          </w:p>
        </w:tc>
        <w:tc>
          <w:tcPr>
            <w:tcW w:w="775" w:type="dxa"/>
          </w:tcPr>
          <w:p w:rsidR="000D3A2A" w:rsidRDefault="000D3A2A" w:rsidP="002E6A01">
            <w:r>
              <w:t>3.5</w:t>
            </w:r>
          </w:p>
        </w:tc>
        <w:tc>
          <w:tcPr>
            <w:tcW w:w="775" w:type="dxa"/>
          </w:tcPr>
          <w:p w:rsidR="000D3A2A" w:rsidRDefault="000D3A2A" w:rsidP="002E6A01">
            <w:r>
              <w:t>3</w:t>
            </w:r>
          </w:p>
        </w:tc>
        <w:tc>
          <w:tcPr>
            <w:tcW w:w="775" w:type="dxa"/>
          </w:tcPr>
          <w:p w:rsidR="000D3A2A" w:rsidRDefault="000D3A2A" w:rsidP="002E6A01">
            <w:r>
              <w:t>3.5</w:t>
            </w:r>
          </w:p>
        </w:tc>
        <w:tc>
          <w:tcPr>
            <w:tcW w:w="775" w:type="dxa"/>
          </w:tcPr>
          <w:p w:rsidR="000D3A2A" w:rsidRDefault="000D3A2A" w:rsidP="002E6A01">
            <w:r>
              <w:t>3</w:t>
            </w:r>
          </w:p>
        </w:tc>
        <w:tc>
          <w:tcPr>
            <w:tcW w:w="775" w:type="dxa"/>
          </w:tcPr>
          <w:p w:rsidR="000D3A2A" w:rsidRDefault="000D3A2A" w:rsidP="00B7061B">
            <w:r>
              <w:t>2.5</w:t>
            </w:r>
          </w:p>
        </w:tc>
        <w:tc>
          <w:tcPr>
            <w:tcW w:w="775" w:type="dxa"/>
          </w:tcPr>
          <w:p w:rsidR="000D3A2A" w:rsidRDefault="000D3A2A" w:rsidP="002E6A01">
            <w:r>
              <w:t>1</w:t>
            </w:r>
          </w:p>
        </w:tc>
        <w:tc>
          <w:tcPr>
            <w:tcW w:w="775" w:type="dxa"/>
          </w:tcPr>
          <w:p w:rsidR="000D3A2A" w:rsidRDefault="000D3A2A" w:rsidP="002E6A01">
            <w:r>
              <w:t>2</w:t>
            </w:r>
          </w:p>
        </w:tc>
        <w:tc>
          <w:tcPr>
            <w:tcW w:w="775" w:type="dxa"/>
          </w:tcPr>
          <w:p w:rsidR="000D3A2A" w:rsidRDefault="000D3A2A" w:rsidP="002E6A01">
            <w:r>
              <w:t>1</w:t>
            </w:r>
          </w:p>
        </w:tc>
      </w:tr>
      <w:tr w:rsidR="000D3A2A" w:rsidTr="00E835D2">
        <w:tc>
          <w:tcPr>
            <w:tcW w:w="774" w:type="dxa"/>
          </w:tcPr>
          <w:p w:rsidR="000D3A2A" w:rsidRDefault="000D3A2A" w:rsidP="00B7061B">
            <w:r>
              <w:t xml:space="preserve">Young </w:t>
            </w:r>
          </w:p>
          <w:p w:rsidR="000D3A2A" w:rsidRDefault="000D3A2A" w:rsidP="00B7061B">
            <w:r>
              <w:t>(5-15 years)</w:t>
            </w:r>
          </w:p>
        </w:tc>
        <w:tc>
          <w:tcPr>
            <w:tcW w:w="774" w:type="dxa"/>
          </w:tcPr>
          <w:p w:rsidR="000D3A2A" w:rsidRDefault="000D3A2A" w:rsidP="002E6A01">
            <w:r>
              <w:t>6</w:t>
            </w:r>
          </w:p>
        </w:tc>
        <w:tc>
          <w:tcPr>
            <w:tcW w:w="774" w:type="dxa"/>
          </w:tcPr>
          <w:p w:rsidR="000D3A2A" w:rsidRDefault="000D3A2A" w:rsidP="002E6A01">
            <w:r>
              <w:t>3.5</w:t>
            </w:r>
          </w:p>
        </w:tc>
        <w:tc>
          <w:tcPr>
            <w:tcW w:w="775" w:type="dxa"/>
          </w:tcPr>
          <w:p w:rsidR="000D3A2A" w:rsidRDefault="000D3A2A" w:rsidP="002E6A01">
            <w:r>
              <w:t>6</w:t>
            </w:r>
          </w:p>
        </w:tc>
        <w:tc>
          <w:tcPr>
            <w:tcW w:w="775" w:type="dxa"/>
          </w:tcPr>
          <w:p w:rsidR="000D3A2A" w:rsidRDefault="000D3A2A" w:rsidP="002E6A01">
            <w:r>
              <w:t>3</w:t>
            </w:r>
          </w:p>
        </w:tc>
        <w:tc>
          <w:tcPr>
            <w:tcW w:w="775" w:type="dxa"/>
          </w:tcPr>
          <w:p w:rsidR="000D3A2A" w:rsidRDefault="000D3A2A" w:rsidP="002E6A01">
            <w:r>
              <w:t>5</w:t>
            </w:r>
          </w:p>
        </w:tc>
        <w:tc>
          <w:tcPr>
            <w:tcW w:w="775" w:type="dxa"/>
          </w:tcPr>
          <w:p w:rsidR="000D3A2A" w:rsidRDefault="000D3A2A" w:rsidP="002E6A01">
            <w:r>
              <w:t>3</w:t>
            </w:r>
          </w:p>
        </w:tc>
        <w:tc>
          <w:tcPr>
            <w:tcW w:w="775" w:type="dxa"/>
          </w:tcPr>
          <w:p w:rsidR="000D3A2A" w:rsidRDefault="000D3A2A" w:rsidP="00B7061B">
            <w:r>
              <w:t>3.5</w:t>
            </w:r>
          </w:p>
        </w:tc>
        <w:tc>
          <w:tcPr>
            <w:tcW w:w="775" w:type="dxa"/>
          </w:tcPr>
          <w:p w:rsidR="000D3A2A" w:rsidRDefault="000D3A2A" w:rsidP="002E6A01">
            <w:r>
              <w:t>2</w:t>
            </w:r>
          </w:p>
        </w:tc>
        <w:tc>
          <w:tcPr>
            <w:tcW w:w="775" w:type="dxa"/>
          </w:tcPr>
          <w:p w:rsidR="000D3A2A" w:rsidRDefault="000D3A2A" w:rsidP="002E6A01">
            <w:r>
              <w:t>2.5</w:t>
            </w:r>
          </w:p>
        </w:tc>
        <w:tc>
          <w:tcPr>
            <w:tcW w:w="775" w:type="dxa"/>
          </w:tcPr>
          <w:p w:rsidR="000D3A2A" w:rsidRDefault="000D3A2A" w:rsidP="002E6A01">
            <w:r>
              <w:t>1.5</w:t>
            </w:r>
          </w:p>
        </w:tc>
      </w:tr>
      <w:tr w:rsidR="000D3A2A" w:rsidTr="00E835D2">
        <w:tc>
          <w:tcPr>
            <w:tcW w:w="774" w:type="dxa"/>
          </w:tcPr>
          <w:p w:rsidR="000D3A2A" w:rsidRDefault="000D3A2A" w:rsidP="00B7061B">
            <w:r>
              <w:t>Medium</w:t>
            </w:r>
          </w:p>
          <w:p w:rsidR="000D3A2A" w:rsidRDefault="000D3A2A" w:rsidP="00B7061B">
            <w:r>
              <w:t>(16-50 years)</w:t>
            </w:r>
          </w:p>
        </w:tc>
        <w:tc>
          <w:tcPr>
            <w:tcW w:w="774" w:type="dxa"/>
          </w:tcPr>
          <w:p w:rsidR="000D3A2A" w:rsidRDefault="000D3A2A" w:rsidP="002E6A01">
            <w:r>
              <w:t>8.5</w:t>
            </w:r>
          </w:p>
        </w:tc>
        <w:tc>
          <w:tcPr>
            <w:tcW w:w="774" w:type="dxa"/>
          </w:tcPr>
          <w:p w:rsidR="000D3A2A" w:rsidRDefault="000D3A2A" w:rsidP="002E6A01">
            <w:r>
              <w:t>5</w:t>
            </w:r>
          </w:p>
        </w:tc>
        <w:tc>
          <w:tcPr>
            <w:tcW w:w="775" w:type="dxa"/>
          </w:tcPr>
          <w:p w:rsidR="000D3A2A" w:rsidRDefault="000D3A2A" w:rsidP="002E6A01">
            <w:r>
              <w:t>8</w:t>
            </w:r>
          </w:p>
        </w:tc>
        <w:tc>
          <w:tcPr>
            <w:tcW w:w="775" w:type="dxa"/>
          </w:tcPr>
          <w:p w:rsidR="000D3A2A" w:rsidRDefault="000D3A2A" w:rsidP="002E6A01">
            <w:r>
              <w:t>5</w:t>
            </w:r>
          </w:p>
        </w:tc>
        <w:tc>
          <w:tcPr>
            <w:tcW w:w="775" w:type="dxa"/>
          </w:tcPr>
          <w:p w:rsidR="000D3A2A" w:rsidRDefault="000D3A2A" w:rsidP="002E6A01">
            <w:r>
              <w:t>7.5</w:t>
            </w:r>
          </w:p>
        </w:tc>
        <w:tc>
          <w:tcPr>
            <w:tcW w:w="775" w:type="dxa"/>
          </w:tcPr>
          <w:p w:rsidR="000D3A2A" w:rsidRDefault="000D3A2A" w:rsidP="002E6A01">
            <w:r>
              <w:t>6</w:t>
            </w:r>
          </w:p>
        </w:tc>
        <w:tc>
          <w:tcPr>
            <w:tcW w:w="775" w:type="dxa"/>
          </w:tcPr>
          <w:p w:rsidR="000D3A2A" w:rsidRDefault="000D3A2A" w:rsidP="00B7061B">
            <w:r>
              <w:t>5</w:t>
            </w:r>
          </w:p>
        </w:tc>
        <w:tc>
          <w:tcPr>
            <w:tcW w:w="775" w:type="dxa"/>
          </w:tcPr>
          <w:p w:rsidR="000D3A2A" w:rsidRDefault="000D3A2A" w:rsidP="002E6A01">
            <w:r>
              <w:t>3</w:t>
            </w:r>
          </w:p>
        </w:tc>
        <w:tc>
          <w:tcPr>
            <w:tcW w:w="775" w:type="dxa"/>
          </w:tcPr>
          <w:p w:rsidR="000D3A2A" w:rsidRDefault="000D3A2A" w:rsidP="002E6A01">
            <w:r>
              <w:t>3.5</w:t>
            </w:r>
          </w:p>
        </w:tc>
        <w:tc>
          <w:tcPr>
            <w:tcW w:w="775" w:type="dxa"/>
          </w:tcPr>
          <w:p w:rsidR="000D3A2A" w:rsidRDefault="000D3A2A" w:rsidP="002E6A01">
            <w:r>
              <w:t>2.5</w:t>
            </w:r>
          </w:p>
        </w:tc>
      </w:tr>
      <w:tr w:rsidR="000D3A2A" w:rsidTr="00E835D2">
        <w:tc>
          <w:tcPr>
            <w:tcW w:w="774" w:type="dxa"/>
          </w:tcPr>
          <w:p w:rsidR="000D3A2A" w:rsidRDefault="000D3A2A" w:rsidP="00B7061B">
            <w:r>
              <w:t>Mature</w:t>
            </w:r>
          </w:p>
          <w:p w:rsidR="000D3A2A" w:rsidRDefault="000D3A2A" w:rsidP="00B7061B">
            <w:r>
              <w:t>(&gt;51 years)</w:t>
            </w:r>
          </w:p>
        </w:tc>
        <w:tc>
          <w:tcPr>
            <w:tcW w:w="774" w:type="dxa"/>
          </w:tcPr>
          <w:p w:rsidR="000D3A2A" w:rsidRDefault="000D3A2A" w:rsidP="002E6A01">
            <w:r>
              <w:t>10</w:t>
            </w:r>
          </w:p>
        </w:tc>
        <w:tc>
          <w:tcPr>
            <w:tcW w:w="774" w:type="dxa"/>
          </w:tcPr>
          <w:p w:rsidR="000D3A2A" w:rsidRDefault="000D3A2A" w:rsidP="002E6A01">
            <w:r>
              <w:t>6.5</w:t>
            </w:r>
          </w:p>
        </w:tc>
        <w:tc>
          <w:tcPr>
            <w:tcW w:w="775" w:type="dxa"/>
          </w:tcPr>
          <w:p w:rsidR="000D3A2A" w:rsidRDefault="000D3A2A" w:rsidP="002E6A01">
            <w:r>
              <w:t>10</w:t>
            </w:r>
          </w:p>
        </w:tc>
        <w:tc>
          <w:tcPr>
            <w:tcW w:w="775" w:type="dxa"/>
          </w:tcPr>
          <w:p w:rsidR="000D3A2A" w:rsidRDefault="000D3A2A" w:rsidP="002E6A01">
            <w:r>
              <w:t>7</w:t>
            </w:r>
          </w:p>
        </w:tc>
        <w:tc>
          <w:tcPr>
            <w:tcW w:w="775" w:type="dxa"/>
          </w:tcPr>
          <w:p w:rsidR="000D3A2A" w:rsidRDefault="000D3A2A" w:rsidP="002E6A01">
            <w:r>
              <w:t>8</w:t>
            </w:r>
          </w:p>
        </w:tc>
        <w:tc>
          <w:tcPr>
            <w:tcW w:w="775" w:type="dxa"/>
          </w:tcPr>
          <w:p w:rsidR="000D3A2A" w:rsidRDefault="000D3A2A" w:rsidP="002E6A01">
            <w:r>
              <w:t>6.5</w:t>
            </w:r>
          </w:p>
        </w:tc>
        <w:tc>
          <w:tcPr>
            <w:tcW w:w="775" w:type="dxa"/>
          </w:tcPr>
          <w:p w:rsidR="000D3A2A" w:rsidRDefault="000D3A2A" w:rsidP="00B7061B">
            <w:r>
              <w:t>6</w:t>
            </w:r>
          </w:p>
        </w:tc>
        <w:tc>
          <w:tcPr>
            <w:tcW w:w="775" w:type="dxa"/>
          </w:tcPr>
          <w:p w:rsidR="000D3A2A" w:rsidRDefault="000D3A2A" w:rsidP="002E6A01">
            <w:r>
              <w:t>4.5</w:t>
            </w:r>
          </w:p>
        </w:tc>
        <w:tc>
          <w:tcPr>
            <w:tcW w:w="775" w:type="dxa"/>
          </w:tcPr>
          <w:p w:rsidR="000D3A2A" w:rsidRDefault="000D3A2A" w:rsidP="002E6A01">
            <w:r>
              <w:t>3.5*</w:t>
            </w:r>
          </w:p>
        </w:tc>
        <w:tc>
          <w:tcPr>
            <w:tcW w:w="775" w:type="dxa"/>
          </w:tcPr>
          <w:p w:rsidR="000D3A2A" w:rsidRDefault="000D3A2A" w:rsidP="002E6A01">
            <w:r>
              <w:t>2.5*</w:t>
            </w:r>
          </w:p>
        </w:tc>
      </w:tr>
    </w:tbl>
    <w:p w:rsidR="002E6A01" w:rsidRDefault="002E6A01" w:rsidP="00844EDE"/>
    <w:p w:rsidR="00E835D2" w:rsidRDefault="00E835D2" w:rsidP="00844EDE">
      <w:proofErr w:type="spellStart"/>
      <w:r>
        <w:t>Bl</w:t>
      </w:r>
      <w:proofErr w:type="spellEnd"/>
      <w:r>
        <w:t xml:space="preserve"> = </w:t>
      </w:r>
      <w:proofErr w:type="gramStart"/>
      <w:r>
        <w:t>broadleaf ,</w:t>
      </w:r>
      <w:proofErr w:type="gramEnd"/>
      <w:r>
        <w:t xml:space="preserve"> </w:t>
      </w:r>
      <w:proofErr w:type="spellStart"/>
      <w:r>
        <w:t>Cf</w:t>
      </w:r>
      <w:proofErr w:type="spellEnd"/>
      <w:r>
        <w:t xml:space="preserve"> = conifer</w:t>
      </w:r>
    </w:p>
    <w:p w:rsidR="000D3A2A" w:rsidRDefault="000D3A2A" w:rsidP="00844EDE"/>
    <w:p w:rsidR="000D3A2A" w:rsidRDefault="000D3A2A" w:rsidP="00844EDE">
      <w:r>
        <w:t>* Normally felled by this age.</w:t>
      </w:r>
    </w:p>
    <w:p w:rsidR="000D3A2A" w:rsidRDefault="000D3A2A" w:rsidP="00844EDE"/>
    <w:p w:rsidR="000D3A2A" w:rsidRDefault="000D3A2A" w:rsidP="00844EDE">
      <w:r>
        <w:t xml:space="preserve">In FMA 2 management the values for each </w:t>
      </w:r>
      <w:r w:rsidR="001A3409">
        <w:t>canopy component</w:t>
      </w:r>
      <w:r>
        <w:t xml:space="preserve"> </w:t>
      </w:r>
      <w:r w:rsidR="001A3409">
        <w:t>we</w:t>
      </w:r>
      <w:r>
        <w:t>re weighted accordingly</w:t>
      </w:r>
      <w:r w:rsidR="001A3409">
        <w:t>, and aggregated</w:t>
      </w:r>
      <w:r>
        <w:t>.</w:t>
      </w:r>
    </w:p>
    <w:p w:rsidR="000D3A2A" w:rsidRDefault="000D3A2A" w:rsidP="00844EDE"/>
    <w:p w:rsidR="000D3A2A" w:rsidRPr="00576899" w:rsidRDefault="000D3A2A" w:rsidP="000D3A2A">
      <w:pPr>
        <w:pBdr>
          <w:bottom w:val="single" w:sz="6" w:space="1" w:color="auto"/>
        </w:pBdr>
        <w:rPr>
          <w:b/>
        </w:rPr>
      </w:pPr>
      <w:r w:rsidRPr="00576899">
        <w:rPr>
          <w:b/>
        </w:rPr>
        <w:t>Wind Hazard Indicator</w:t>
      </w:r>
    </w:p>
    <w:p w:rsidR="00320507" w:rsidRDefault="000D3A2A" w:rsidP="000D3A2A">
      <w:r>
        <w:t xml:space="preserve">This indicator is based upon </w:t>
      </w:r>
      <w:proofErr w:type="spellStart"/>
      <w:r>
        <w:t>ForestG</w:t>
      </w:r>
      <w:r w:rsidR="00055862">
        <w:t>ALES</w:t>
      </w:r>
      <w:proofErr w:type="spellEnd"/>
      <w:r>
        <w:t xml:space="preserve"> </w:t>
      </w:r>
      <w:r w:rsidR="00C27A99">
        <w:fldChar w:fldCharType="begin"/>
      </w:r>
      <w:r w:rsidR="0018115C">
        <w:instrText xml:space="preserve"> ADDIN EN.CITE &lt;EndNote&gt;&lt;Cite&gt;&lt;Author&gt;Gardiner&lt;/Author&gt;&lt;Year&gt;2000&lt;/Year&gt;&lt;RecNum&gt;140&lt;/RecNum&gt;&lt;record&gt;&lt;rec-number&gt;140&lt;/rec-number&gt;&lt;ref-type name="Journal Article"&gt;17&lt;/ref-type&gt;&lt;contributors&gt;&lt;authors&gt;&lt;author&gt;B A Gardiner&lt;/author&gt;&lt;author&gt;C P Quine&lt;/author&gt;&lt;/authors&gt;&lt;/contributors&gt;&lt;titles&gt;&lt;title&gt;Management of forests to reduce the risk of abiotic damage - a review with particular reference to the effects of strong winds&lt;/title&gt;&lt;secondary-title&gt;Forest Ecology and Management&lt;/secondary-title&gt;&lt;/titles&gt;&lt;periodical&gt;&lt;full-title&gt;Forest Ecology and Management&lt;/full-title&gt;&lt;/periodical&gt;&lt;pages&gt;261-277&lt;/pages&gt;&lt;volume&gt;135&lt;/volume&gt;&lt;keywords&gt;&lt;keyword&gt;wind damage&lt;/keyword&gt;&lt;/keywords&gt;&lt;dates&gt;&lt;year&gt;2000&lt;/year&gt;&lt;/dates&gt;&lt;urls&gt;&lt;pdf-urls&gt;&lt;url&gt;C:\Documents and Settings\duncan.ray\My Documents\pdf_downloads\modeling\Gardiner and Quine 2000 ForestGALES.pdf&lt;/url&gt;&lt;/pdf-urls&gt;&lt;/urls&gt;&lt;/record&gt;&lt;/Cite&gt;&lt;/EndNote&gt;</w:instrText>
      </w:r>
      <w:r w:rsidR="00C27A99">
        <w:fldChar w:fldCharType="separate"/>
      </w:r>
      <w:r w:rsidR="00576899">
        <w:t>(Gardiner and Quine 2000)</w:t>
      </w:r>
      <w:r w:rsidR="00C27A99">
        <w:fldChar w:fldCharType="end"/>
      </w:r>
      <w:r w:rsidR="00055862">
        <w:t xml:space="preserve"> output, </w:t>
      </w:r>
      <w:r>
        <w:t xml:space="preserve">reported as the sum </w:t>
      </w:r>
      <w:r w:rsidR="007F4F8C">
        <w:t xml:space="preserve">of </w:t>
      </w:r>
      <w:r w:rsidR="00320507">
        <w:t>accumulated Wind Damage Risk Status (WDRS) scores over a decadal period, according</w:t>
      </w:r>
      <w:r w:rsidR="00055862">
        <w:t xml:space="preserve"> to the highest risk type (i.e. </w:t>
      </w:r>
      <w:r w:rsidR="00320507">
        <w:t xml:space="preserve">stem breakage or overturn). </w:t>
      </w:r>
      <w:r w:rsidR="00055862">
        <w:t>WDRS</w:t>
      </w:r>
      <w:r w:rsidR="00320507">
        <w:t xml:space="preserve"> </w:t>
      </w:r>
      <w:r w:rsidR="00055862">
        <w:t xml:space="preserve">was accumulated </w:t>
      </w:r>
      <w:r w:rsidR="00320507">
        <w:t xml:space="preserve">over the time period </w:t>
      </w:r>
      <w:r w:rsidR="00055862">
        <w:t xml:space="preserve">to take account of peaks in risk </w:t>
      </w:r>
      <w:r w:rsidR="00320507">
        <w:t xml:space="preserve">associated with </w:t>
      </w:r>
      <w:r w:rsidR="00055862">
        <w:t xml:space="preserve">intervention </w:t>
      </w:r>
      <w:r w:rsidR="00320507">
        <w:t xml:space="preserve">events, for example thinning or conversion to LISS type management (FMA2). </w:t>
      </w:r>
    </w:p>
    <w:p w:rsidR="00320507" w:rsidRDefault="00320507" w:rsidP="000D3A2A"/>
    <w:p w:rsidR="00320507" w:rsidRDefault="00320507" w:rsidP="000D3A2A">
      <w:r>
        <w:t>WDRS scores range from 1 where the risk of a damaging event is 1 in</w:t>
      </w:r>
      <w:r w:rsidR="00055862">
        <w:t xml:space="preserve"> 200 years through to 6 where the risk of a damaging event </w:t>
      </w:r>
      <w:r>
        <w:t xml:space="preserve">is 1 in 10 years or less. The indicator was calculated </w:t>
      </w:r>
      <w:r w:rsidR="00F55645">
        <w:t xml:space="preserve">both </w:t>
      </w:r>
      <w:r>
        <w:t>as a per hectare value and also</w:t>
      </w:r>
      <w:r w:rsidR="00F55645">
        <w:t xml:space="preserve"> as </w:t>
      </w:r>
      <w:r>
        <w:t xml:space="preserve">weighted </w:t>
      </w:r>
      <w:r w:rsidR="00F55645">
        <w:t xml:space="preserve">score </w:t>
      </w:r>
      <w:r>
        <w:t>according to management unit size.</w:t>
      </w:r>
      <w:r w:rsidR="00F55645">
        <w:t xml:space="preserve"> </w:t>
      </w:r>
    </w:p>
    <w:p w:rsidR="000D3A2A" w:rsidRDefault="000D3A2A" w:rsidP="000D3A2A"/>
    <w:p w:rsidR="00320507" w:rsidRPr="00576899" w:rsidRDefault="00320507" w:rsidP="00320507">
      <w:pPr>
        <w:pBdr>
          <w:bottom w:val="single" w:sz="6" w:space="1" w:color="auto"/>
        </w:pBdr>
        <w:rPr>
          <w:b/>
        </w:rPr>
      </w:pPr>
      <w:r w:rsidRPr="00576899">
        <w:rPr>
          <w:b/>
        </w:rPr>
        <w:t>Ecological Suitability</w:t>
      </w:r>
    </w:p>
    <w:p w:rsidR="00320507" w:rsidRDefault="00320507" w:rsidP="00320507"/>
    <w:p w:rsidR="00AA7E9E" w:rsidRDefault="00320507" w:rsidP="00320507">
      <w:r>
        <w:t xml:space="preserve">To assess the relative risks to tree growth associated with changes to site conditions (i.e. temperature and moisture deficit) the suitability score </w:t>
      </w:r>
      <w:r w:rsidR="007411B6">
        <w:t xml:space="preserve">for each management unit was calculated every decade. This </w:t>
      </w:r>
      <w:r w:rsidR="00F55645">
        <w:t>method use</w:t>
      </w:r>
      <w:r w:rsidR="00055862">
        <w:t xml:space="preserve">d </w:t>
      </w:r>
      <w:r w:rsidR="00F55645">
        <w:t xml:space="preserve">the Ecological Site Classification </w:t>
      </w:r>
      <w:r w:rsidR="00C27A99">
        <w:fldChar w:fldCharType="begin"/>
      </w:r>
      <w:r w:rsidR="0018115C">
        <w:instrText xml:space="preserve"> ADDIN EN.CITE &lt;EndNote&gt;&lt;Cite&gt;&lt;Author&gt;Ray&lt;/Author&gt;&lt;Year&gt;2001&lt;/Year&gt;&lt;RecNum&gt;45&lt;/RecNum&gt;&lt;record&gt;&lt;rec-number&gt;45&lt;/rec-number&gt;&lt;ref-type name="Book"&gt;6&lt;/ref-type&gt;&lt;contributors&gt;&lt;authors&gt;&lt;author&gt;D Ray&lt;/author&gt;&lt;/authors&gt;&lt;/contributors&gt;&lt;titles&gt;&lt;title&gt;Ecological Site Classification Decision Support System V1.7&lt;/title&gt;&lt;/titles&gt;&lt;dates&gt;&lt;year&gt;2001&lt;/year&gt;&lt;pub-dates&gt;&lt;date&gt;March 2001&lt;/date&gt;&lt;/pub-dates&gt;&lt;/dates&gt;&lt;publisher&gt;Forestry Commission - Edinburgh&lt;/publisher&gt;&lt;work-type&gt;CD&lt;/work-type&gt;&lt;urls&gt;&lt;/urls&gt;&lt;/record&gt;&lt;/Cite&gt;&lt;Cite&gt;&lt;Author&gt;Broadmeadow&lt;/Author&gt;&lt;Year&gt;2005&lt;/Year&gt;&lt;RecNum&gt;427&lt;/RecNum&gt;&lt;record&gt;&lt;rec-number&gt;427&lt;/rec-number&gt;&lt;ref-type name="Journal Article"&gt;17&lt;/ref-type&gt;&lt;contributors&gt;&lt;authors&gt;&lt;author&gt;MSJ Broadmeadow&lt;/author&gt;&lt;author&gt;D Ray&lt;/author&gt;&lt;author&gt;CJA Samuel&lt;/author&gt;&lt;/authors&gt;&lt;/contributors&gt;&lt;titles&gt;&lt;title&gt;Climate change and the future for broadleaved tree species in Britain&lt;/title&gt;&lt;secondary-title&gt;Forestry&lt;/secondary-title&gt;&lt;/titles&gt;&lt;periodical&gt;&lt;full-title&gt;Forestry&lt;/full-title&gt;&lt;/periodical&gt;&lt;pages&gt;145-167&lt;/pages&gt;&lt;volume&gt;78&lt;/volume&gt;&lt;number&gt;2&lt;/number&gt;&lt;keywords&gt;&lt;keyword&gt;species suitability, climate change, adaptation, biotic impacts, abiotic impacts, drought, climate matching&lt;/keyword&gt;&lt;/keywords&gt;&lt;dates&gt;&lt;year&gt;2005&lt;/year&gt;&lt;/dates&gt;&lt;urls&gt;&lt;pdf-urls&gt;&lt;url&gt;file:///C:/Documents%20and%20Settings/duncan.ray/My%20Documents/pdf_downloads/climate%20change/forest%20impacts%20and%20adaptation/range%20shifts%20and%20adaptation/broadmeadow%20ray%20samuel%20paper.pdf&lt;/url&gt;&lt;/pdf-urls&gt;&lt;/urls&gt;&lt;/record&gt;&lt;/Cite&gt;&lt;/EndNote&gt;</w:instrText>
      </w:r>
      <w:r w:rsidR="00C27A99">
        <w:fldChar w:fldCharType="separate"/>
      </w:r>
      <w:r w:rsidR="00576899">
        <w:t>(Ray 2001; Broadmeadow et al. 2005)</w:t>
      </w:r>
      <w:r w:rsidR="00C27A99">
        <w:fldChar w:fldCharType="end"/>
      </w:r>
      <w:r w:rsidR="00576899">
        <w:t xml:space="preserve"> </w:t>
      </w:r>
      <w:r w:rsidR="00055862">
        <w:t>which returns</w:t>
      </w:r>
      <w:r w:rsidR="00F55645">
        <w:t xml:space="preserve"> a score between 0 and 1</w:t>
      </w:r>
      <w:r w:rsidR="00055862">
        <w:t xml:space="preserve">. The value </w:t>
      </w:r>
      <w:r w:rsidR="00F55645">
        <w:t>1 indicates no constraints upon growth</w:t>
      </w:r>
      <w:r w:rsidR="00055862">
        <w:t xml:space="preserve"> while a </w:t>
      </w:r>
      <w:r w:rsidR="00F55645">
        <w:t xml:space="preserve">0 </w:t>
      </w:r>
      <w:r w:rsidR="00055862">
        <w:t xml:space="preserve">value </w:t>
      </w:r>
      <w:r w:rsidR="00F55645">
        <w:t xml:space="preserve">represents no growth potential.  </w:t>
      </w:r>
    </w:p>
    <w:p w:rsidR="00AA7E9E" w:rsidRDefault="00AA7E9E" w:rsidP="00320507"/>
    <w:p w:rsidR="00AA7E9E" w:rsidRDefault="00AA7E9E" w:rsidP="00320507">
      <w:r>
        <w:t xml:space="preserve">Six site factors </w:t>
      </w:r>
      <w:r w:rsidR="00055862">
        <w:t>we</w:t>
      </w:r>
      <w:r>
        <w:t>re considered for each species</w:t>
      </w:r>
      <w:r w:rsidR="00055862">
        <w:t>, four climatic factors namely a</w:t>
      </w:r>
      <w:r>
        <w:t xml:space="preserve">ccumulated </w:t>
      </w:r>
      <w:r w:rsidR="00055862">
        <w:t xml:space="preserve">temperature (AT), </w:t>
      </w:r>
      <w:proofErr w:type="spellStart"/>
      <w:r w:rsidR="00055862">
        <w:t>c</w:t>
      </w:r>
      <w:r>
        <w:t>ontinentalit</w:t>
      </w:r>
      <w:r w:rsidR="00055862">
        <w:t>y</w:t>
      </w:r>
      <w:proofErr w:type="spellEnd"/>
      <w:r w:rsidR="00055862">
        <w:t xml:space="preserve"> (CT), DAMS (exposure score), moisture d</w:t>
      </w:r>
      <w:r>
        <w:t>eficit(MD) and two edaphic (soil factors) represe</w:t>
      </w:r>
      <w:r w:rsidR="00055862">
        <w:t>nting soil moisture r</w:t>
      </w:r>
      <w:r>
        <w:t>egime</w:t>
      </w:r>
      <w:r w:rsidR="00055862">
        <w:t xml:space="preserve"> (SMR) and soil nutrient r</w:t>
      </w:r>
      <w:r>
        <w:t>egime (SNR).</w:t>
      </w:r>
    </w:p>
    <w:p w:rsidR="00AA7E9E" w:rsidRDefault="00AA7E9E" w:rsidP="00320507"/>
    <w:p w:rsidR="00AA7E9E" w:rsidRDefault="00AA7E9E" w:rsidP="00AA7E9E">
      <w:r>
        <w:t xml:space="preserve">The response factor for a given species/site variable (e.g. AT, CT, DAMS, MD, SMR, </w:t>
      </w:r>
      <w:proofErr w:type="gramStart"/>
      <w:r>
        <w:t>SNR</w:t>
      </w:r>
      <w:proofErr w:type="gramEnd"/>
      <w:r>
        <w:t>) combination is derived from the formula:</w:t>
      </w:r>
    </w:p>
    <w:p w:rsidR="00AA7E9E" w:rsidRDefault="00AA7E9E" w:rsidP="00AA7E9E"/>
    <w:p w:rsidR="00AA7E9E" w:rsidRDefault="001B5D86" w:rsidP="00320507">
      <m:oMathPara>
        <m:oMath>
          <m:r>
            <w:rPr>
              <w:rFonts w:ascii="Cambria Math" w:hAnsi="Cambria Math"/>
            </w:rPr>
            <m:t>Response factor =a+b×AT+c×</m:t>
          </m:r>
          <m:sSup>
            <m:sSupPr>
              <m:ctrlPr>
                <w:rPr>
                  <w:rFonts w:ascii="Cambria Math" w:hAnsi="Cambria Math"/>
                  <w:i/>
                </w:rPr>
              </m:ctrlPr>
            </m:sSupPr>
            <m:e>
              <m:r>
                <w:rPr>
                  <w:rFonts w:ascii="Cambria Math" w:hAnsi="Cambria Math"/>
                </w:rPr>
                <m:t>AT</m:t>
              </m:r>
            </m:e>
            <m:sup>
              <m:r>
                <w:rPr>
                  <w:rFonts w:ascii="Cambria Math" w:hAnsi="Cambria Math"/>
                </w:rPr>
                <m:t>2</m:t>
              </m:r>
            </m:sup>
          </m:sSup>
          <m:r>
            <w:rPr>
              <w:rFonts w:ascii="Cambria Math" w:hAnsi="Cambria Math"/>
            </w:rPr>
            <m:t>+d×</m:t>
          </m:r>
          <m:sSup>
            <m:sSupPr>
              <m:ctrlPr>
                <w:rPr>
                  <w:rFonts w:ascii="Cambria Math" w:hAnsi="Cambria Math"/>
                  <w:i/>
                </w:rPr>
              </m:ctrlPr>
            </m:sSupPr>
            <m:e>
              <m:r>
                <w:rPr>
                  <w:rFonts w:ascii="Cambria Math" w:hAnsi="Cambria Math"/>
                </w:rPr>
                <m:t>AT</m:t>
              </m:r>
            </m:e>
            <m:sup>
              <m:r>
                <w:rPr>
                  <w:rFonts w:ascii="Cambria Math" w:hAnsi="Cambria Math"/>
                </w:rPr>
                <m:t>3</m:t>
              </m:r>
            </m:sup>
          </m:sSup>
        </m:oMath>
      </m:oMathPara>
    </w:p>
    <w:p w:rsidR="001B5D86" w:rsidRDefault="001B5D86" w:rsidP="00320507"/>
    <w:p w:rsidR="00AA7E9E" w:rsidRDefault="001B5D86" w:rsidP="00320507">
      <w:proofErr w:type="gramStart"/>
      <w:r>
        <w:t>where</w:t>
      </w:r>
      <w:proofErr w:type="gramEnd"/>
      <w:r>
        <w:t xml:space="preserve"> a, b, </w:t>
      </w:r>
      <w:proofErr w:type="spellStart"/>
      <w:r>
        <w:t>c</w:t>
      </w:r>
      <w:proofErr w:type="spellEnd"/>
      <w:r>
        <w:t xml:space="preserve"> and </w:t>
      </w:r>
      <w:proofErr w:type="spellStart"/>
      <w:r>
        <w:t>d</w:t>
      </w:r>
      <w:proofErr w:type="spellEnd"/>
      <w:r>
        <w:t xml:space="preserve"> are species coefficients. </w:t>
      </w:r>
      <w:r w:rsidR="00AA7E9E">
        <w:t>Response Factors cannot be less than 0 or greater than 1.</w:t>
      </w:r>
    </w:p>
    <w:p w:rsidR="00AA7E9E" w:rsidRDefault="00AA7E9E" w:rsidP="00320507"/>
    <w:p w:rsidR="00AA7E9E" w:rsidRDefault="00AA7E9E" w:rsidP="00320507">
      <w:r>
        <w:t xml:space="preserve">The </w:t>
      </w:r>
      <w:r w:rsidR="00055862">
        <w:t>suitability index is defined as</w:t>
      </w:r>
      <w:r>
        <w:t>:</w:t>
      </w:r>
    </w:p>
    <w:p w:rsidR="00AA7E9E" w:rsidRDefault="00AA7E9E" w:rsidP="00320507"/>
    <w:p w:rsidR="001B5D86" w:rsidRDefault="001B5D86" w:rsidP="00320507">
      <m:oMathPara>
        <m:oMath>
          <m:r>
            <m:rPr>
              <m:sty m:val="p"/>
            </m:rPr>
            <w:rPr>
              <w:rFonts w:ascii="Cambria Math" w:hAnsi="Cambria Math"/>
            </w:rPr>
            <m:t>Suitability index = AT response factor × next most limiting factor</m:t>
          </m:r>
        </m:oMath>
      </m:oMathPara>
    </w:p>
    <w:p w:rsidR="001B5D86" w:rsidRDefault="001B5D86" w:rsidP="00320507"/>
    <w:p w:rsidR="00AA7E9E" w:rsidRDefault="00FB7A82" w:rsidP="00320507">
      <w:r>
        <w:t>Where, next most limiting (smallest)</w:t>
      </w:r>
      <w:r w:rsidR="00AA7E9E">
        <w:t xml:space="preserve"> factor</w:t>
      </w:r>
      <w:r>
        <w:t xml:space="preserve"> is from </w:t>
      </w:r>
      <w:r w:rsidR="00AA7E9E">
        <w:t>the variables CT, DAMS, MD</w:t>
      </w:r>
      <w:r>
        <w:t>, SMR or SNR</w:t>
      </w:r>
      <w:r w:rsidR="00AA7E9E">
        <w:t xml:space="preserve"> </w:t>
      </w:r>
    </w:p>
    <w:p w:rsidR="00AA7E9E" w:rsidRDefault="00AA7E9E" w:rsidP="00320507"/>
    <w:p w:rsidR="00F55645" w:rsidRDefault="00AA7E9E" w:rsidP="00320507">
      <w:r>
        <w:t>Results were presented per hectare and as area weighted values.</w:t>
      </w:r>
    </w:p>
    <w:p w:rsidR="00F55645" w:rsidRDefault="00F55645" w:rsidP="00320507"/>
    <w:p w:rsidR="00F55645" w:rsidRDefault="00F55645" w:rsidP="00320507"/>
    <w:p w:rsidR="00F55645" w:rsidRPr="00576899" w:rsidRDefault="00F55645" w:rsidP="00F55645">
      <w:pPr>
        <w:pBdr>
          <w:bottom w:val="single" w:sz="6" w:space="1" w:color="auto"/>
        </w:pBdr>
        <w:rPr>
          <w:b/>
        </w:rPr>
      </w:pPr>
      <w:r w:rsidRPr="00576899">
        <w:rPr>
          <w:b/>
        </w:rPr>
        <w:t xml:space="preserve">Felled </w:t>
      </w:r>
      <w:proofErr w:type="spellStart"/>
      <w:r w:rsidRPr="00576899">
        <w:rPr>
          <w:b/>
        </w:rPr>
        <w:t>Sawlog</w:t>
      </w:r>
      <w:proofErr w:type="spellEnd"/>
      <w:r w:rsidRPr="00576899">
        <w:rPr>
          <w:b/>
        </w:rPr>
        <w:t xml:space="preserve"> Volume (logs greater than or equal to 17cm top diameter class)</w:t>
      </w:r>
    </w:p>
    <w:p w:rsidR="00F55645" w:rsidRDefault="00F55645" w:rsidP="00F55645"/>
    <w:p w:rsidR="005E38DC" w:rsidRDefault="005E38DC" w:rsidP="00F55645">
      <w:r>
        <w:t xml:space="preserve">To measure the quantity of </w:t>
      </w:r>
      <w:proofErr w:type="spellStart"/>
      <w:r>
        <w:t>sawlog</w:t>
      </w:r>
      <w:proofErr w:type="spellEnd"/>
      <w:r>
        <w:t xml:space="preserve"> material produced the following equations were applied to the </w:t>
      </w:r>
      <w:r w:rsidR="00055862">
        <w:t>sub-compartment</w:t>
      </w:r>
      <w:r>
        <w:t>.</w:t>
      </w:r>
      <w:r w:rsidR="00055862">
        <w:t xml:space="preserve">  </w:t>
      </w:r>
      <w:r>
        <w:t>Firstly the yield class was determined by Ecological Site Classification according to the equation</w:t>
      </w:r>
      <w:r w:rsidR="00055862">
        <w:t>:</w:t>
      </w:r>
    </w:p>
    <w:p w:rsidR="005E38DC" w:rsidRDefault="005E38DC" w:rsidP="00F55645"/>
    <w:p w:rsidR="005E38DC" w:rsidRDefault="005E38DC" w:rsidP="00F55645">
      <w:r>
        <w:t>YC = maximum Yield Class for species * accumulated temperature response for species * next most limiting factor response for species.</w:t>
      </w:r>
    </w:p>
    <w:p w:rsidR="005E38DC" w:rsidRDefault="005E38DC" w:rsidP="00F55645"/>
    <w:p w:rsidR="00E12EBB" w:rsidRDefault="005E38DC" w:rsidP="00F55645">
      <w:r>
        <w:t xml:space="preserve">The volume of a </w:t>
      </w:r>
      <w:r w:rsidR="00055862">
        <w:t>sub-compartment</w:t>
      </w:r>
      <w:r>
        <w:t xml:space="preserve"> </w:t>
      </w:r>
      <w:r w:rsidR="00055862">
        <w:t>was</w:t>
      </w:r>
      <w:r>
        <w:t xml:space="preserve"> given by the </w:t>
      </w:r>
      <w:proofErr w:type="gramStart"/>
      <w:r>
        <w:t>equation :</w:t>
      </w:r>
      <w:proofErr w:type="gramEnd"/>
    </w:p>
    <w:p w:rsidR="001417E2" w:rsidRDefault="001417E2" w:rsidP="00F55645"/>
    <w:p w:rsidR="001417E2" w:rsidRDefault="001417E2" w:rsidP="00F55645">
      <m:oMathPara>
        <m:oMath>
          <m:r>
            <w:rPr>
              <w:rFonts w:ascii="Cambria Math" w:hAnsi="Cambria Math"/>
            </w:rPr>
            <m:t xml:space="preserve">Volume </m:t>
          </m:r>
          <m:d>
            <m:dPr>
              <m:ctrlPr>
                <w:rPr>
                  <w:rFonts w:ascii="Cambria Math" w:hAnsi="Cambria Math"/>
                  <w:i/>
                </w:rPr>
              </m:ctrlPr>
            </m:dPr>
            <m:e>
              <m:sSup>
                <m:sSupPr>
                  <m:ctrlPr>
                    <w:rPr>
                      <w:rFonts w:ascii="Cambria Math" w:hAnsi="Cambria Math"/>
                      <w:i/>
                    </w:rPr>
                  </m:ctrlPr>
                </m:sSupPr>
                <m:e>
                  <m:r>
                    <w:rPr>
                      <w:rFonts w:ascii="Cambria Math" w:hAnsi="Cambria Math"/>
                    </w:rPr>
                    <m:t>ha</m:t>
                  </m:r>
                </m:e>
                <m:sup>
                  <m:r>
                    <w:rPr>
                      <w:rFonts w:ascii="Cambria Math" w:hAnsi="Cambria Math"/>
                    </w:rPr>
                    <m:t>-1</m:t>
                  </m:r>
                </m:sup>
              </m:sSup>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Top height</m:t>
              </m:r>
            </m:e>
            <m:sup>
              <m:r>
                <w:rPr>
                  <w:rFonts w:ascii="Cambria Math" w:hAnsi="Cambria Math"/>
                </w:rPr>
                <m:t>g3</m:t>
              </m:r>
            </m:sup>
          </m:sSup>
        </m:oMath>
      </m:oMathPara>
    </w:p>
    <w:p w:rsidR="00055862" w:rsidRDefault="00055862" w:rsidP="00F55645"/>
    <w:p w:rsidR="00817D53" w:rsidRDefault="00F209F8" w:rsidP="00F55645">
      <w:r>
        <w:t>W</w:t>
      </w:r>
      <w:r w:rsidR="00817D53">
        <w:t>here</w:t>
      </w:r>
      <w:r>
        <w:t>,</w:t>
      </w:r>
      <w:r w:rsidR="00817D53">
        <w:t xml:space="preserve"> g1 and g3 are species specific coefficients that vary according to whether the s</w:t>
      </w:r>
      <w:r>
        <w:t>ub-compartment was thinned</w:t>
      </w:r>
      <w:r w:rsidR="00817D53">
        <w:t xml:space="preserve"> or not.</w:t>
      </w:r>
    </w:p>
    <w:p w:rsidR="00817D53" w:rsidRDefault="00817D53" w:rsidP="00F55645"/>
    <w:p w:rsidR="00817D53" w:rsidRDefault="00817D53" w:rsidP="00F55645">
      <w:r>
        <w:t xml:space="preserve">The top height </w:t>
      </w:r>
      <w:r w:rsidR="00F209F8">
        <w:t xml:space="preserve">was </w:t>
      </w:r>
      <w:r>
        <w:t>derived for a given yield class and</w:t>
      </w:r>
      <w:r w:rsidR="00F209F8">
        <w:t xml:space="preserve"> sub-compartment</w:t>
      </w:r>
      <w:r>
        <w:t xml:space="preserve"> age with the equation:</w:t>
      </w:r>
    </w:p>
    <w:p w:rsidR="00A42B5F" w:rsidRDefault="00A42B5F" w:rsidP="00F55645"/>
    <w:p w:rsidR="00A42B5F" w:rsidRDefault="00A42B5F" w:rsidP="00F55645">
      <m:oMathPara>
        <m:oMath>
          <m:r>
            <w:rPr>
              <w:rFonts w:ascii="Cambria Math" w:hAnsi="Cambria Math"/>
            </w:rPr>
            <m:t>Top height=(a1+a2×YC+a3×initial spacing)×</m:t>
          </m:r>
          <m:sSup>
            <m:sSupPr>
              <m:ctrlPr>
                <w:rPr>
                  <w:rFonts w:ascii="Cambria Math" w:hAnsi="Cambria Math"/>
                  <w:i/>
                </w:rPr>
              </m:ctrlPr>
            </m:sSupPr>
            <m:e>
              <m:r>
                <w:rPr>
                  <w:rFonts w:ascii="Cambria Math" w:hAnsi="Cambria Math"/>
                </w:rPr>
                <m:t>(1-</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-a4×age</m:t>
                      </m:r>
                    </m:e>
                  </m:d>
                  <m:ctrlPr>
                    <w:rPr>
                      <w:rFonts w:ascii="Cambria Math" w:hAnsi="Cambria Math"/>
                      <w:i/>
                    </w:rPr>
                  </m:ctrlPr>
                </m:e>
              </m:func>
              <m:r>
                <w:rPr>
                  <w:rFonts w:ascii="Cambria Math" w:hAnsi="Cambria Math"/>
                </w:rPr>
                <m:t>)</m:t>
              </m:r>
            </m:e>
            <m:sup>
              <m:r>
                <w:rPr>
                  <w:rFonts w:ascii="Cambria Math" w:hAnsi="Cambria Math"/>
                </w:rPr>
                <m:t>a5</m:t>
              </m:r>
            </m:sup>
          </m:sSup>
        </m:oMath>
      </m:oMathPara>
    </w:p>
    <w:p w:rsidR="00A42B5F" w:rsidRDefault="00A42B5F" w:rsidP="00F55645"/>
    <w:p w:rsidR="005E38DC" w:rsidRDefault="00A42B5F" w:rsidP="00F55645">
      <w:r>
        <w:t>W</w:t>
      </w:r>
      <w:r w:rsidR="00817D53">
        <w:t>here</w:t>
      </w:r>
      <w:r>
        <w:t>,</w:t>
      </w:r>
      <w:r w:rsidR="00817D53">
        <w:t xml:space="preserve"> coefficients a1 to a5 vary according to species.</w:t>
      </w:r>
    </w:p>
    <w:p w:rsidR="00817D53" w:rsidRDefault="00817D53" w:rsidP="00F55645"/>
    <w:p w:rsidR="00817D53" w:rsidRDefault="00817D53" w:rsidP="00F55645">
      <w:r>
        <w:t>The diameter at breast height (</w:t>
      </w:r>
      <w:proofErr w:type="spellStart"/>
      <w:r>
        <w:t>dbh</w:t>
      </w:r>
      <w:proofErr w:type="spellEnd"/>
      <w:r>
        <w:t xml:space="preserve"> at 1.3m) is calculated with the following equation:</w:t>
      </w:r>
    </w:p>
    <w:p w:rsidR="00A42B5F" w:rsidRDefault="00A42B5F" w:rsidP="00F55645"/>
    <w:p w:rsidR="00A42B5F" w:rsidRDefault="00A42B5F" w:rsidP="00F55645">
      <m:oMathPara>
        <m:oMath>
          <m:r>
            <w:rPr>
              <w:rFonts w:ascii="Cambria Math" w:hAnsi="Cambria Math"/>
            </w:rPr>
            <m:t>mean dbh=(b1+b2×initial spacing)×</m:t>
          </m:r>
          <m:sSup>
            <m:sSupPr>
              <m:ctrlPr>
                <w:rPr>
                  <w:rFonts w:ascii="Cambria Math" w:hAnsi="Cambria Math"/>
                  <w:i/>
                </w:rPr>
              </m:ctrlPr>
            </m:sSupPr>
            <m:e>
              <m:r>
                <w:rPr>
                  <w:rFonts w:ascii="Cambria Math" w:hAnsi="Cambria Math"/>
                </w:rPr>
                <m:t>top height</m:t>
              </m:r>
            </m:e>
            <m:sup>
              <m:r>
                <w:rPr>
                  <w:rFonts w:ascii="Cambria Math" w:hAnsi="Cambria Math"/>
                </w:rPr>
                <m:t>b4</m:t>
              </m:r>
            </m:sup>
          </m:sSup>
        </m:oMath>
      </m:oMathPara>
    </w:p>
    <w:p w:rsidR="00A42B5F" w:rsidRDefault="00A42B5F" w:rsidP="00F55645"/>
    <w:p w:rsidR="00817D53" w:rsidRDefault="00A42B5F" w:rsidP="00F55645">
      <w:r>
        <w:t>W</w:t>
      </w:r>
      <w:r w:rsidR="00B7061B">
        <w:t>here</w:t>
      </w:r>
      <w:r>
        <w:t>,</w:t>
      </w:r>
      <w:r w:rsidR="00B7061B">
        <w:t xml:space="preserve"> coefficients b1, b2 and b4 vary with species and management.</w:t>
      </w:r>
    </w:p>
    <w:p w:rsidR="00817D53" w:rsidRDefault="00817D53" w:rsidP="00F55645"/>
    <w:p w:rsidR="005E38DC" w:rsidRDefault="00B7061B" w:rsidP="00F55645">
      <w:r>
        <w:t xml:space="preserve">With those variables calculated it is possible to use the following equations to determine the </w:t>
      </w:r>
      <w:proofErr w:type="spellStart"/>
      <w:r>
        <w:t>sawlog</w:t>
      </w:r>
      <w:proofErr w:type="spellEnd"/>
      <w:r>
        <w:t xml:space="preserve"> volume at a given diameter class (where diameter is set to 17cm for our definition of </w:t>
      </w:r>
      <w:proofErr w:type="spellStart"/>
      <w:r>
        <w:t>sawlog</w:t>
      </w:r>
      <w:proofErr w:type="spellEnd"/>
      <w:r>
        <w:t xml:space="preserve"> material</w:t>
      </w:r>
      <w:proofErr w:type="gramStart"/>
      <w:r>
        <w:t xml:space="preserve">) </w:t>
      </w:r>
      <w:r w:rsidR="00A42B5F">
        <w:t>:</w:t>
      </w:r>
      <w:proofErr w:type="gramEnd"/>
    </w:p>
    <w:p w:rsidR="00B232CD" w:rsidRDefault="00B232CD" w:rsidP="00E12EBB"/>
    <w:p w:rsidR="00E12EBB" w:rsidRDefault="00A42B5F" w:rsidP="00E12EBB">
      <m:oMathPara>
        <m:oMath>
          <m:r>
            <w:rPr>
              <w:rFonts w:ascii="Cambria Math" w:hAnsi="Cambria Math"/>
            </w:rPr>
            <m:t xml:space="preserve">Sawlog volume ≥17cm </m:t>
          </m:r>
          <m:d>
            <m:dPr>
              <m:ctrlPr>
                <w:rPr>
                  <w:rFonts w:ascii="Cambria Math" w:hAnsi="Cambria Math"/>
                  <w:i/>
                </w:rPr>
              </m:ctrlPr>
            </m:dPr>
            <m:e>
              <m:r>
                <w:rPr>
                  <w:rFonts w:ascii="Cambria Math" w:hAnsi="Cambria Math"/>
                </w:rPr>
                <m:t>thinned</m:t>
              </m:r>
            </m:e>
          </m:d>
          <m:r>
            <w:rPr>
              <w:rFonts w:ascii="Cambria Math" w:hAnsi="Cambria Math"/>
            </w:rPr>
            <m:t>=Volume×</m:t>
          </m:r>
          <m:r>
            <m:rPr>
              <m:sty m:val="p"/>
            </m:rPr>
            <w:rPr>
              <w:rFonts w:ascii="Cambria Math" w:hAnsi="Cambria Math"/>
            </w:rPr>
            <m:t>exp⁡</m:t>
          </m:r>
          <m:r>
            <w:rPr>
              <w:rFonts w:ascii="Cambria Math" w:hAnsi="Cambria Math"/>
            </w:rPr>
            <m:t>(-0.8456×(</m:t>
          </m:r>
          <m:sSup>
            <m:sSupPr>
              <m:ctrlPr>
                <w:rPr>
                  <w:rFonts w:ascii="Cambria Math" w:hAnsi="Cambria Math"/>
                  <w:i/>
                </w:rPr>
              </m:ctrlPr>
            </m:sSupPr>
            <m:e>
              <m:r>
                <w:rPr>
                  <w:rFonts w:ascii="Cambria Math" w:hAnsi="Cambria Math"/>
                </w:rPr>
                <m:t>diameter</m:t>
              </m:r>
            </m:e>
            <m:sup>
              <m:r>
                <w:rPr>
                  <w:rFonts w:ascii="Cambria Math" w:hAnsi="Cambria Math"/>
                </w:rPr>
                <m:t>4.2233</m:t>
              </m:r>
            </m:sup>
          </m:sSup>
          <m:r>
            <w:rPr>
              <w:rFonts w:ascii="Cambria Math" w:hAnsi="Cambria Math"/>
            </w:rPr>
            <m:t>)÷</m:t>
          </m:r>
          <m:sSup>
            <m:sSupPr>
              <m:ctrlPr>
                <w:rPr>
                  <w:rFonts w:ascii="Cambria Math" w:hAnsi="Cambria Math"/>
                  <w:i/>
                </w:rPr>
              </m:ctrlPr>
            </m:sSupPr>
            <m:e>
              <m:r>
                <w:rPr>
                  <w:rFonts w:ascii="Cambria Math" w:hAnsi="Cambria Math"/>
                </w:rPr>
                <m:t>dbh</m:t>
              </m:r>
            </m:e>
            <m:sup>
              <m:r>
                <w:rPr>
                  <w:rFonts w:ascii="Cambria Math" w:hAnsi="Cambria Math"/>
                </w:rPr>
                <m:t>4.0229</m:t>
              </m:r>
            </m:sup>
          </m:sSup>
          <m:r>
            <w:rPr>
              <w:rFonts w:ascii="Cambria Math" w:hAnsi="Cambria Math"/>
            </w:rPr>
            <m:t>)</m:t>
          </m:r>
        </m:oMath>
      </m:oMathPara>
    </w:p>
    <w:p w:rsidR="00A42B5F" w:rsidRDefault="00A42B5F" w:rsidP="00E12EBB"/>
    <w:p w:rsidR="0074514F" w:rsidRDefault="0074514F" w:rsidP="0074514F">
      <m:oMathPara>
        <m:oMath>
          <m:r>
            <w:rPr>
              <w:rFonts w:ascii="Cambria Math" w:hAnsi="Cambria Math"/>
            </w:rPr>
            <m:t xml:space="preserve">Sawlog volume ≥17cm </m:t>
          </m:r>
          <m:d>
            <m:dPr>
              <m:ctrlPr>
                <w:rPr>
                  <w:rFonts w:ascii="Cambria Math" w:hAnsi="Cambria Math"/>
                  <w:i/>
                </w:rPr>
              </m:ctrlPr>
            </m:dPr>
            <m:e>
              <m:r>
                <w:rPr>
                  <w:rFonts w:ascii="Cambria Math" w:hAnsi="Cambria Math"/>
                </w:rPr>
                <m:t>unthinned</m:t>
              </m:r>
            </m:e>
          </m:d>
          <m:r>
            <w:rPr>
              <w:rFonts w:ascii="Cambria Math" w:hAnsi="Cambria Math"/>
            </w:rPr>
            <m:t>=Volume×</m:t>
          </m:r>
          <m:r>
            <m:rPr>
              <m:sty m:val="p"/>
            </m:rPr>
            <w:rPr>
              <w:rFonts w:ascii="Cambria Math" w:hAnsi="Cambria Math"/>
            </w:rPr>
            <m:t>exp⁡</m:t>
          </m:r>
          <m:r>
            <w:rPr>
              <w:rFonts w:ascii="Cambria Math" w:hAnsi="Cambria Math"/>
            </w:rPr>
            <m:t>(-0.8793×(</m:t>
          </m:r>
          <m:sSup>
            <m:sSupPr>
              <m:ctrlPr>
                <w:rPr>
                  <w:rFonts w:ascii="Cambria Math" w:hAnsi="Cambria Math"/>
                  <w:i/>
                </w:rPr>
              </m:ctrlPr>
            </m:sSupPr>
            <m:e>
              <m:r>
                <w:rPr>
                  <w:rFonts w:ascii="Cambria Math" w:hAnsi="Cambria Math"/>
                </w:rPr>
                <m:t>diameter</m:t>
              </m:r>
            </m:e>
            <m:sup>
              <m:r>
                <w:rPr>
                  <w:rFonts w:ascii="Cambria Math" w:hAnsi="Cambria Math"/>
                </w:rPr>
                <m:t>3.503</m:t>
              </m:r>
            </m:sup>
          </m:sSup>
          <m:r>
            <w:rPr>
              <w:rFonts w:ascii="Cambria Math" w:hAnsi="Cambria Math"/>
            </w:rPr>
            <m:t>)÷</m:t>
          </m:r>
          <m:sSup>
            <m:sSupPr>
              <m:ctrlPr>
                <w:rPr>
                  <w:rFonts w:ascii="Cambria Math" w:hAnsi="Cambria Math"/>
                  <w:i/>
                </w:rPr>
              </m:ctrlPr>
            </m:sSupPr>
            <m:e>
              <m:r>
                <w:rPr>
                  <w:rFonts w:ascii="Cambria Math" w:hAnsi="Cambria Math"/>
                </w:rPr>
                <m:t>dbh</m:t>
              </m:r>
            </m:e>
            <m:sup>
              <m:r>
                <w:rPr>
                  <w:rFonts w:ascii="Cambria Math" w:hAnsi="Cambria Math"/>
                </w:rPr>
                <m:t>3.3596</m:t>
              </m:r>
            </m:sup>
          </m:sSup>
          <m:r>
            <w:rPr>
              <w:rFonts w:ascii="Cambria Math" w:hAnsi="Cambria Math"/>
            </w:rPr>
            <m:t>)</m:t>
          </m:r>
        </m:oMath>
      </m:oMathPara>
    </w:p>
    <w:p w:rsidR="00A42B5F" w:rsidRDefault="00A42B5F" w:rsidP="00E12EBB"/>
    <w:p w:rsidR="00AA7E9E" w:rsidRDefault="00AA7E9E" w:rsidP="00E12EBB">
      <w:r>
        <w:t xml:space="preserve">The unit </w:t>
      </w:r>
      <w:r w:rsidR="0074514F">
        <w:t>of the indicator</w:t>
      </w:r>
      <w:r>
        <w:t xml:space="preserve"> </w:t>
      </w:r>
      <w:r w:rsidR="0074514F">
        <w:t>is m</w:t>
      </w:r>
      <w:r w:rsidR="0074514F">
        <w:rPr>
          <w:vertAlign w:val="superscript"/>
        </w:rPr>
        <w:t>3</w:t>
      </w:r>
      <w:r>
        <w:t xml:space="preserve">. </w:t>
      </w:r>
      <w:proofErr w:type="gramStart"/>
      <w:r>
        <w:t>The per</w:t>
      </w:r>
      <w:proofErr w:type="gramEnd"/>
      <w:r>
        <w:t xml:space="preserve"> hectare score was weighted for the related area and summed over a decade to give an aggregate output for a given reporting period (e.g. 2061-2070).</w:t>
      </w:r>
    </w:p>
    <w:p w:rsidR="00E12EBB" w:rsidRDefault="00E12EBB" w:rsidP="00E12EBB"/>
    <w:p w:rsidR="00F55645" w:rsidRPr="00576899" w:rsidRDefault="00F55645" w:rsidP="00F55645">
      <w:pPr>
        <w:pBdr>
          <w:bottom w:val="single" w:sz="6" w:space="1" w:color="auto"/>
        </w:pBdr>
        <w:rPr>
          <w:b/>
        </w:rPr>
      </w:pPr>
      <w:r w:rsidRPr="00576899">
        <w:rPr>
          <w:b/>
        </w:rPr>
        <w:t>Felled Other Volume (material less than 17cm top diameter class)</w:t>
      </w:r>
    </w:p>
    <w:p w:rsidR="00F55645" w:rsidRDefault="00F55645" w:rsidP="00F55645"/>
    <w:p w:rsidR="00F55645" w:rsidRDefault="00F55645" w:rsidP="00F55645">
      <w:r>
        <w:t xml:space="preserve">The material extracted from thinning and </w:t>
      </w:r>
      <w:proofErr w:type="spellStart"/>
      <w:r>
        <w:t>clearfelling</w:t>
      </w:r>
      <w:proofErr w:type="spellEnd"/>
      <w:r>
        <w:t xml:space="preserve"> operations</w:t>
      </w:r>
      <w:r w:rsidR="00E12EBB">
        <w:t xml:space="preserve"> </w:t>
      </w:r>
      <w:r>
        <w:t xml:space="preserve">of top diameter class less than 17cm was recorded </w:t>
      </w:r>
      <w:r w:rsidR="0074514F">
        <w:t xml:space="preserve">by this indicator. </w:t>
      </w:r>
      <w:r w:rsidR="00E12EBB">
        <w:t xml:space="preserve">Results </w:t>
      </w:r>
      <w:r w:rsidR="0074514F">
        <w:t>we</w:t>
      </w:r>
      <w:r w:rsidR="00E12EBB">
        <w:t xml:space="preserve">re recorded </w:t>
      </w:r>
      <w:r w:rsidR="0074514F">
        <w:t>annual</w:t>
      </w:r>
      <w:r w:rsidR="00E12EBB">
        <w:t>ly, weighted for the area of the operations an</w:t>
      </w:r>
      <w:r w:rsidR="0074514F">
        <w:t>d reported as totals per decade, using:</w:t>
      </w:r>
    </w:p>
    <w:p w:rsidR="00E12EBB" w:rsidRDefault="00E12EBB" w:rsidP="00F55645"/>
    <w:p w:rsidR="00E12EBB" w:rsidRDefault="00E12EBB" w:rsidP="00F55645">
      <w:r w:rsidRPr="0074514F">
        <w:t>Other Volume TDC &lt;</w:t>
      </w:r>
      <w:proofErr w:type="gramStart"/>
      <w:r w:rsidRPr="0074514F">
        <w:t>17cm  =</w:t>
      </w:r>
      <w:proofErr w:type="gramEnd"/>
      <w:r w:rsidRPr="0074514F">
        <w:t xml:space="preserve"> Volume  - </w:t>
      </w:r>
      <w:proofErr w:type="spellStart"/>
      <w:r w:rsidRPr="0074514F">
        <w:t>Sawlog</w:t>
      </w:r>
      <w:proofErr w:type="spellEnd"/>
      <w:r w:rsidRPr="0074514F">
        <w:t xml:space="preserve"> Volume to TDC </w:t>
      </w:r>
      <m:oMath>
        <m:r>
          <w:rPr>
            <w:rFonts w:ascii="Cambria Math" w:hAnsi="Cambria Math"/>
          </w:rPr>
          <m:t>≥</m:t>
        </m:r>
      </m:oMath>
      <w:r w:rsidRPr="0074514F">
        <w:t xml:space="preserve"> 17cm</w:t>
      </w:r>
    </w:p>
    <w:p w:rsidR="0074514F" w:rsidRDefault="0074514F" w:rsidP="00F55645"/>
    <w:p w:rsidR="00E12EBB" w:rsidRDefault="00E12EBB" w:rsidP="00F55645">
      <w:r>
        <w:t>Note that when a stand was managed according to FMA 5, the branches and tops that would normally be retained on site as brash were also harvested. In this situati</w:t>
      </w:r>
      <w:r w:rsidR="0074514F">
        <w:t>on the volume was calculated as:</w:t>
      </w:r>
    </w:p>
    <w:p w:rsidR="00E12EBB" w:rsidRDefault="00E12EBB" w:rsidP="00F55645"/>
    <w:p w:rsidR="0074514F" w:rsidRDefault="0074514F" w:rsidP="0074514F">
      <w:r>
        <w:t xml:space="preserve">Other Volume TDC &lt;17cm = Crown Volume + Volume - </w:t>
      </w:r>
      <w:proofErr w:type="spellStart"/>
      <w:r>
        <w:t>Sawlog</w:t>
      </w:r>
      <w:proofErr w:type="spellEnd"/>
      <w:r>
        <w:t xml:space="preserve"> Volume to TDC </w:t>
      </w:r>
      <m:oMath>
        <m:r>
          <w:rPr>
            <w:rFonts w:ascii="Cambria Math" w:hAnsi="Cambria Math"/>
          </w:rPr>
          <m:t>≥</m:t>
        </m:r>
      </m:oMath>
      <w:r>
        <w:t>17cm</w:t>
      </w:r>
    </w:p>
    <w:p w:rsidR="0074514F" w:rsidRDefault="0074514F" w:rsidP="00F55645"/>
    <w:p w:rsidR="00F55645" w:rsidRPr="00576899" w:rsidRDefault="00AA7E9E" w:rsidP="00F55645">
      <w:pPr>
        <w:pBdr>
          <w:bottom w:val="single" w:sz="6" w:space="1" w:color="auto"/>
        </w:pBdr>
        <w:rPr>
          <w:b/>
        </w:rPr>
      </w:pPr>
      <w:r w:rsidRPr="00576899">
        <w:rPr>
          <w:b/>
        </w:rPr>
        <w:t>Biomass</w:t>
      </w:r>
      <w:r w:rsidR="00F55645" w:rsidRPr="00576899">
        <w:rPr>
          <w:b/>
        </w:rPr>
        <w:t xml:space="preserve"> Stored</w:t>
      </w:r>
    </w:p>
    <w:p w:rsidR="00F55645" w:rsidRDefault="00F55645" w:rsidP="00F55645"/>
    <w:p w:rsidR="00F55645" w:rsidRDefault="00E537A7" w:rsidP="00F55645">
      <w:r>
        <w:t xml:space="preserve">To assess the general productivity of a stand at a given point in time the standing biomass was recorded at the end of every decadal reporting period. This was calculated by applying biomass expansion </w:t>
      </w:r>
      <w:r>
        <w:lastRenderedPageBreak/>
        <w:t>factors to the stem volume to account for crown and root biomass components, and was reported as oven dry tonnes. The calculations are outlined in the reference to the Woodland Carbon Code.</w:t>
      </w:r>
    </w:p>
    <w:p w:rsidR="00F55645" w:rsidRDefault="00F55645" w:rsidP="00F55645"/>
    <w:p w:rsidR="00F55645" w:rsidRPr="00576899" w:rsidRDefault="00AA7E9E" w:rsidP="00F55645">
      <w:pPr>
        <w:pBdr>
          <w:bottom w:val="single" w:sz="6" w:space="1" w:color="auto"/>
        </w:pBdr>
        <w:rPr>
          <w:b/>
        </w:rPr>
      </w:pPr>
      <w:r w:rsidRPr="00576899">
        <w:rPr>
          <w:b/>
        </w:rPr>
        <w:t>Carbon</w:t>
      </w:r>
      <w:r w:rsidR="00F55645" w:rsidRPr="00576899">
        <w:rPr>
          <w:b/>
        </w:rPr>
        <w:t xml:space="preserve"> Stored</w:t>
      </w:r>
    </w:p>
    <w:p w:rsidR="00F55645" w:rsidRDefault="00F55645" w:rsidP="00F55645"/>
    <w:p w:rsidR="00F55645" w:rsidRDefault="00E537A7" w:rsidP="00320507">
      <w:r>
        <w:t xml:space="preserve">The carbon stored within trees in a management unit was calculated at the end of each decadal reporting period using the biomass volume and converting the result to tonnes of carbon stored. Note that this indicator did not factor in carbon fluxes associated with soil carbon and the disturbance associated with forest operations. </w:t>
      </w:r>
    </w:p>
    <w:p w:rsidR="00F55645" w:rsidRDefault="00F55645" w:rsidP="00320507"/>
    <w:p w:rsidR="00BA5D27" w:rsidRPr="0074514F" w:rsidRDefault="0074514F">
      <w:pPr>
        <w:rPr>
          <w:b/>
          <w:sz w:val="24"/>
          <w:szCs w:val="24"/>
        </w:rPr>
      </w:pPr>
      <w:r w:rsidRPr="0074514F">
        <w:rPr>
          <w:b/>
          <w:sz w:val="24"/>
          <w:szCs w:val="24"/>
        </w:rPr>
        <w:t>References for indicators</w:t>
      </w:r>
    </w:p>
    <w:p w:rsidR="0018115C" w:rsidRDefault="00C27A99" w:rsidP="0018115C">
      <w:pPr>
        <w:ind w:left="720" w:hanging="720"/>
      </w:pPr>
      <w:r>
        <w:fldChar w:fldCharType="begin"/>
      </w:r>
      <w:r w:rsidR="00576899">
        <w:instrText xml:space="preserve"> ADDIN EN.REFLIST </w:instrText>
      </w:r>
      <w:r>
        <w:fldChar w:fldCharType="separate"/>
      </w:r>
      <w:r w:rsidR="0018115C">
        <w:t>Broadmeadow M, Ray D, Samuel C (2005) Climate change and the future for broadleaved tree species in Britain. Forestry 78 (2):145-167</w:t>
      </w:r>
    </w:p>
    <w:p w:rsidR="0018115C" w:rsidRDefault="0018115C" w:rsidP="0018115C">
      <w:pPr>
        <w:ind w:left="720" w:hanging="720"/>
      </w:pPr>
      <w:r>
        <w:t>Duncker PS, Barreiro SM, Hengeveld GM, Lind T, Mason WL, Ambrozy S, Spiecker H (2012) Classification of Forest Management Approaches: A New Conceptual Framework and Its Applicability to European Forestry. Ecology and Society 17 (4)</w:t>
      </w:r>
    </w:p>
    <w:p w:rsidR="0018115C" w:rsidRDefault="0018115C" w:rsidP="0018115C">
      <w:pPr>
        <w:ind w:left="720" w:hanging="720"/>
      </w:pPr>
      <w:r>
        <w:t>Edwards DM, Jay M, Jensen FS, Lucas B, Marzano M, Montagné C, Peace A, Weiss G (2012) Public preferences for structural attributes of forests: Towards a pan-European perspective Forest Policy and Economics 19:12-19</w:t>
      </w:r>
    </w:p>
    <w:p w:rsidR="0018115C" w:rsidRDefault="0018115C" w:rsidP="0018115C">
      <w:pPr>
        <w:ind w:left="720" w:hanging="720"/>
      </w:pPr>
      <w:r>
        <w:t>Edwards DM, Jensen FS, Marzano M, Mason B, Pizzirani S, Schelhaas MJ (2011) A Theoretical Framework to Assess the Impacts of Forest Management on the Recreational Value of European Forests. Ecological Indicators 11:81-89</w:t>
      </w:r>
    </w:p>
    <w:p w:rsidR="0018115C" w:rsidRDefault="0018115C" w:rsidP="0018115C">
      <w:pPr>
        <w:ind w:left="720" w:hanging="720"/>
      </w:pPr>
      <w:r>
        <w:t>Gardiner BA, Quine CP (2000) Management of forests to reduce the risk of abiotic damage - a review with particular reference to the effects of strong winds. Forest Ecology and Management 135:261-277</w:t>
      </w:r>
    </w:p>
    <w:p w:rsidR="0018115C" w:rsidRDefault="0018115C" w:rsidP="0018115C">
      <w:pPr>
        <w:ind w:left="720" w:hanging="720"/>
      </w:pPr>
      <w:r>
        <w:t>Humphrey J, Quine C, Watts K (2006) The influence of forest and woodland management on biodiversity in Scotland: recent findings and future prospects. In: Davison R GC (ed) Farming, forestry and the natural heritage: towards a more integrated approach. Scottish Natural Heritage, Edinburgh, pp 59-75</w:t>
      </w:r>
    </w:p>
    <w:p w:rsidR="0018115C" w:rsidRDefault="0018115C" w:rsidP="0018115C">
      <w:pPr>
        <w:ind w:left="720" w:hanging="720"/>
      </w:pPr>
      <w:r>
        <w:t>Humphrey JW, Sippola A-L, Lempérière LG, Dodelin B, Alexander KNA, Butler JE (2004) Deadwood as an indicator of biodiversity in European forests: from theory to operational guidance. In: Marchetti M (ed) Monitoring and indicators of forest biodiversity in Europe - from ideas to operationality. European Forest Institute, Joensuu, pp 193-206</w:t>
      </w:r>
    </w:p>
    <w:p w:rsidR="0018115C" w:rsidRDefault="0018115C" w:rsidP="0018115C">
      <w:pPr>
        <w:ind w:left="720" w:hanging="720"/>
      </w:pPr>
      <w:r>
        <w:t xml:space="preserve">Ray D (2001) Ecological Site Classification Decision Support System V1.7. Forestry Commission - Edinburgh, </w:t>
      </w:r>
    </w:p>
    <w:p w:rsidR="0018115C" w:rsidRDefault="0018115C" w:rsidP="0018115C"/>
    <w:p w:rsidR="00BA5D27" w:rsidRDefault="00C27A99" w:rsidP="0018115C">
      <w:pPr>
        <w:ind w:left="720" w:hanging="720"/>
      </w:pPr>
      <w:r>
        <w:fldChar w:fldCharType="end"/>
      </w:r>
    </w:p>
    <w:sectPr w:rsidR="00BA5D27" w:rsidSect="00687E06">
      <w:pgSz w:w="11906" w:h="16838"/>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0904"/>
    <w:multiLevelType w:val="hybridMultilevel"/>
    <w:tmpl w:val="01845F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F5B5A18"/>
    <w:multiLevelType w:val="hybridMultilevel"/>
    <w:tmpl w:val="1814FB9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3FDF0F62"/>
    <w:multiLevelType w:val="hybridMultilevel"/>
    <w:tmpl w:val="B5FCF6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59351778"/>
    <w:multiLevelType w:val="hybridMultilevel"/>
    <w:tmpl w:val="2DCE83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E965C8E"/>
    <w:multiLevelType w:val="hybridMultilevel"/>
    <w:tmpl w:val="FB2EBC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docVars>
    <w:docVar w:name="EN.InstantFormat" w:val="&lt;ENInstantFormat&gt;&lt;Enabled&gt;1&lt;/Enabled&gt;&lt;ScanUnformatted&gt;1&lt;/ScanUnformatted&gt;&lt;ScanChanges&gt;1&lt;/ScanChanges&gt;&lt;/ENInstantFormat&gt;"/>
    <w:docVar w:name="EN.Libraries" w:val="&lt;ENLibraries&gt;&lt;Libraries&gt;&lt;item&gt;dr2-Converted.enl&lt;/item&gt;&lt;/Libraries&gt;&lt;/ENLibraries&gt;"/>
  </w:docVars>
  <w:rsids>
    <w:rsidRoot w:val="00BA5D27"/>
    <w:rsid w:val="00013AB9"/>
    <w:rsid w:val="000326F6"/>
    <w:rsid w:val="00055862"/>
    <w:rsid w:val="000916ED"/>
    <w:rsid w:val="000D3A2A"/>
    <w:rsid w:val="001417E2"/>
    <w:rsid w:val="0018115C"/>
    <w:rsid w:val="001A3409"/>
    <w:rsid w:val="001B5D86"/>
    <w:rsid w:val="002047D6"/>
    <w:rsid w:val="00253841"/>
    <w:rsid w:val="002E6A01"/>
    <w:rsid w:val="00320507"/>
    <w:rsid w:val="003C035D"/>
    <w:rsid w:val="00416D33"/>
    <w:rsid w:val="004C4F5A"/>
    <w:rsid w:val="004C7D85"/>
    <w:rsid w:val="005343B9"/>
    <w:rsid w:val="00576899"/>
    <w:rsid w:val="005B723C"/>
    <w:rsid w:val="005E38DC"/>
    <w:rsid w:val="0066286D"/>
    <w:rsid w:val="006813F8"/>
    <w:rsid w:val="00687E06"/>
    <w:rsid w:val="006C0E7E"/>
    <w:rsid w:val="007411B6"/>
    <w:rsid w:val="0074514F"/>
    <w:rsid w:val="00780197"/>
    <w:rsid w:val="007C25C4"/>
    <w:rsid w:val="007F4F8C"/>
    <w:rsid w:val="00817D53"/>
    <w:rsid w:val="00844EDE"/>
    <w:rsid w:val="00864526"/>
    <w:rsid w:val="009A0561"/>
    <w:rsid w:val="00A13B10"/>
    <w:rsid w:val="00A366C2"/>
    <w:rsid w:val="00A4045A"/>
    <w:rsid w:val="00A42B5F"/>
    <w:rsid w:val="00AA7E9E"/>
    <w:rsid w:val="00AF3313"/>
    <w:rsid w:val="00B232CD"/>
    <w:rsid w:val="00B7061B"/>
    <w:rsid w:val="00BA5D27"/>
    <w:rsid w:val="00C27A99"/>
    <w:rsid w:val="00C52707"/>
    <w:rsid w:val="00D4273D"/>
    <w:rsid w:val="00D464E1"/>
    <w:rsid w:val="00D86789"/>
    <w:rsid w:val="00DF2AC9"/>
    <w:rsid w:val="00E12EBB"/>
    <w:rsid w:val="00E31184"/>
    <w:rsid w:val="00E537A7"/>
    <w:rsid w:val="00E835D2"/>
    <w:rsid w:val="00F209F8"/>
    <w:rsid w:val="00F55645"/>
    <w:rsid w:val="00FB7A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E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5D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B5D86"/>
    <w:rPr>
      <w:color w:val="808080"/>
    </w:rPr>
  </w:style>
  <w:style w:type="paragraph" w:styleId="BalloonText">
    <w:name w:val="Balloon Text"/>
    <w:basedOn w:val="Normal"/>
    <w:link w:val="BalloonTextChar"/>
    <w:rsid w:val="001B5D86"/>
    <w:rPr>
      <w:rFonts w:ascii="Tahoma" w:hAnsi="Tahoma" w:cs="Tahoma"/>
      <w:sz w:val="16"/>
      <w:szCs w:val="16"/>
    </w:rPr>
  </w:style>
  <w:style w:type="character" w:customStyle="1" w:styleId="BalloonTextChar">
    <w:name w:val="Balloon Text Char"/>
    <w:basedOn w:val="DefaultParagraphFont"/>
    <w:link w:val="BalloonText"/>
    <w:rsid w:val="001B5D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Biodiversity Indicator</vt:lpstr>
    </vt:vector>
  </TitlesOfParts>
  <Company>Forestry Commission</Company>
  <LinksUpToDate>false</LinksUpToDate>
  <CharactersWithSpaces>22037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Indicator</dc:title>
  <dc:subject/>
  <dc:creator>Authenticated User</dc:creator>
  <cp:keywords/>
  <dc:description/>
  <cp:lastModifiedBy>Duncan Ray</cp:lastModifiedBy>
  <cp:revision>7</cp:revision>
  <cp:lastPrinted>2014-04-15T13:23:00Z</cp:lastPrinted>
  <dcterms:created xsi:type="dcterms:W3CDTF">2014-04-16T13:57:00Z</dcterms:created>
  <dcterms:modified xsi:type="dcterms:W3CDTF">2014-05-02T14:53:00Z</dcterms:modified>
</cp:coreProperties>
</file>