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rPr>
          <w:b/>
          <w:b/>
          <w:bCs/>
          <w:color w:val="000000"/>
        </w:rPr>
      </w:pPr>
      <w:r>
        <w:rPr>
          <w:b/>
          <w:bCs/>
          <w:color w:val="000000"/>
        </w:rPr>
        <w:t>Generality of relationships between leaf pigment contents and spectral vegetation indices</w:t>
      </w:r>
    </w:p>
    <w:p>
      <w:pPr>
        <w:pStyle w:val="Normal"/>
        <w:spacing w:lineRule="auto" w:line="480"/>
        <w:rPr>
          <w:color w:val="000000"/>
        </w:rPr>
      </w:pPr>
      <w:r>
        <w:rPr>
          <w:color w:val="000000"/>
        </w:rPr>
      </w:r>
    </w:p>
    <w:p>
      <w:pPr>
        <w:pStyle w:val="Normal"/>
        <w:spacing w:lineRule="auto" w:line="480"/>
        <w:rPr/>
      </w:pPr>
      <w:r>
        <w:rPr>
          <w:color w:val="000000"/>
        </w:rPr>
        <w:t>Lea Hallik</w:t>
      </w:r>
      <w:r>
        <w:rPr>
          <w:color w:val="000000"/>
          <w:vertAlign w:val="superscript"/>
        </w:rPr>
        <w:t>1, 2, 6</w:t>
      </w:r>
      <w:r>
        <w:rPr>
          <w:color w:val="000000"/>
        </w:rPr>
        <w:t>, Taras Kazantsev</w:t>
      </w:r>
      <w:r>
        <w:rPr>
          <w:color w:val="000000"/>
          <w:vertAlign w:val="superscript"/>
        </w:rPr>
        <w:t>2,3</w:t>
      </w:r>
      <w:r>
        <w:rPr>
          <w:color w:val="000000"/>
        </w:rPr>
        <w:t>, Andres Kuusk</w:t>
      </w:r>
      <w:r>
        <w:rPr>
          <w:color w:val="000000"/>
          <w:vertAlign w:val="superscript"/>
        </w:rPr>
        <w:t>1</w:t>
      </w:r>
      <w:r>
        <w:rPr>
          <w:color w:val="000000"/>
        </w:rPr>
        <w:t>, Jeroni Galmés</w:t>
      </w:r>
      <w:r>
        <w:rPr>
          <w:color w:val="000000"/>
          <w:vertAlign w:val="superscript"/>
        </w:rPr>
        <w:t>4</w:t>
      </w:r>
      <w:r>
        <w:rPr>
          <w:color w:val="000000"/>
        </w:rPr>
        <w:t>, Magdalena Tomás</w:t>
      </w:r>
      <w:r>
        <w:rPr>
          <w:color w:val="000000"/>
          <w:vertAlign w:val="superscript"/>
        </w:rPr>
        <w:t>4</w:t>
      </w:r>
      <w:r>
        <w:rPr>
          <w:color w:val="000000"/>
        </w:rPr>
        <w:t>, Ülo Niinemets</w:t>
      </w:r>
      <w:r>
        <w:rPr>
          <w:color w:val="000000"/>
          <w:vertAlign w:val="superscript"/>
        </w:rPr>
        <w:t>2, 5</w:t>
      </w:r>
    </w:p>
    <w:p>
      <w:pPr>
        <w:pStyle w:val="Normal"/>
        <w:spacing w:lineRule="auto" w:line="480"/>
        <w:rPr>
          <w:color w:val="000000"/>
        </w:rPr>
      </w:pPr>
      <w:r>
        <w:rPr>
          <w:color w:val="000000"/>
        </w:rPr>
      </w:r>
    </w:p>
    <w:p>
      <w:pPr>
        <w:pStyle w:val="Normal"/>
        <w:spacing w:lineRule="auto" w:line="480"/>
        <w:jc w:val="both"/>
        <w:rPr/>
      </w:pPr>
      <w:r>
        <w:rPr>
          <w:color w:val="000000"/>
          <w:vertAlign w:val="superscript"/>
        </w:rPr>
        <w:t>1</w:t>
      </w:r>
      <w:r>
        <w:rPr>
          <w:color w:val="000000"/>
        </w:rPr>
        <w:t>Tartu Observatory, Observatooriumi 1, Tõravere, 61602 Tartumaa, Estonia</w:t>
      </w:r>
    </w:p>
    <w:p>
      <w:pPr>
        <w:pStyle w:val="Normal"/>
        <w:spacing w:lineRule="auto" w:line="480"/>
        <w:jc w:val="both"/>
        <w:rPr>
          <w:color w:val="000000"/>
        </w:rPr>
      </w:pPr>
      <w:r>
        <w:rPr>
          <w:color w:val="000000"/>
        </w:rPr>
      </w:r>
    </w:p>
    <w:p>
      <w:pPr>
        <w:pStyle w:val="Normal"/>
        <w:spacing w:lineRule="auto" w:line="480"/>
        <w:jc w:val="both"/>
        <w:rPr/>
      </w:pPr>
      <w:r>
        <w:rPr>
          <w:color w:val="000000"/>
          <w:vertAlign w:val="superscript"/>
        </w:rPr>
        <w:t>2</w:t>
      </w:r>
      <w:r>
        <w:rPr>
          <w:color w:val="000000"/>
        </w:rPr>
        <w:t>Institute of Agricultural and Environmental Sciences, Estonian University of Life Sciences, Kreutzwaldi 1, Tartu 51014, Estonia</w:t>
      </w:r>
    </w:p>
    <w:p>
      <w:pPr>
        <w:pStyle w:val="Normal"/>
        <w:spacing w:lineRule="auto" w:line="480"/>
        <w:jc w:val="both"/>
        <w:rPr>
          <w:color w:val="000000"/>
        </w:rPr>
      </w:pPr>
      <w:r>
        <w:rPr>
          <w:color w:val="000000"/>
        </w:rPr>
      </w:r>
    </w:p>
    <w:p>
      <w:pPr>
        <w:pStyle w:val="Normal"/>
        <w:spacing w:lineRule="auto" w:line="480"/>
        <w:jc w:val="both"/>
        <w:rPr/>
      </w:pPr>
      <w:r>
        <w:rPr>
          <w:color w:val="000000"/>
          <w:vertAlign w:val="superscript"/>
        </w:rPr>
        <w:t>3</w:t>
      </w:r>
      <w:r>
        <w:rPr>
          <w:color w:val="000000"/>
        </w:rPr>
        <w:t>Scientific Centre for Aerospace Research of the Earth, Institute of Geological Science, NASU, Gonchara str. 55-b, 01601, Kyiv, Ukraine</w:t>
      </w:r>
    </w:p>
    <w:p>
      <w:pPr>
        <w:pStyle w:val="Normal"/>
        <w:spacing w:lineRule="auto" w:line="480"/>
        <w:jc w:val="both"/>
        <w:rPr>
          <w:color w:val="000000"/>
        </w:rPr>
      </w:pPr>
      <w:r>
        <w:rPr>
          <w:color w:val="000000"/>
        </w:rPr>
      </w:r>
    </w:p>
    <w:p>
      <w:pPr>
        <w:pStyle w:val="Normal"/>
        <w:spacing w:lineRule="auto" w:line="480"/>
        <w:jc w:val="both"/>
        <w:rPr/>
      </w:pPr>
      <w:r>
        <w:rPr>
          <w:color w:val="000000"/>
          <w:vertAlign w:val="superscript"/>
        </w:rPr>
        <w:t>4</w:t>
      </w:r>
      <w:r>
        <w:rPr>
          <w:color w:val="000000"/>
        </w:rPr>
        <w:t>Research Group on Plant Biology under Mediterranean Conditions, Departament de Biologia, Universitat de les Illes Balears, Carretera de Valldemossa Km 7.5, 07122 Palma de Mallorca, Illes Balears, Spain</w:t>
      </w:r>
    </w:p>
    <w:p>
      <w:pPr>
        <w:pStyle w:val="Normal"/>
        <w:spacing w:lineRule="auto" w:line="480"/>
        <w:jc w:val="both"/>
        <w:rPr>
          <w:color w:val="000000"/>
        </w:rPr>
      </w:pPr>
      <w:r>
        <w:rPr>
          <w:color w:val="000000"/>
        </w:rPr>
      </w:r>
    </w:p>
    <w:p>
      <w:pPr>
        <w:pStyle w:val="Normal"/>
        <w:spacing w:lineRule="auto" w:line="480"/>
        <w:jc w:val="both"/>
        <w:rPr/>
      </w:pPr>
      <w:r>
        <w:rPr>
          <w:color w:val="000000"/>
          <w:vertAlign w:val="superscript"/>
        </w:rPr>
        <w:t>5</w:t>
      </w:r>
      <w:r>
        <w:rPr>
          <w:rFonts w:cs="Arial"/>
          <w:bCs/>
          <w:color w:val="000000"/>
        </w:rPr>
        <w:t>Estonian Academy of Sciences, Kohtu 6, 10130 Tallinn, Estonia</w:t>
      </w:r>
    </w:p>
    <w:p>
      <w:pPr>
        <w:pStyle w:val="Normal"/>
        <w:spacing w:lineRule="auto" w:line="480"/>
        <w:jc w:val="both"/>
        <w:rPr>
          <w:color w:val="000000"/>
        </w:rPr>
      </w:pPr>
      <w:r>
        <w:rPr>
          <w:color w:val="000000"/>
        </w:rPr>
      </w:r>
    </w:p>
    <w:p>
      <w:pPr>
        <w:pStyle w:val="Normal"/>
        <w:spacing w:lineRule="auto" w:line="480"/>
        <w:ind w:left="-720" w:right="-334" w:firstLine="720"/>
        <w:jc w:val="both"/>
        <w:rPr/>
      </w:pPr>
      <w:r>
        <w:rPr>
          <w:rFonts w:eastAsia="MS Mincho" w:cs="Times New Roman"/>
          <w:color w:val="000000"/>
          <w:vertAlign w:val="superscript"/>
        </w:rPr>
        <w:t>6</w:t>
      </w:r>
      <w:r>
        <w:rPr>
          <w:rFonts w:eastAsia="MS Mincho;‚l‚r –¾’©" w:cs="Times New Roman"/>
          <w:color w:val="000000"/>
          <w:sz w:val="24"/>
          <w:szCs w:val="24"/>
        </w:rPr>
        <w:t xml:space="preserve">Corresponding author e-mail: </w:t>
      </w:r>
      <w:hyperlink r:id="rId2">
        <w:r>
          <w:rPr>
            <w:rStyle w:val="InternetLink"/>
            <w:rFonts w:eastAsia="MS Mincho;‚l‚r –¾’©" w:cs="Times New Roman"/>
            <w:color w:val="000000"/>
            <w:sz w:val="24"/>
            <w:szCs w:val="24"/>
          </w:rPr>
          <w:t>lea.hallik@to.ee</w:t>
        </w:r>
      </w:hyperlink>
    </w:p>
    <w:p>
      <w:pPr>
        <w:pStyle w:val="Normal"/>
        <w:spacing w:lineRule="auto" w:line="480"/>
        <w:ind w:left="-720" w:right="-334" w:firstLine="720"/>
        <w:jc w:val="both"/>
        <w:rPr>
          <w:rFonts w:ascii="Times New Roman" w:hAnsi="Times New Roman" w:eastAsia="MS Mincho;‚l‚r –¾’©" w:cs="Times New Roman"/>
          <w:color w:val="000000"/>
          <w:sz w:val="24"/>
          <w:szCs w:val="24"/>
        </w:rPr>
      </w:pPr>
      <w:r>
        <w:rPr>
          <w:rFonts w:eastAsia="MS Mincho;‚l‚r –¾’©" w:cs="Times New Roman"/>
          <w:color w:val="000000"/>
          <w:sz w:val="24"/>
          <w:szCs w:val="24"/>
        </w:rPr>
      </w:r>
    </w:p>
    <w:p>
      <w:pPr>
        <w:pStyle w:val="Normal"/>
        <w:spacing w:lineRule="auto" w:line="480"/>
        <w:ind w:left="-720" w:right="-334" w:firstLine="720"/>
        <w:jc w:val="both"/>
        <w:rPr/>
      </w:pPr>
      <w:r>
        <w:rPr>
          <w:rFonts w:eastAsia="MS Mincho;‚l‚r –¾’©" w:cs="Times New Roman"/>
          <w:color w:val="000000"/>
          <w:sz w:val="24"/>
          <w:szCs w:val="24"/>
        </w:rPr>
        <w:t>Springer Journal – Regional Environmental Change</w:t>
      </w:r>
      <w:r>
        <w:br w:type="page"/>
      </w:r>
    </w:p>
    <w:p>
      <w:pPr>
        <w:pStyle w:val="Normal"/>
        <w:spacing w:lineRule="auto" w:line="480"/>
        <w:ind w:left="-720" w:right="-334" w:firstLine="720"/>
        <w:jc w:val="center"/>
        <w:rPr>
          <w:sz w:val="28"/>
          <w:szCs w:val="28"/>
        </w:rPr>
      </w:pPr>
      <w:r>
        <w:rPr>
          <w:rFonts w:eastAsia="MS Mincho;‚l‚r –¾’©" w:cs="Times New Roman"/>
          <w:color w:val="000000"/>
          <w:sz w:val="28"/>
          <w:szCs w:val="28"/>
        </w:rPr>
        <w:t>152 v</w:t>
      </w:r>
      <w:r>
        <w:rPr>
          <w:rFonts w:eastAsia="MS Mincho;‚l‚r –¾’©" w:cs="Times New Roman"/>
          <w:color w:val="000000"/>
          <w:sz w:val="28"/>
          <w:szCs w:val="28"/>
        </w:rPr>
        <w:t>egetation indices and corresponding references</w:t>
      </w:r>
    </w:p>
    <w:p>
      <w:pPr>
        <w:pStyle w:val="Normal"/>
        <w:spacing w:lineRule="auto" w:line="480"/>
        <w:ind w:left="-720" w:right="-334" w:firstLine="720"/>
        <w:jc w:val="both"/>
        <w:rPr>
          <w:rFonts w:ascii="Times New Roman" w:hAnsi="Times New Roman" w:eastAsia="MS Mincho;‚l‚r –¾’©" w:cs="Times New Roman"/>
          <w:color w:val="000000"/>
          <w:sz w:val="24"/>
          <w:szCs w:val="24"/>
          <w:lang w:val="en-US"/>
        </w:rPr>
      </w:pPr>
      <w:r>
        <w:rPr/>
      </w:r>
    </w:p>
    <w:p>
      <w:pPr>
        <w:pStyle w:val="Normal"/>
        <w:rPr/>
      </w:pPr>
      <w:r>
        <w:rPr/>
        <w:t>Barnes, E., Clarke, T., Richards, S., Colaizzi, P.D., Haberland, J., Kostrzewski, M., Waller, P., Choi, C., Riley, E., Thompson, T., et al. (2000). Coincident Detection of Crop Water Stress, Nitrogen Status and Canopy Density Using Ground-Based Multispectral Data. In Proceedings of the Fifth International Conference on Precision Agriculture, p. [CD Rom].</w:t>
      </w:r>
    </w:p>
    <w:p>
      <w:pPr>
        <w:pStyle w:val="Normal"/>
        <w:rPr/>
      </w:pPr>
      <w:r>
        <w:rPr/>
      </w:r>
    </w:p>
    <w:p>
      <w:pPr>
        <w:pStyle w:val="NormalWeb"/>
        <w:spacing w:before="0" w:after="240"/>
        <w:rPr/>
      </w:pPr>
      <w:r>
        <w:rPr>
          <w:lang w:val="en-US"/>
        </w:rPr>
        <w:t>Blackburn, G.A. (1998). Spectral indices for estimating photosynthetic pigment concentrations: a test using senescent tree leaves. Int. J. Remote Sens. 19, 657–675.</w:t>
      </w:r>
    </w:p>
    <w:p>
      <w:pPr>
        <w:pStyle w:val="NormalWeb"/>
        <w:spacing w:before="0" w:after="240"/>
        <w:rPr/>
      </w:pPr>
      <w:r>
        <w:rPr>
          <w:lang w:val="en-US"/>
        </w:rPr>
        <w:t>Broge, N., and Leblanc, E. (2001). Comparing prediction power and stability of broadband and hyperspectral vegetation indices for estimation of green leaf area index and canopy chlorophyll density. Remote Sens. Environ. 76, 156–172.</w:t>
      </w:r>
    </w:p>
    <w:p>
      <w:pPr>
        <w:pStyle w:val="NormalWeb"/>
        <w:spacing w:before="0" w:after="240"/>
        <w:rPr/>
      </w:pPr>
      <w:r>
        <w:rPr>
          <w:lang w:val="en-US"/>
        </w:rPr>
        <w:t>Buschmann, C., and Nagel, E. (1993). In vivo spectroscopy and internal optics of leaves as basis for remote sensing of vegetation. Int. J. Remote Sens. 14, 711–722.</w:t>
      </w:r>
    </w:p>
    <w:p>
      <w:pPr>
        <w:pStyle w:val="NormalWeb"/>
        <w:spacing w:before="0" w:after="240"/>
        <w:rPr/>
      </w:pPr>
      <w:r>
        <w:rPr>
          <w:lang w:val="en-US"/>
        </w:rPr>
        <w:t>Carter, G.A. (1994). Ratios of leaf reflectances in narrow wavebands as indicators of plant stress. Int. J. Remote Sens. 15, 697–703.</w:t>
      </w:r>
    </w:p>
    <w:p>
      <w:pPr>
        <w:pStyle w:val="NormalWeb"/>
        <w:spacing w:before="0" w:after="240"/>
        <w:rPr/>
      </w:pPr>
      <w:r>
        <w:rPr>
          <w:lang w:val="en-US"/>
        </w:rPr>
        <w:t>Chappelle, E.W., Kim, M.S., and McMurtrey III, J.E. (1992). Ratio analysis of reflectance spectra (RARS): an algorithm for the remote estimation of the concentrations of chlorophyll a, chlorophyll b, and carotenoids in soybean leaves. Remote Sens. Environ. 39, 239–247.</w:t>
      </w:r>
    </w:p>
    <w:p>
      <w:pPr>
        <w:pStyle w:val="NormalWeb"/>
        <w:spacing w:before="0" w:after="240"/>
        <w:rPr/>
      </w:pPr>
      <w:r>
        <w:rPr>
          <w:lang w:val="en-US"/>
        </w:rPr>
        <w:t>Dash, J., and Curran, P.J. (2004). The MERIS terrestrial chlorophyll index. Int. J. Remote Sens. 25, 5403–5413.</w:t>
      </w:r>
    </w:p>
    <w:p>
      <w:pPr>
        <w:pStyle w:val="NormalWeb"/>
        <w:spacing w:before="0" w:after="240"/>
        <w:rPr/>
      </w:pPr>
      <w:r>
        <w:rPr>
          <w:lang w:val="en-US"/>
        </w:rPr>
        <w:t>Datt, B. (1998). Remote Sensing of Chlorophyll a, Chlorophyll b, Chlorophyll a+ b, and Total Carotenoid Content in Eucalyptus Leaves. Remote Sens. Environ. 66, 111–121.</w:t>
      </w:r>
    </w:p>
    <w:p>
      <w:pPr>
        <w:pStyle w:val="NormalWeb"/>
        <w:spacing w:before="0" w:after="240"/>
        <w:rPr/>
      </w:pPr>
      <w:r>
        <w:rPr>
          <w:lang w:val="en-US"/>
        </w:rPr>
        <w:t>Datt, B. (1999). Visible/near infrared reflectance and chlorophyll content in Eucalyptus leaves. Int. J. Remote Sens. 37–41.</w:t>
      </w:r>
    </w:p>
    <w:p>
      <w:pPr>
        <w:pStyle w:val="NormalWeb"/>
        <w:spacing w:before="0" w:after="240"/>
        <w:rPr/>
      </w:pPr>
      <w:r>
        <w:rPr>
          <w:lang w:val="en-US"/>
        </w:rPr>
        <w:t>Daughtry, C. (2000). Estimating Corn Leaf Chlorophyll Concentration from Leaf and Canopy Reflectance. Remote Sens. Environ. 74, 229–239.</w:t>
      </w:r>
    </w:p>
    <w:p>
      <w:pPr>
        <w:pStyle w:val="NormalWeb"/>
        <w:spacing w:before="0" w:after="240"/>
        <w:rPr/>
      </w:pPr>
      <w:r>
        <w:rPr>
          <w:lang w:val="en-US"/>
        </w:rPr>
        <w:t>Féret, J.-B., François, C., Gitelson, A.A., Asner, G.P., Barry, K.M., Panigada, C., Richardson, A.D., and Jacquemoud, S. (2011). Optimizing spectral indices and chemometric analysis of leaf chemical properties using radiative transfer modeling. Remote Sens. Environ. 115, 2742–2750.</w:t>
      </w:r>
    </w:p>
    <w:p>
      <w:pPr>
        <w:pStyle w:val="NormalWeb"/>
        <w:spacing w:before="0" w:after="240"/>
        <w:rPr/>
      </w:pPr>
      <w:r>
        <w:rPr>
          <w:lang w:val="en-US"/>
        </w:rPr>
        <w:t>Gitelson, A.A. (2005). Remote estimation of canopy chlorophyll content in crops. Geophys. Res. Lett. 32, L08403.</w:t>
      </w:r>
    </w:p>
    <w:p>
      <w:pPr>
        <w:pStyle w:val="NormalWeb"/>
        <w:spacing w:before="0" w:after="240"/>
        <w:rPr/>
      </w:pPr>
      <w:r>
        <w:rPr>
          <w:lang w:val="en-US"/>
        </w:rPr>
        <w:t>Gitelson, A.A. (2006). Three-band model for noninvasive estimation of chlorophyll, carotenoids, and anthocyanin contents in higher plant leaves. Geophys. Res. Lett. 33, 1–6.</w:t>
      </w:r>
    </w:p>
    <w:p>
      <w:pPr>
        <w:pStyle w:val="NormalWeb"/>
        <w:spacing w:before="0" w:after="240"/>
        <w:rPr/>
      </w:pPr>
      <w:r>
        <w:rPr>
          <w:lang w:val="en-US"/>
        </w:rPr>
        <w:t>Gitelson, A.A. (2012). Nondestructive Estimation of Foliar Pigment (Chlorophylls, Carotenoids, and Anothocyanins) Contents: Evaluating a Semianalytical Three-Band Model. In Hyperspectral Remote Sensing of Vegetation, J.G. H. Alfredo Thenkabail, Prasad S</w:t>
      </w:r>
      <w:bookmarkStart w:id="0" w:name="_GoBack1"/>
      <w:bookmarkEnd w:id="0"/>
      <w:r>
        <w:rPr>
          <w:lang w:val="en-US"/>
        </w:rPr>
        <w:t>. Lyon, ed. (CRC Press), pp. 141–166.</w:t>
      </w:r>
    </w:p>
    <w:p>
      <w:pPr>
        <w:pStyle w:val="NormalWeb"/>
        <w:spacing w:before="0" w:after="240"/>
        <w:rPr/>
      </w:pPr>
      <w:r>
        <w:rPr>
          <w:lang w:val="en-US"/>
        </w:rPr>
        <w:t>Gitelson, A.A., and Merzlyak, M. (1994). Quantitative estimation of chlorophyll- a using reflectance spectra: Experiments with autumn chestnut and maple leaves. J. Photochem. Photobiol. B Biol. 22, 247–252.</w:t>
      </w:r>
    </w:p>
    <w:p>
      <w:pPr>
        <w:pStyle w:val="NormalWeb"/>
        <w:spacing w:before="0" w:after="240"/>
        <w:rPr/>
      </w:pPr>
      <w:r>
        <w:rPr>
          <w:lang w:val="en-US"/>
        </w:rPr>
        <w:t>Gitelson, A.A., and Merzlyak, M. (1997). Remote estimation of chlorophyll content in higher plant leaves. Int. J. Remote Sens. 18, 2691–2697.</w:t>
      </w:r>
    </w:p>
    <w:p>
      <w:pPr>
        <w:pStyle w:val="NormalWeb"/>
        <w:spacing w:before="0" w:after="240"/>
        <w:rPr/>
      </w:pPr>
      <w:r>
        <w:rPr>
          <w:lang w:val="en-US"/>
        </w:rPr>
        <w:t>Gitelson, A.A., and Merzlyak, M.N. (1996). Signature Analysis of Leaf Reflectance Spectra: Algorithm Development for Remote Sensing of Chlorophyll. J. Plant Physiol. 148, 494–500.</w:t>
      </w:r>
    </w:p>
    <w:p>
      <w:pPr>
        <w:pStyle w:val="NormalWeb"/>
        <w:spacing w:before="0" w:after="240"/>
        <w:rPr/>
      </w:pPr>
      <w:r>
        <w:rPr>
          <w:lang w:val="en-US"/>
        </w:rPr>
        <w:t>Gitelson, A.A., Kaufman, Y.J., and Merzlyak, M.N. (1996). Use of a green channel in remote sensing of global vegetation from EOS-MODIS. Remote Sens. Environ. 58, 289–298.</w:t>
      </w:r>
    </w:p>
    <w:p>
      <w:pPr>
        <w:pStyle w:val="NormalWeb"/>
        <w:spacing w:before="0" w:after="240"/>
        <w:rPr/>
      </w:pPr>
      <w:r>
        <w:rPr>
          <w:lang w:val="en-US"/>
        </w:rPr>
        <w:t>Gitelson, A.A., Kaufman, Y.J., Stark, R., and Rundquist, D. (2002a). Novel algorithms for remote estimation of vegetation fraction. Remote Sens. Environ. 80, 76–87.</w:t>
      </w:r>
    </w:p>
    <w:p>
      <w:pPr>
        <w:pStyle w:val="NormalWeb"/>
        <w:spacing w:before="0" w:after="240"/>
        <w:rPr/>
      </w:pPr>
      <w:r>
        <w:rPr>
          <w:lang w:val="en-US"/>
        </w:rPr>
        <w:t>Gitelson, A.A., Zur, Y., Chivkunova, O.B., and Merzlyak, M.N. (2002b). Assessing Carotenoid Content in Plant Leaves with Reflectance Spectroscopy. Photochem. Photobiol. 75, 272–281.</w:t>
      </w:r>
    </w:p>
    <w:p>
      <w:pPr>
        <w:pStyle w:val="NormalWeb"/>
        <w:spacing w:before="0" w:after="240"/>
        <w:rPr/>
      </w:pPr>
      <w:r>
        <w:rPr>
          <w:lang w:val="en-US"/>
        </w:rPr>
        <w:t>Gitelson, A.A., Gritz, Y., and Merzlyak, M.N. (2003). Relationships between leaf chlorophyll content and spectral reflectance and algorithms for non-destructive chlorophyll assessment in higher plant leaves. J. Plant Physiol. 160, 271–282.</w:t>
      </w:r>
    </w:p>
    <w:p>
      <w:pPr>
        <w:pStyle w:val="NormalWeb"/>
        <w:spacing w:before="0" w:after="240"/>
        <w:rPr/>
      </w:pPr>
      <w:r>
        <w:rPr>
          <w:lang w:val="en-US"/>
        </w:rPr>
        <w:t>Guyot, G., and Baret, F. (1988). Utilisation de la Haute Resolution Spectrale Pour Suivre I’etat des Couverts Vegetaux. In 4th International Colloquium ‘‘spec- Tral Signatures of Objects in Remote Sensing, (Paris: ESA Publication, SP-287), pp. 279–286.</w:t>
      </w:r>
    </w:p>
    <w:p>
      <w:pPr>
        <w:pStyle w:val="NormalWeb"/>
        <w:spacing w:before="0" w:after="240"/>
        <w:rPr/>
      </w:pPr>
      <w:r>
        <w:rPr>
          <w:lang w:val="en-US"/>
        </w:rPr>
        <w:t>Haboudane, D. (2004). Hyperspectral vegetation indices and novel algorithms for predicting green LAI of crop canopies: Modeling and validation in the context of precision agriculture. Remote Sens. Environ. 90, 337–352.</w:t>
      </w:r>
    </w:p>
    <w:p>
      <w:pPr>
        <w:pStyle w:val="NormalWeb"/>
        <w:spacing w:before="0" w:after="240"/>
        <w:rPr/>
      </w:pPr>
      <w:r>
        <w:rPr>
          <w:lang w:val="en-US"/>
        </w:rPr>
        <w:t>Haboudane, D., Miller, J.R., Tremblay, N., Zarco-Tejada, P.J., and Dextraze, L. (2002). Integrated narrow-band vegetation indices for prediction of crop chlorophyll content for application to precision agriculture. Remote Sens. Environ. 81, 416–426.</w:t>
      </w:r>
    </w:p>
    <w:p>
      <w:pPr>
        <w:pStyle w:val="NormalWeb"/>
        <w:spacing w:before="0" w:after="240"/>
        <w:rPr/>
      </w:pPr>
      <w:r>
        <w:rPr>
          <w:lang w:val="en-US"/>
        </w:rPr>
        <w:t>Imanishi, J., Nakayama, A., Suzuki, Y., Imanishi, A., Ueda, N., Morimoto, Y., and Yoneda, M. (2010). Nondestructive determination of leaf chlorophyll content in two flowering cherries using reflectance and absorptance spectra. Landsc. Ecol. Eng. 6, 219–234.</w:t>
      </w:r>
    </w:p>
    <w:p>
      <w:pPr>
        <w:pStyle w:val="NormalWeb"/>
        <w:spacing w:before="0" w:after="240"/>
        <w:rPr/>
      </w:pPr>
      <w:r>
        <w:rPr>
          <w:lang w:val="en-US"/>
        </w:rPr>
        <w:t>Jordan, C.F. (1969). Derivation of leaf area index from quality of light on the forest floor. Ecology 50, 663–666.</w:t>
      </w:r>
    </w:p>
    <w:p>
      <w:pPr>
        <w:pStyle w:val="NormalWeb"/>
        <w:spacing w:before="0" w:after="240"/>
        <w:rPr/>
      </w:pPr>
      <w:r>
        <w:rPr>
          <w:lang w:val="en-US"/>
        </w:rPr>
        <w:t>Kim, M.S., Daughtry, C.S.T., Chappelle, E.W., Mcmurtrey, J.E., and Walthall, C.L. (1994). The use of high spectral resolution bands for estimating absorbed photosynthetically active radiation (A par).</w:t>
      </w:r>
    </w:p>
    <w:p>
      <w:pPr>
        <w:pStyle w:val="NormalWeb"/>
        <w:spacing w:before="0" w:after="240"/>
        <w:rPr/>
      </w:pPr>
      <w:r>
        <w:rPr>
          <w:lang w:val="en-US"/>
        </w:rPr>
        <w:t>Kochubey, S.M., and Kazantsev, T.A. (2007). Changes in the first derivatives of leaf reflectance spectra of various plants induced by variations of chlorophyll content. J. Plant Physiol. 164, 1648–1655.</w:t>
      </w:r>
    </w:p>
    <w:p>
      <w:pPr>
        <w:pStyle w:val="NormalWeb"/>
        <w:spacing w:before="0" w:after="240"/>
        <w:rPr/>
      </w:pPr>
      <w:r>
        <w:rPr>
          <w:lang w:val="en-US"/>
        </w:rPr>
        <w:t>Liu, J.G., and Moore, J.M. (1990). Hue image RGB colour composition. A simple technique to suppress shadow and enhance spectral signature. Int. J. Remote Sens. 11, 1521–1530.</w:t>
      </w:r>
    </w:p>
    <w:p>
      <w:pPr>
        <w:pStyle w:val="NormalWeb"/>
        <w:spacing w:before="0" w:after="240"/>
        <w:rPr/>
      </w:pPr>
      <w:r>
        <w:rPr>
          <w:lang w:val="en-US"/>
        </w:rPr>
        <w:t>Maccioni, A., Agati, G., and Mazzinghi, P. (2001). New vegetation indices for remote measurement of chlorophylls based on leaf directional reflectance spectra. J. Photochem. Photobiol. B. 61, 52–61.</w:t>
      </w:r>
    </w:p>
    <w:p>
      <w:pPr>
        <w:pStyle w:val="NormalWeb"/>
        <w:spacing w:before="0" w:after="240"/>
        <w:rPr/>
      </w:pPr>
      <w:r>
        <w:rPr>
          <w:lang w:val="en-US"/>
        </w:rPr>
        <w:t>Le Maire, G., François, C., and Dufrêne, E. (2004). Towards universal broad leaf chlorophyll indices using PROSPECT simulated database and hyperspectral reflectance measurements. Remote Sens. Environ. 89, 1–28.</w:t>
      </w:r>
    </w:p>
    <w:p>
      <w:pPr>
        <w:pStyle w:val="NormalWeb"/>
        <w:spacing w:before="0" w:after="240"/>
        <w:rPr/>
      </w:pPr>
      <w:r>
        <w:rPr>
          <w:lang w:val="en-US"/>
        </w:rPr>
        <w:t>Le Maire, G., Francois, C., Soudani, K., Berveiller, D., Pontailler, J., Breda, N., Genet, H., Davi, H., and Dufrene, E. (2008). Calibration and validation of hyperspectral indices for the estimation of broadleaved forest leaf chlorophyll content, leaf mass per area, leaf area index and leaf canopy biomass. Remote Sens. Environ. 112, 3846–3864.</w:t>
      </w:r>
    </w:p>
    <w:p>
      <w:pPr>
        <w:pStyle w:val="NormalWeb"/>
        <w:spacing w:before="0" w:after="240"/>
        <w:rPr/>
      </w:pPr>
      <w:r>
        <w:rPr>
          <w:lang w:val="en-US"/>
        </w:rPr>
        <w:t>McMurtrey, J., Chappelle, E., Kim, M., Meisinger, J., and Corp, L. (1994). Distinguishing nitrogen fertilization levels in field corn (Zea mays  L.) with actively induced fluorescence and passive reflectance measurements. Remote Sens. Environ. 47, 36–44.</w:t>
      </w:r>
    </w:p>
    <w:p>
      <w:pPr>
        <w:pStyle w:val="NormalWeb"/>
        <w:spacing w:before="0" w:after="240"/>
        <w:rPr/>
      </w:pPr>
      <w:r>
        <w:rPr>
          <w:lang w:val="en-US"/>
        </w:rPr>
        <w:t>Merzlyak, M.N., Gitelson, A.A., Chivkunova, O.B., and Rakitin, V.Y. (1999). Non-destructive optical detection of pigment changes during leaf senescence and fruit ripening. Physiol. Plant. 106, 135–141.</w:t>
      </w:r>
    </w:p>
    <w:p>
      <w:pPr>
        <w:pStyle w:val="NormalWeb"/>
        <w:spacing w:before="0" w:after="240"/>
        <w:rPr/>
      </w:pPr>
      <w:r>
        <w:rPr>
          <w:lang w:val="en-US"/>
        </w:rPr>
        <w:t>Merzlyak, M.N., Solovchenko, A.E., and Gitelson, A.A. (2003). Reflectance spectral features and non-destructive estimation of chlorophyll, carotenoid and anthocyanin content in apple fruit. Postharvest Biol. Technol. 27, 197–211.</w:t>
      </w:r>
    </w:p>
    <w:p>
      <w:pPr>
        <w:pStyle w:val="NormalWeb"/>
        <w:spacing w:before="0" w:after="240"/>
        <w:rPr/>
      </w:pPr>
      <w:r>
        <w:rPr>
          <w:lang w:val="en-US"/>
        </w:rPr>
        <w:t>Metternicht, G. (2003). Vegetation indices derived from high-resolution airborne videography for precision crop management. Int. J. Remote Sens. 24, 2855–2877.</w:t>
      </w:r>
    </w:p>
    <w:p>
      <w:pPr>
        <w:pStyle w:val="NormalWeb"/>
        <w:spacing w:before="0" w:after="240"/>
        <w:rPr/>
      </w:pPr>
      <w:r>
        <w:rPr>
          <w:lang w:val="en-US"/>
        </w:rPr>
        <w:t>Mutanga, O., and Skidmore,  a. K. (2004). Narrow band vegetation indices overcome the saturation problem in biomass estimation. Int. J. Remote Sens. 25, 3999–4014.</w:t>
      </w:r>
    </w:p>
    <w:p>
      <w:pPr>
        <w:pStyle w:val="NormalWeb"/>
        <w:spacing w:before="0" w:after="240"/>
        <w:rPr/>
      </w:pPr>
      <w:r>
        <w:rPr>
          <w:lang w:val="en-US"/>
        </w:rPr>
        <w:t>Nicotra, A.B., Hofmann, M., Siebke, K., and Ball, M.C. (2003). Spatial patterning of pigmentation in evergreen leaves in response to freezing stress. Plant Cell Environ. 26, 1893–1904.</w:t>
      </w:r>
    </w:p>
    <w:p>
      <w:pPr>
        <w:pStyle w:val="NormalWeb"/>
        <w:spacing w:before="0" w:after="240"/>
        <w:rPr/>
      </w:pPr>
      <w:r>
        <w:rPr>
          <w:lang w:val="en-US"/>
        </w:rPr>
        <w:t>Peñuelas, J., Gamon, J.A., Fredeen, A.L., Merino, J., and Field, C.B. (1994). Reflectance indices associated with physiological changes in Nitrogen- and Water-limited sunflower leaves. Remote Sens. Environ. 48, 135–146.</w:t>
      </w:r>
    </w:p>
    <w:p>
      <w:pPr>
        <w:pStyle w:val="NormalWeb"/>
        <w:spacing w:before="0" w:after="240"/>
        <w:rPr/>
      </w:pPr>
      <w:r>
        <w:rPr>
          <w:lang w:val="en-US"/>
        </w:rPr>
        <w:t>Peñuelas, J., Filella, I., Lloret, P., Munoz, F., and Vilajeliu, M. (1995a). Reflectance assessment of mite effects on apple trees. Int. J. Remote Sens. 16, 2727–2733.</w:t>
      </w:r>
    </w:p>
    <w:p>
      <w:pPr>
        <w:pStyle w:val="NormalWeb"/>
        <w:spacing w:before="0" w:after="240"/>
        <w:rPr/>
      </w:pPr>
      <w:r>
        <w:rPr>
          <w:lang w:val="en-US"/>
        </w:rPr>
        <w:t>Peñuelas, J., Baret, F., and Filella, I. (1995b). Semiempirical Indexes to Assess Carotenoids Chlorophyll-a Ratio from Leaf Spectral Reflectance. Photosynthetica 31, 221–230.</w:t>
      </w:r>
    </w:p>
    <w:p>
      <w:pPr>
        <w:pStyle w:val="NormalWeb"/>
        <w:spacing w:before="0" w:after="240"/>
        <w:rPr/>
      </w:pPr>
      <w:r>
        <w:rPr>
          <w:lang w:val="en-US"/>
        </w:rPr>
        <w:t>Richardson, A.D., Duigan, S.P., and Berlyn, G.P. (2002). An evaluation of noninvasive methods to estimate foliar chlorophyll content. New Phytol. 153, 185–194.</w:t>
      </w:r>
    </w:p>
    <w:p>
      <w:pPr>
        <w:pStyle w:val="NormalWeb"/>
        <w:spacing w:before="0" w:after="240"/>
        <w:rPr/>
      </w:pPr>
      <w:r>
        <w:rPr>
          <w:lang w:val="en-US"/>
        </w:rPr>
        <w:t>Rouse, J.W., and Haas, R.H. (1974). Monitoring vegetation systems in the Great Plains with ERTS. NASA Spec. Publ.</w:t>
      </w:r>
    </w:p>
    <w:p>
      <w:pPr>
        <w:pStyle w:val="NormalWeb"/>
        <w:spacing w:before="0" w:after="240"/>
        <w:rPr/>
      </w:pPr>
      <w:r>
        <w:rPr>
          <w:lang w:val="en-US"/>
        </w:rPr>
        <w:t>Siebke, K., and Ball, M.C. (2009). Non-destructive measurement of chlorophyll b:a ratios and identification of photosynthetic pathways in grasses by reflectance spectroscopy. Funct. Plant Biol. 36, 857–866.</w:t>
      </w:r>
    </w:p>
    <w:p>
      <w:pPr>
        <w:pStyle w:val="NormalWeb"/>
        <w:spacing w:before="0" w:after="240"/>
        <w:rPr/>
      </w:pPr>
      <w:r>
        <w:rPr>
          <w:lang w:val="en-US"/>
        </w:rPr>
        <w:t>Sims, D. a, and Gamon, J. a (2002). Relationships between leaf pigment content and spectral reflectance across a wide range of species, leaf structures and developmental stages. Remote Sens. Environ. 81, 337–354.</w:t>
      </w:r>
    </w:p>
    <w:p>
      <w:pPr>
        <w:pStyle w:val="NormalWeb"/>
        <w:spacing w:before="0" w:after="240"/>
        <w:rPr/>
      </w:pPr>
      <w:r>
        <w:rPr>
          <w:lang w:val="en-US"/>
        </w:rPr>
        <w:t>Thenkabail, P.S., Smith, R.B., and De Pauw, E. (2000). Hyperspectral vegetation indices and their relationships with agricultural crop characteristics. Remote Sens. Environ. 71, 158–182.</w:t>
      </w:r>
    </w:p>
    <w:p>
      <w:pPr>
        <w:pStyle w:val="NormalWeb"/>
        <w:spacing w:before="0" w:after="240"/>
        <w:rPr/>
      </w:pPr>
      <w:r>
        <w:rPr>
          <w:lang w:val="en-US"/>
        </w:rPr>
        <w:t>Thenkabail, P.S., Mariotto, I., Gumma, M.K., Middleton, E.M., Landis, D.R., and Huemmrich, K.F. (2013). Selection of Hyperspectral Narrowbands (HNBs) and Composition of Hyperspectral Twoband Vegetation Indices (HVIs) for Biophysical Characterization and Discrimination of Crop Types Using Field Reflectance and Hyperion/EO-1 Data. IEEE J. Sel. Top. Appl. Earth Obs. Remote Sens. 6, 427–439.</w:t>
      </w:r>
    </w:p>
    <w:p>
      <w:pPr>
        <w:pStyle w:val="NormalWeb"/>
        <w:spacing w:before="0" w:after="240"/>
        <w:rPr/>
      </w:pPr>
      <w:r>
        <w:rPr>
          <w:lang w:val="en-US"/>
        </w:rPr>
        <w:t>Underwood, E. (2003). Mapping nonnative plants using hyperspectral imagery. Remote Sens. Environ. 86, 150–161.</w:t>
      </w:r>
    </w:p>
    <w:p>
      <w:pPr>
        <w:pStyle w:val="NormalWeb"/>
        <w:spacing w:before="0" w:after="240"/>
        <w:rPr/>
      </w:pPr>
      <w:r>
        <w:rPr>
          <w:lang w:val="en-US"/>
        </w:rPr>
        <w:t>Vogelmann, J., Rock, B., and Moss, D. (1993). Red edge spectral measurements from sugar maple leaves. TitleREMOTE Sens. 37–41.</w:t>
      </w:r>
    </w:p>
    <w:p>
      <w:pPr>
        <w:pStyle w:val="NormalWeb"/>
        <w:spacing w:before="0" w:after="240"/>
        <w:rPr/>
      </w:pPr>
      <w:r>
        <w:rPr>
          <w:lang w:val="en-US"/>
        </w:rPr>
        <w:t>Wu, C., Niu, Z., Tang, Q., and Huang, W. (2008). Estimating chlorophyll content from hyperspectral vegetation indices: Modeling and validation. Agric. For. Meteorol. 148, 1230–1241.</w:t>
      </w:r>
    </w:p>
    <w:p>
      <w:pPr>
        <w:pStyle w:val="NormalWeb"/>
        <w:spacing w:before="0" w:after="240"/>
        <w:rPr/>
      </w:pPr>
      <w:r>
        <w:rPr>
          <w:lang w:val="en-US"/>
        </w:rPr>
        <w:t>Wu, C., Niu, Z., Tang, Q., Huang, W., Rivard, B., and Feng, J. (2009). Remote estimation of gross primary production in wheat using chlorophyll-related vegetation indices. Agric. For. Meteorol. 149, 1015–1021.</w:t>
      </w:r>
    </w:p>
    <w:p>
      <w:pPr>
        <w:pStyle w:val="NormalWeb"/>
        <w:spacing w:before="0" w:after="240"/>
        <w:rPr/>
      </w:pPr>
      <w:r>
        <w:rPr>
          <w:lang w:val="en-US"/>
        </w:rPr>
        <w:t>Zarco-Tejada, P.J., and Miller, J.R. (1999). Land cover mapping at BOREAS using red edge spectral parameters from CASI imagery. J. Geophys. Res. 104, 27921.</w:t>
      </w:r>
    </w:p>
    <w:p>
      <w:pPr>
        <w:pStyle w:val="NormalWeb"/>
        <w:spacing w:before="0" w:after="240"/>
        <w:rPr/>
      </w:pPr>
      <w:r>
        <w:rPr>
          <w:lang w:val="en-US"/>
        </w:rPr>
        <w:t>Zarco-Tejada, P., Berjon, A., Lopez-Lozano, R., Miller, J., Martin, P., Cachorro, V., Gonzalez, M., and de Frutos, A. (2005). Assessing vineyard condition with hyperspectral indices: Leaf and canopy reflectance simulation in a row-structured discontinuous canopy. Remote Sens. Environ. 99, 271–287.</w:t>
      </w:r>
    </w:p>
    <w:p>
      <w:pPr>
        <w:pStyle w:val="NormalWeb"/>
        <w:spacing w:before="0" w:after="240"/>
        <w:rPr/>
      </w:pPr>
      <w:r>
        <w:rPr>
          <w:lang w:val="en-US"/>
        </w:rPr>
        <w:t>Zarco-Tejada, P., Pushnik, J., Dobrowski, S., and Ustin, S. (2003). Steady-state chlorophyll a fluorescence detection from canopy derivative reflectance and double-peak red-edge effects. Remote Sens. Environ. 84, 283–294.</w:t>
      </w:r>
    </w:p>
    <w:p>
      <w:pPr>
        <w:pStyle w:val="NormalWeb"/>
        <w:spacing w:before="0" w:after="240"/>
        <w:rPr/>
      </w:pPr>
      <w:r>
        <w:rPr>
          <w:lang w:val="en-US"/>
        </w:rPr>
        <w:t>Zarco-Tejada, P.J., Miller, J.R., Noland, T.L., Mohammed, G.H., and Sampson, P.H. (2001). Scaling-up and model inversion methods with narrowband optical indices for chlorophyll content estimation in closed forest canopies with hyperspectral data. IEEE Trans. Geosci. Remote Sens. 39, 1491–1507.</w:t>
      </w:r>
    </w:p>
    <w:p>
      <w:pPr>
        <w:pStyle w:val="NormalWeb"/>
        <w:spacing w:lineRule="auto" w:line="480" w:before="280" w:after="280"/>
        <w:ind w:left="-720" w:right="-334" w:firstLine="720"/>
        <w:jc w:val="both"/>
        <w:rPr>
          <w:rFonts w:ascii="Times New Roman" w:hAnsi="Times New Roman" w:eastAsia="MS Mincho;‚l‚r –¾’©" w:cs="Times New Roman"/>
          <w:color w:val="000000"/>
          <w:sz w:val="24"/>
          <w:szCs w:val="24"/>
        </w:rPr>
      </w:pPr>
      <w:r>
        <w:rPr/>
      </w:r>
    </w:p>
    <w:tbl>
      <w:tblPr>
        <w:tblW w:w="10412" w:type="dxa"/>
        <w:jc w:val="left"/>
        <w:tblInd w:w="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88" w:type="dxa"/>
          <w:bottom w:w="0" w:type="dxa"/>
          <w:right w:w="108" w:type="dxa"/>
        </w:tblCellMar>
      </w:tblPr>
      <w:tblGrid>
        <w:gridCol w:w="899"/>
        <w:gridCol w:w="2266"/>
        <w:gridCol w:w="3420"/>
        <w:gridCol w:w="3826"/>
      </w:tblGrid>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b/>
                <w:b/>
                <w:bCs/>
                <w:sz w:val="16"/>
                <w:szCs w:val="16"/>
              </w:rPr>
            </w:pPr>
            <w:r>
              <w:rPr>
                <w:rFonts w:cs="Arial" w:ascii="Arial" w:hAnsi="Arial"/>
                <w:b/>
                <w:bCs/>
                <w:sz w:val="16"/>
                <w:szCs w:val="16"/>
              </w:rPr>
              <w:t>target</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b/>
                <w:b/>
                <w:bCs/>
                <w:sz w:val="16"/>
                <w:szCs w:val="16"/>
              </w:rPr>
            </w:pPr>
            <w:r>
              <w:rPr>
                <w:rFonts w:cs="Arial" w:ascii="Arial" w:hAnsi="Arial"/>
                <w:b/>
                <w:bCs/>
                <w:sz w:val="16"/>
                <w:szCs w:val="16"/>
              </w:rPr>
              <w:t>name</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b/>
                <w:b/>
                <w:bCs/>
                <w:sz w:val="16"/>
                <w:szCs w:val="16"/>
              </w:rPr>
            </w:pPr>
            <w:r>
              <w:rPr>
                <w:rFonts w:cs="Arial" w:ascii="Arial" w:hAnsi="Arial"/>
                <w:b/>
                <w:bCs/>
                <w:sz w:val="16"/>
                <w:szCs w:val="16"/>
              </w:rPr>
              <w:t>link</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b/>
                <w:b/>
                <w:bCs/>
                <w:sz w:val="16"/>
                <w:szCs w:val="16"/>
              </w:rPr>
            </w:pPr>
            <w:r>
              <w:rPr>
                <w:rFonts w:cs="Arial" w:ascii="Arial" w:hAnsi="Arial"/>
                <w:b/>
                <w:bCs/>
                <w:sz w:val="16"/>
                <w:szCs w:val="16"/>
              </w:rPr>
              <w:t>formula</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mNDVI8</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Mutanga &amp; Skidmore, 2004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(R755-R730)/(R755+R730)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mNDVI1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Mutanga &amp; Skidmore, 2004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(R755-R745)/(R755+R745)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NDRE</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Barnes &amp; Clarke, 2000; Guyot &amp; Baret, 1988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(R790-R720)/(R790+R720)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Thenkabail et al., 2013; Thenkabail, Smith, &amp; Pauw, 2000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(R855-R720)/(R855+R720)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ND 780, 712</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Féret et al., 2011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(R780-R712)/(R780+R712)</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IR 708, 775</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Féret et al., 2011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R708/R775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lang w:val="en-US"/>
              </w:rPr>
              <w:t xml:space="preserve">after </w:t>
            </w:r>
            <w:r>
              <w:rPr>
                <w:rFonts w:cs="Arial" w:ascii="Arial" w:hAnsi="Arial"/>
                <w:sz w:val="16"/>
                <w:szCs w:val="16"/>
              </w:rPr>
              <w:t>Vogelmann, Rock, &amp; Moss, 1993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(R734-R747)/(R715+R726)</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lang w:val="en-US"/>
              </w:rPr>
              <w:t xml:space="preserve">after </w:t>
            </w:r>
            <w:r>
              <w:rPr>
                <w:rFonts w:cs="Arial" w:ascii="Arial" w:hAnsi="Arial"/>
                <w:sz w:val="16"/>
                <w:szCs w:val="16"/>
              </w:rPr>
              <w:t>Vogelmann et al., 1993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R740/R720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DD (Double Difference Index)</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lang w:val="en-US"/>
              </w:rPr>
              <w:t>L</w:t>
            </w:r>
            <w:r>
              <w:rPr>
                <w:rFonts w:cs="Arial" w:ascii="Arial" w:hAnsi="Arial"/>
                <w:sz w:val="16"/>
                <w:szCs w:val="16"/>
              </w:rPr>
              <w:t>e Maire, François, &amp; Dufrêne, 2004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(R749-R720)-(R701-672)</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(R885-R705)/(R725-R705)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Gritz, &amp; Merzlyak,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 xml:space="preserve">(R750-800/R695-740) - 1 </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Datt, 1999</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(R850-R710)/(R850-R680)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NDVI[705,750]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&amp; Merzlyak, 1994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(R750-R705)/(R750+R705)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Le Maire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(R935-R715)/(R935+R715+2R405)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Le Maire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2R710-R660-R760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Maccioni, Agati, &amp; Mazzinghi, 2001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(R780-R710)/(R780-R680)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MSR[705, 750]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Wu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705, 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R830/R735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Le Maire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(R935-R705)/(R935+R705)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NDVIhyper</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Kaufman, &amp; Merzlyak, 1996</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(R780-R550)/(R780+R550)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CI red edge</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2005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(R750/R710)-1</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Zarco-Tejada &amp; Miller, 1999</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R750/R710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CI (coloration)</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L</w:t>
            </w:r>
            <w:r>
              <w:rPr>
                <w:rFonts w:cs="Arial" w:ascii="Arial" w:hAnsi="Arial"/>
                <w:sz w:val="16"/>
                <w:szCs w:val="16"/>
                <w:lang w:val="en-US"/>
              </w:rPr>
              <w:t>iu</w:t>
            </w:r>
            <w:r>
              <w:rPr>
                <w:rFonts w:cs="Arial" w:ascii="Arial" w:hAnsi="Arial"/>
                <w:sz w:val="16"/>
                <w:szCs w:val="16"/>
              </w:rPr>
              <w:t xml:space="preserve"> &amp; M</w:t>
            </w:r>
            <w:r>
              <w:rPr>
                <w:rFonts w:cs="Arial" w:ascii="Arial" w:hAnsi="Arial"/>
                <w:sz w:val="16"/>
                <w:szCs w:val="16"/>
                <w:lang w:val="en-US"/>
              </w:rPr>
              <w:t>oore</w:t>
            </w:r>
            <w:r>
              <w:rPr>
                <w:rFonts w:cs="Arial" w:ascii="Arial" w:hAnsi="Arial"/>
                <w:sz w:val="16"/>
                <w:szCs w:val="16"/>
              </w:rPr>
              <w:t>, 1990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(R800-R550)/R800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 red edge</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2006</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(R760/R708)-1</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 green</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2006</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(R760/R550)-1</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MCARI710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Wu et al., 2009</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550, 710, 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&amp; Merzlyak, 1997</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R750/R550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SR705</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Sims &amp; Gamon,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R750/R705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Buschmann &amp; Nagel, 1993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R800/R550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et al.,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(R800/R550)-1</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&amp; Merzlyak, 1997</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R750/R700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 xml:space="preserve"> </w:t>
            </w:r>
            <w:r>
              <w:rPr>
                <w:rFonts w:cs="Arial" w:ascii="Arial" w:hAnsi="Arial"/>
                <w:sz w:val="16"/>
                <w:szCs w:val="16"/>
              </w:rPr>
              <w:t>Merzlyak, Solovchenko, &amp; Gitelson,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R800/R700-1</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MCARI/OSAVI [705/750]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Wu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550, 705, 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MCARI [705, 750]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Wu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550, 705, 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TCARI/OSAVI[670, 800]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Wu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550, 670, 700, 800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TCARI/OSAVI[705,750]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Wu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550, 705, 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(R555-R755)/R560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Maccioni et al., 2001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R542/R750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TCARI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Haboudane</w:t>
            </w:r>
            <w:r>
              <w:rPr>
                <w:rFonts w:cs="Arial" w:ascii="Arial" w:hAnsi="Arial"/>
                <w:sz w:val="16"/>
                <w:szCs w:val="16"/>
                <w:lang w:val="en-US"/>
              </w:rPr>
              <w:t xml:space="preserve"> et al.</w:t>
            </w:r>
            <w:r>
              <w:rPr>
                <w:rFonts w:cs="Arial" w:ascii="Arial" w:hAnsi="Arial"/>
                <w:sz w:val="16"/>
                <w:szCs w:val="16"/>
              </w:rPr>
              <w:t>,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700, 670, 550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MTCI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Dash &amp; Curran, 2004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(R754-R709)/(R709-R681)</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Vogelmann et al., 1993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D715/D705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mND705</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Sims &amp; Gamon,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(R750-R705)/(R750+R705-2R445)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Datt, 1999</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D754/D704</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PPR</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Metternicht,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(R550-R450)/(R550+R450)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Kochubey &amp; Kazantsev, 2007</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D725/D702</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Carter, 1994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R695/R760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mSR705</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Sims &amp; Gamon,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(R750-R445)/(R705-R445)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lang w:val="en-US"/>
              </w:rPr>
            </w:pPr>
            <w:r>
              <w:rPr>
                <w:rFonts w:cs="Arial" w:ascii="Arial" w:hAnsi="Arial"/>
                <w:sz w:val="16"/>
                <w:szCs w:val="16"/>
                <w:lang w:val="en-US"/>
              </w:rPr>
              <w:t>Kochubey &amp; Kazantsev, 2007</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D715/D702</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Datt,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R672/(R550xR708)</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Le Maire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R980-R720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Datt,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R860/(R550xR708)</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Merzlyak et al.,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R800/R640-1</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CARI (Chlorophyll Absorption Ratio Index)</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lang w:val="en-US"/>
              </w:rPr>
            </w:pPr>
            <w:r>
              <w:rPr>
                <w:rFonts w:cs="Arial" w:ascii="Arial" w:hAnsi="Arial"/>
                <w:sz w:val="16"/>
                <w:szCs w:val="16"/>
              </w:rPr>
              <w:t>Kim</w:t>
            </w:r>
            <w:r>
              <w:rPr>
                <w:rFonts w:cs="Arial" w:ascii="Arial" w:hAnsi="Arial"/>
                <w:sz w:val="16"/>
                <w:szCs w:val="16"/>
                <w:lang w:val="en-US"/>
              </w:rPr>
              <w:t xml:space="preserve"> et al., 1994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550, 670, 700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Carter, 1994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R695/R420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&amp; Merzlyak, 1997</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R752/R690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Le Maire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(R970-R405)/(R715-R405)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MCARI/OSAVI [670, 800]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Wu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550, 670, 700, 800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Le Maire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R970/R710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Z</w:t>
            </w:r>
            <w:r>
              <w:rPr>
                <w:rFonts w:cs="Arial" w:ascii="Arial" w:hAnsi="Arial"/>
                <w:sz w:val="16"/>
                <w:szCs w:val="16"/>
                <w:lang w:val="en-US"/>
              </w:rPr>
              <w:t>arco-</w:t>
            </w:r>
            <w:r>
              <w:rPr>
                <w:rFonts w:cs="Arial" w:ascii="Arial" w:hAnsi="Arial"/>
                <w:sz w:val="16"/>
                <w:szCs w:val="16"/>
              </w:rPr>
              <w:t>T</w:t>
            </w:r>
            <w:r>
              <w:rPr>
                <w:rFonts w:cs="Arial" w:ascii="Arial" w:hAnsi="Arial"/>
                <w:sz w:val="16"/>
                <w:szCs w:val="16"/>
                <w:lang w:val="en-US"/>
              </w:rPr>
              <w:t>ejada</w:t>
            </w:r>
            <w:r>
              <w:rPr>
                <w:rFonts w:cs="Arial" w:ascii="Arial" w:hAnsi="Arial"/>
                <w:sz w:val="16"/>
                <w:szCs w:val="16"/>
              </w:rPr>
              <w:t xml:space="preserve"> et al., 2005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R554/R677</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MCARI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Daughtry, 2000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550, 670, 700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REP LI (REP linear interpolation)</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lang w:val="en-US"/>
              </w:rPr>
            </w:pPr>
            <w:r>
              <w:rPr>
                <w:rFonts w:cs="Arial" w:ascii="Arial" w:hAnsi="Arial"/>
                <w:sz w:val="16"/>
                <w:szCs w:val="16"/>
                <w:lang w:val="en-US"/>
              </w:rPr>
              <w:t>after Guyot &amp; Baret, 1988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670 780 740 700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VI700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 xml:space="preserve">Gitelson, </w:t>
            </w:r>
            <w:r>
              <w:rPr>
                <w:rFonts w:cs="Arial" w:ascii="Arial" w:hAnsi="Arial"/>
                <w:sz w:val="16"/>
                <w:szCs w:val="16"/>
                <w:lang w:val="en-US"/>
              </w:rPr>
              <w:t>et al.,</w:t>
            </w:r>
            <w:r>
              <w:rPr>
                <w:rFonts w:cs="Arial" w:ascii="Arial" w:hAnsi="Arial"/>
                <w:sz w:val="16"/>
                <w:szCs w:val="16"/>
              </w:rPr>
              <w:t xml:space="preserve">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(R700-R670)/(R700+R670)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lang w:val="en-US"/>
              </w:rPr>
            </w:pPr>
            <w:r>
              <w:rPr>
                <w:rFonts w:cs="Arial" w:ascii="Arial" w:hAnsi="Arial"/>
                <w:sz w:val="16"/>
                <w:szCs w:val="16"/>
                <w:lang w:val="en-US"/>
              </w:rPr>
              <w:t>after McMurtrey, et al., 1994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R700/R670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OSAVI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Haboudane, 2004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670, 800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DVI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Jordan, 1969</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R800-R670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Underwood,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R683/R510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CUR (curvature)</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Zarco-Tejada</w:t>
            </w:r>
            <w:r>
              <w:rPr>
                <w:rFonts w:cs="Arial" w:ascii="Arial" w:hAnsi="Arial"/>
                <w:sz w:val="16"/>
                <w:szCs w:val="16"/>
                <w:lang w:val="en-US"/>
              </w:rPr>
              <w:t xml:space="preserve"> et al., </w:t>
            </w:r>
            <w:r>
              <w:rPr>
                <w:rFonts w:cs="Arial" w:ascii="Arial" w:hAnsi="Arial"/>
                <w:sz w:val="16"/>
                <w:szCs w:val="16"/>
              </w:rPr>
              <w:t>2001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(R675*R690)/R683</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MSR</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Wu et al., 2008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800, 670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SR680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Sims &amp; Gamon,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R800/R680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NDVI[670,800]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Rouse and Haas, 1974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(R800-R670)/(R800+R670)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Merzlyak et al.,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(R800/R678)-1</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ND680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Sims &amp; Gamon,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(R800-R680)/(R800+R680)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Jordan, 1969</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R800/R675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NPCI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Peñuelas, Gamon, &amp; Fredeen, 1994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(R680-R430)/(R680+R430)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BI (brightness)</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L</w:t>
            </w:r>
            <w:r>
              <w:rPr>
                <w:rFonts w:cs="Arial" w:ascii="Arial" w:hAnsi="Arial"/>
                <w:sz w:val="16"/>
                <w:szCs w:val="16"/>
                <w:lang w:val="en-US"/>
              </w:rPr>
              <w:t>iu</w:t>
            </w:r>
            <w:r>
              <w:rPr>
                <w:rFonts w:cs="Arial" w:ascii="Arial" w:hAnsi="Arial"/>
                <w:sz w:val="16"/>
                <w:szCs w:val="16"/>
              </w:rPr>
              <w:t xml:space="preserve"> &amp; M</w:t>
            </w:r>
            <w:r>
              <w:rPr>
                <w:rFonts w:cs="Arial" w:ascii="Arial" w:hAnsi="Arial"/>
                <w:sz w:val="16"/>
                <w:szCs w:val="16"/>
                <w:lang w:val="en-US"/>
              </w:rPr>
              <w:t>oore</w:t>
            </w:r>
            <w:r>
              <w:rPr>
                <w:rFonts w:cs="Arial" w:ascii="Arial" w:hAnsi="Arial"/>
                <w:sz w:val="16"/>
                <w:szCs w:val="16"/>
              </w:rPr>
              <w:t>, 1990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(R800+R700+R550)/sqrt(3)</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mNDVI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lang w:val="en-US"/>
              </w:rPr>
              <w:t>after</w:t>
            </w:r>
            <w:r>
              <w:rPr>
                <w:rFonts w:cs="Arial" w:ascii="Arial" w:hAnsi="Arial"/>
                <w:sz w:val="16"/>
                <w:szCs w:val="16"/>
              </w:rPr>
              <w:t xml:space="preserve"> </w:t>
            </w:r>
            <w:r>
              <w:rPr>
                <w:rFonts w:cs="Arial" w:ascii="Arial" w:hAnsi="Arial"/>
                <w:sz w:val="16"/>
                <w:szCs w:val="16"/>
                <w:lang w:val="en-US"/>
              </w:rPr>
              <w:t>Sims</w:t>
            </w:r>
            <w:r>
              <w:rPr>
                <w:rFonts w:cs="Arial" w:ascii="Arial" w:hAnsi="Arial"/>
                <w:sz w:val="16"/>
                <w:szCs w:val="16"/>
              </w:rPr>
              <w:t xml:space="preserve"> &amp; </w:t>
            </w:r>
            <w:r>
              <w:rPr>
                <w:rFonts w:cs="Arial" w:ascii="Arial" w:hAnsi="Arial"/>
                <w:sz w:val="16"/>
                <w:szCs w:val="16"/>
                <w:lang w:val="en-US"/>
              </w:rPr>
              <w:t>Gamon</w:t>
            </w:r>
            <w:r>
              <w:rPr>
                <w:rFonts w:cs="Arial" w:ascii="Arial" w:hAnsi="Arial"/>
                <w:sz w:val="16"/>
                <w:szCs w:val="16"/>
              </w:rPr>
              <w:t>,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(R800-R680)/(R800+R680+2R445)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Rre</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Guyot &amp; Baret, 1988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(R670+R780)/2</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mSR</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lang w:val="en-US"/>
              </w:rPr>
            </w:pPr>
            <w:r>
              <w:rPr>
                <w:rFonts w:cs="Arial" w:ascii="Arial" w:hAnsi="Arial"/>
                <w:sz w:val="16"/>
                <w:szCs w:val="16"/>
                <w:lang w:val="en-US"/>
              </w:rPr>
              <w:t>after Sims &amp; Gamon,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(R800-R445)/(R680-R445)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DPI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Zarco-Tejada</w:t>
            </w:r>
            <w:r>
              <w:rPr>
                <w:rFonts w:cs="Arial" w:ascii="Arial" w:hAnsi="Arial"/>
                <w:sz w:val="16"/>
                <w:szCs w:val="16"/>
                <w:lang w:val="en-US"/>
              </w:rPr>
              <w:t xml:space="preserve"> et al.,</w:t>
            </w:r>
            <w:r>
              <w:rPr>
                <w:rFonts w:cs="Arial" w:ascii="Arial" w:hAnsi="Arial"/>
                <w:sz w:val="16"/>
                <w:szCs w:val="16"/>
              </w:rPr>
              <w:t xml:space="preserve">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(D688*D710)/D697^2</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NPQI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Penuelas &amp; Filella, 1995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(R415-R435)/(R415+R435)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TVI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Broge &amp; Leblanc, 2001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550, 670, 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MCARI1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Haboudane, 2004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800, 670, 550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MCARI2</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Haboudane, 2004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800 670 550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R770/R740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(R760-R720)/(R725-R720)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Datt, 1999</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(R850-R710)/(R850-R680)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chlNDI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&amp; Merzlyak, 1994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(R750-R705)/(R750+R705)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&amp; Merzlyak, 1994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R750/R705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&amp; Merzlyak, 1994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R750/R555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&amp; Merzlyak, 1996</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R750/R700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lang w:val="en-US"/>
              </w:rPr>
            </w:pPr>
            <w:r>
              <w:rPr>
                <w:rFonts w:cs="Arial" w:ascii="Arial" w:hAnsi="Arial"/>
                <w:sz w:val="16"/>
                <w:szCs w:val="16"/>
                <w:lang w:val="en-US"/>
              </w:rPr>
              <w:t>Gitelson &amp; Merzlyak, 1996</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R750/R550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R645-R615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Maccioni et al., 2001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R706/R750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(R555-R755)/R565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Datt, 1999</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D754/D704</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Datt,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R672/(R550xR708)</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Datt,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R860/(R550xR708)</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Chappelle, McMurtrey, 1992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R675/R700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PSNDa1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(R800-R680)/(R800+R680)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PSNDa2</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(R800-R675)/(R800+R675)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PSSRa1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R800/R680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PSSRa2</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R800/R675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Chla</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NPCI (Normalised Pigment chlorophyll Index)</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Peñuelas et al., 1994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(R680-R430)/(R680+R430)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R810/R730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Maccioni et al., 2001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R556/R750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(R455-R745)/R590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PSNDb1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(R800-R635)/(R800+R635)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(R855-R735)/(R855+R735)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PSSRb1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R800/R635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(R575-R565)/R845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Chappelle et al., 1992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R675/R650xR700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PSNDb2</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(R800-R650)/(R800+R650)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PSSRb2</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R800/R650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Bisun Datt,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R672/R550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Imanishi et al., 2010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(R570-R585)/R720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Bisun Datt,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R860/R550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ND 800, 530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Féret et al., 2011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(R800-R530)/(R800+R530)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RI 530, 800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Féret et al., 2011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R530/R800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Bisun Datt,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R672/(R550xR708)</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Bisun Datt,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R860/(R550xR708)</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Thenkabail et al., 2013; Thenkabail et al., 2000</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(R550-R687)/(R550+R687)</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PSSRc1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R800/R500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2011; Thenkabail et al., 2013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(R550-R515)/(R550+R515)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Chappelle et al., 1992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R760/R500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PSNDc2</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(R800 - R500 )/(R800+R500)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PSSRc2</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R800/R470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PSNDc1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(R800 - R470)/(R800 + R470)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Merzlyak et al.,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R800/R520-R800/R550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Merzlyak et al.,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R800/R520-R800/R700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CarRedEdge</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2006</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(1/R515-1/R700)xR760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CarGreen</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2006</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(1/R515-1/R565)xR760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CRI700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 xml:space="preserve">Gitelson </w:t>
            </w:r>
            <w:r>
              <w:rPr>
                <w:rFonts w:cs="Arial" w:ascii="Arial" w:hAnsi="Arial"/>
                <w:sz w:val="16"/>
                <w:szCs w:val="16"/>
                <w:lang w:val="en-US"/>
              </w:rPr>
              <w:t>et</w:t>
            </w:r>
            <w:r>
              <w:rPr>
                <w:rFonts w:cs="Arial" w:ascii="Arial" w:hAnsi="Arial"/>
                <w:sz w:val="16"/>
                <w:szCs w:val="16"/>
              </w:rPr>
              <w:t xml:space="preserve"> </w:t>
            </w:r>
            <w:r>
              <w:rPr>
                <w:rFonts w:cs="Arial" w:ascii="Arial" w:hAnsi="Arial"/>
                <w:sz w:val="16"/>
                <w:szCs w:val="16"/>
                <w:lang w:val="en-US"/>
              </w:rPr>
              <w:t>al</w:t>
            </w:r>
            <w:r>
              <w:rPr>
                <w:rFonts w:cs="Arial" w:ascii="Arial" w:hAnsi="Arial"/>
                <w:sz w:val="16"/>
                <w:szCs w:val="16"/>
              </w:rPr>
              <w:t>.</w:t>
            </w:r>
            <w:r>
              <w:rPr>
                <w:rFonts w:cs="Arial" w:ascii="Arial" w:hAnsi="Arial"/>
                <w:sz w:val="16"/>
                <w:szCs w:val="16"/>
                <w:lang w:val="en-US"/>
              </w:rPr>
              <w:t>,</w:t>
            </w:r>
            <w:r>
              <w:rPr>
                <w:rFonts w:cs="Arial" w:ascii="Arial" w:hAnsi="Arial"/>
                <w:sz w:val="16"/>
                <w:szCs w:val="16"/>
              </w:rPr>
              <w:t xml:space="preserve">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1/(R510)-1/(R700)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CRI550</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et al.,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1/(R510)-1/(R550)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CRI700_3bands_m1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et al.,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bookmarkStart w:id="1" w:name="__DdeLink__2045_2141540445"/>
            <w:bookmarkEnd w:id="1"/>
            <w:r>
              <w:rPr>
                <w:rFonts w:cs="Arial" w:ascii="Arial" w:hAnsi="Arial"/>
                <w:sz w:val="16"/>
                <w:szCs w:val="16"/>
              </w:rPr>
              <w:t>{1/(R510)-1/(R750)}-1{1/(R700)-1/(R750)}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CRI550_3bands_m1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et al.,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{1/(R510)-1/(R750)}-1{1/(R550)-1/(R750)}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CRI700_3bands_m0.75</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et al.,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{1/(R510)-1/(R750)}-0.75{1/(R700)-1/(R750)}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CRI550_3bands_m0.75</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Gitelson, et al.,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{1/(R510)-1/(R750)}-0.75{1/(R550)-1/(R750)}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 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bottom"/>
          </w:tcPr>
          <w:p>
            <w:pPr>
              <w:pStyle w:val="Normal"/>
              <w:rPr>
                <w:rFonts w:ascii="Arial" w:hAnsi="Arial" w:cs="Arial"/>
                <w:sz w:val="16"/>
                <w:szCs w:val="16"/>
              </w:rPr>
            </w:pPr>
            <w:r>
              <w:rPr>
                <w:rFonts w:cs="Arial" w:ascii="Arial" w:hAnsi="Arial"/>
                <w:sz w:val="16"/>
                <w:szCs w:val="16"/>
              </w:rPr>
              <w:t>Nicotra</w:t>
            </w:r>
            <w:r>
              <w:rPr>
                <w:rFonts w:cs="Arial" w:ascii="Arial" w:hAnsi="Arial"/>
                <w:sz w:val="16"/>
                <w:szCs w:val="16"/>
                <w:lang w:val="en-US"/>
              </w:rPr>
              <w:t xml:space="preserve"> et al.,</w:t>
            </w:r>
            <w:r>
              <w:rPr>
                <w:rFonts w:cs="Arial" w:ascii="Arial" w:hAnsi="Arial"/>
                <w:sz w:val="16"/>
                <w:szCs w:val="16"/>
              </w:rPr>
              <w:t xml:space="preserve">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bottom"/>
          </w:tcPr>
          <w:p>
            <w:pPr>
              <w:pStyle w:val="Normal"/>
              <w:rPr>
                <w:rFonts w:ascii="Arial" w:hAnsi="Arial" w:cs="Arial"/>
                <w:sz w:val="16"/>
                <w:szCs w:val="16"/>
              </w:rPr>
            </w:pPr>
            <w:r>
              <w:rPr>
                <w:rFonts w:cs="Arial" w:ascii="Arial" w:hAnsi="Arial"/>
                <w:sz w:val="16"/>
                <w:szCs w:val="16"/>
              </w:rPr>
              <w:t>R696/R770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Chl a/b</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Siebke &amp; Ball, 2009</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cust 626, 603, 647, 552</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SIPI1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Peñuelas, Baret, &amp; Filella, 1995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(R800-R445)/(R800-R680)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SIPI1a</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(R800-R445)/(R800-R680)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SIPI3</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(R800-R470)/(R800-R680)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SIPI2</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Peñuelas et al., 1995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(r800-r505)/(r800-r590)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SIPI2a</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Blackburn, 1998</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(r800-r505)/(r800-r590)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Merzlyak et al.,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(R480-R678)/R800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D681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Richardson, Duigan, &amp; Berlyn, 2002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D681</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SRPI (Simple Ratio Pigment Index)</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Penuelas &amp; Filella, 1995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R430/R680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NDPI1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Peñuelas et al., 1995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(R420-R670)/(R420+R670)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SRPI1</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Peñuelas et al., 1995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R430/R665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SRPI2</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Peñuelas et al., 1995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R690/R705</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NDPI2</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Peñuelas et al., 1995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(R590-R650)/(R590+R650)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Merzlyak et al., 2003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(R500-R678)/R800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PSRI</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 xml:space="preserve">Merzlyak </w:t>
            </w:r>
            <w:r>
              <w:rPr>
                <w:rFonts w:cs="Arial" w:ascii="Arial" w:hAnsi="Arial"/>
                <w:sz w:val="16"/>
                <w:szCs w:val="16"/>
                <w:lang w:val="en-US"/>
              </w:rPr>
              <w:t>et al.</w:t>
            </w:r>
            <w:r>
              <w:rPr>
                <w:rFonts w:cs="Arial" w:ascii="Arial" w:hAnsi="Arial"/>
                <w:sz w:val="16"/>
                <w:szCs w:val="16"/>
              </w:rPr>
              <w:t>, 1999</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(R678 - R500)/R750</w:t>
            </w:r>
          </w:p>
        </w:tc>
      </w:tr>
      <w:tr>
        <w:trPr>
          <w:trHeight w:val="255" w:hRule="atLeast"/>
        </w:trPr>
        <w:tc>
          <w:tcPr>
            <w:tcW w:w="8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Car/Chl</w:t>
            </w:r>
          </w:p>
        </w:tc>
        <w:tc>
          <w:tcPr>
            <w:tcW w:w="22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NDPI3</w:t>
            </w:r>
          </w:p>
        </w:tc>
        <w:tc>
          <w:tcPr>
            <w:tcW w:w="3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Peñuelas et al., 1995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88" w:type="dxa"/>
            </w:tcMar>
            <w:vAlign w:val="bottom"/>
          </w:tcPr>
          <w:p>
            <w:pPr>
              <w:pStyle w:val="Normal"/>
              <w:rPr>
                <w:rFonts w:ascii="Arial" w:hAnsi="Arial" w:cs="Arial"/>
                <w:sz w:val="16"/>
                <w:szCs w:val="16"/>
              </w:rPr>
            </w:pPr>
            <w:r>
              <w:rPr>
                <w:rFonts w:cs="Arial" w:ascii="Arial" w:hAnsi="Arial"/>
                <w:sz w:val="16"/>
                <w:szCs w:val="16"/>
              </w:rPr>
              <w:t>(R690-R705)/(R690+R705)</w:t>
            </w:r>
          </w:p>
        </w:tc>
      </w:tr>
    </w:tbl>
    <w:p>
      <w:pPr>
        <w:pStyle w:val="Normal"/>
        <w:rPr>
          <w:lang w:val="en-US"/>
        </w:rPr>
      </w:pPr>
      <w:r>
        <w:rPr>
          <w:lang w:val="en-US"/>
        </w:rPr>
      </w:r>
    </w:p>
    <w:p>
      <w:pPr>
        <w:pStyle w:val="Normal"/>
        <w:rPr>
          <w:lang w:val="en-US"/>
        </w:rPr>
      </w:pPr>
      <w:r>
        <w:rPr/>
      </w:r>
    </w:p>
    <w:sectPr>
      <w:type w:val="nextPage"/>
      <w:pgSz w:w="11906" w:h="16838"/>
      <w:pgMar w:left="1418" w:right="851" w:header="0" w:top="851" w:footer="0" w:bottom="851"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88"/>
  <w:defaultTabStop w:val="46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d4f83"/>
    <w:pPr>
      <w:widowControl/>
      <w:suppressAutoHyphens w:val="true"/>
      <w:bidi w:val="0"/>
      <w:jc w:val="left"/>
    </w:pPr>
    <w:rPr>
      <w:rFonts w:ascii="Times New Roman" w:hAnsi="Times New Roman" w:eastAsia="Times New Roman" w:cs="Times New Roman"/>
      <w:color w:val="00000A"/>
      <w:sz w:val="24"/>
      <w:szCs w:val="24"/>
      <w:lang w:val="uk-UA" w:eastAsia="uk-UA" w:bidi="ar-SA"/>
    </w:rPr>
  </w:style>
  <w:style w:type="character" w:styleId="DefaultParagraphFont" w:default="1">
    <w:name w:val="Default Paragraph Font"/>
    <w:uiPriority w:val="1"/>
    <w:semiHidden/>
    <w:unhideWhenUsed/>
    <w:qFormat/>
    <w:rPr/>
  </w:style>
  <w:style w:type="character" w:styleId="ListLabel1">
    <w:name w:val="ListLabel 1"/>
    <w:qFormat/>
    <w:rPr>
      <w:rFonts w:cs="Symbol"/>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qFormat/>
    <w:rsid w:val="00ef109a"/>
    <w:pPr>
      <w:spacing w:before="0" w:after="280"/>
    </w:pPr>
    <w:rPr/>
  </w:style>
  <w:style w:type="paragraph" w:styleId="ListBullet">
    <w:name w:val="List Bullet"/>
    <w:basedOn w:val="Normal"/>
    <w:qFormat/>
    <w:rsid w:val="000b58f6"/>
    <w:pPr>
      <w:spacing w:before="0" w:after="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ea.hallik@to.e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Application>LibreOffice/5.1.6.2$Linux_X86_64 LibreOffice_project/10m0$Build-2</Application>
  <Pages>8</Pages>
  <Words>2850</Words>
  <Characters>17408</Characters>
  <CharactersWithSpaces>19528</CharactersWithSpaces>
  <Paragraphs>685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2015-11-30T11:44:00Z</dcterms:created>
  <dc:creator>Taras</dc:creator>
  <dc:description/>
  <dc:language>en-US</dc:language>
  <cp:lastModifiedBy>Lea Hallik</cp:lastModifiedBy>
  <dcterms:modified xsi:type="dcterms:W3CDTF">2017-06-27T14:53:13Z</dcterms:modified>
  <cp:revision>16</cp:revision>
  <dc:subject/>
  <dc:title>target</dc:title>
</cp:coreProperties>
</file>