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192" w:rsidRPr="00F44AE8" w:rsidRDefault="00422192" w:rsidP="00422192">
      <w:pPr>
        <w:spacing w:line="360" w:lineRule="auto"/>
        <w:jc w:val="both"/>
        <w:rPr>
          <w:rFonts w:ascii="Times New Roman" w:hAnsi="Times New Roman" w:cs="Times New Roman"/>
          <w:i/>
          <w:sz w:val="24"/>
          <w:szCs w:val="24"/>
        </w:rPr>
      </w:pPr>
      <w:r w:rsidRPr="00F44AE8">
        <w:rPr>
          <w:rFonts w:ascii="Times New Roman" w:eastAsiaTheme="minorEastAsia" w:hAnsi="Times New Roman" w:cs="Times New Roman"/>
          <w:b/>
          <w:sz w:val="24"/>
          <w:szCs w:val="24"/>
        </w:rPr>
        <w:t>Online Resources</w:t>
      </w:r>
      <w:r w:rsidRPr="00F44AE8">
        <w:rPr>
          <w:rStyle w:val="CommentReference"/>
          <w:rFonts w:ascii="Times New Roman" w:hAnsi="Times New Roman" w:cs="Times New Roman"/>
          <w:b/>
          <w:sz w:val="24"/>
          <w:szCs w:val="24"/>
        </w:rPr>
        <w:t xml:space="preserve"> </w:t>
      </w:r>
      <w:r w:rsidR="00315827">
        <w:rPr>
          <w:rStyle w:val="CommentReference"/>
          <w:rFonts w:ascii="Times New Roman" w:hAnsi="Times New Roman" w:cs="Times New Roman"/>
          <w:b/>
          <w:sz w:val="24"/>
          <w:szCs w:val="24"/>
        </w:rPr>
        <w:t>1</w:t>
      </w:r>
      <w:r w:rsidR="008541A6">
        <w:rPr>
          <w:rStyle w:val="CommentReference"/>
          <w:rFonts w:ascii="Times New Roman" w:hAnsi="Times New Roman" w:cs="Times New Roman"/>
          <w:b/>
          <w:sz w:val="24"/>
          <w:szCs w:val="24"/>
        </w:rPr>
        <w:t xml:space="preserve"> </w:t>
      </w:r>
      <w:r>
        <w:rPr>
          <w:rStyle w:val="CommentReference"/>
          <w:rFonts w:ascii="Times New Roman" w:hAnsi="Times New Roman" w:cs="Times New Roman"/>
          <w:b/>
          <w:sz w:val="24"/>
          <w:szCs w:val="24"/>
        </w:rPr>
        <w:t>to “</w:t>
      </w:r>
      <w:r w:rsidR="00A35299">
        <w:rPr>
          <w:rFonts w:ascii="Times New Roman" w:hAnsi="Times New Roman" w:cs="Times New Roman"/>
          <w:b/>
          <w:sz w:val="24"/>
          <w:szCs w:val="24"/>
        </w:rPr>
        <w:t>Perspectives of farmers and tourists on agricultural abandonment in east</w:t>
      </w:r>
      <w:r w:rsidRPr="00F44AE8">
        <w:rPr>
          <w:rFonts w:ascii="Times New Roman" w:hAnsi="Times New Roman" w:cs="Times New Roman"/>
          <w:b/>
          <w:sz w:val="24"/>
          <w:szCs w:val="24"/>
        </w:rPr>
        <w:t xml:space="preserve"> Lesvos, Greece</w:t>
      </w:r>
      <w:r>
        <w:rPr>
          <w:rFonts w:ascii="Times New Roman" w:hAnsi="Times New Roman" w:cs="Times New Roman"/>
          <w:b/>
          <w:sz w:val="24"/>
          <w:szCs w:val="24"/>
        </w:rPr>
        <w:t xml:space="preserve">” </w:t>
      </w:r>
      <w:r>
        <w:rPr>
          <w:rFonts w:ascii="Times New Roman" w:hAnsi="Times New Roman" w:cs="Times New Roman"/>
          <w:i/>
          <w:sz w:val="24"/>
          <w:szCs w:val="24"/>
        </w:rPr>
        <w:t>Regional Environmental Change</w:t>
      </w:r>
    </w:p>
    <w:p w:rsidR="00422192" w:rsidRPr="003F7D5C" w:rsidRDefault="00422192" w:rsidP="00422192">
      <w:pPr>
        <w:spacing w:after="0" w:line="360" w:lineRule="auto"/>
        <w:jc w:val="both"/>
        <w:rPr>
          <w:rFonts w:ascii="Times New Roman" w:hAnsi="Times New Roman" w:cs="Times New Roman"/>
          <w:sz w:val="24"/>
          <w:szCs w:val="24"/>
        </w:rPr>
      </w:pPr>
      <w:r w:rsidRPr="003F7D5C">
        <w:rPr>
          <w:rFonts w:ascii="Times New Roman" w:hAnsi="Times New Roman" w:cs="Times New Roman"/>
          <w:sz w:val="24"/>
          <w:szCs w:val="24"/>
        </w:rPr>
        <w:t>Cecilia ZAGARIA</w:t>
      </w:r>
      <w:r>
        <w:rPr>
          <w:rFonts w:ascii="Times New Roman" w:hAnsi="Times New Roman" w:cs="Times New Roman"/>
          <w:sz w:val="24"/>
          <w:szCs w:val="24"/>
          <w:vertAlign w:val="superscript"/>
        </w:rPr>
        <w:t>*</w:t>
      </w:r>
      <w:r w:rsidRPr="003F7D5C">
        <w:rPr>
          <w:rFonts w:ascii="Times New Roman" w:hAnsi="Times New Roman" w:cs="Times New Roman"/>
          <w:sz w:val="24"/>
          <w:szCs w:val="24"/>
        </w:rPr>
        <w:t xml:space="preserve">, </w:t>
      </w:r>
      <w:hyperlink r:id="rId9" w:history="1">
        <w:r w:rsidRPr="003F7D5C">
          <w:rPr>
            <w:rStyle w:val="Hyperlink"/>
            <w:rFonts w:ascii="Times New Roman" w:hAnsi="Times New Roman" w:cs="Times New Roman"/>
            <w:sz w:val="24"/>
            <w:szCs w:val="24"/>
          </w:rPr>
          <w:t>c.zagaria@vu.nl</w:t>
        </w:r>
      </w:hyperlink>
      <w:r w:rsidRPr="003F7D5C">
        <w:rPr>
          <w:rFonts w:ascii="Times New Roman" w:hAnsi="Times New Roman" w:cs="Times New Roman"/>
          <w:sz w:val="24"/>
          <w:szCs w:val="24"/>
        </w:rPr>
        <w:t xml:space="preserve">; Catharina J. E. SCHULP; Thanasis KIZOS; Peter H. VERBURG </w:t>
      </w:r>
    </w:p>
    <w:p w:rsidR="00422192" w:rsidRPr="003F7D5C" w:rsidRDefault="00422192" w:rsidP="00422192">
      <w:pPr>
        <w:spacing w:after="0" w:line="360" w:lineRule="auto"/>
        <w:jc w:val="both"/>
        <w:rPr>
          <w:rFonts w:ascii="Times New Roman" w:hAnsi="Times New Roman" w:cs="Times New Roman"/>
          <w:sz w:val="24"/>
          <w:szCs w:val="24"/>
        </w:rPr>
      </w:pPr>
      <w:bookmarkStart w:id="0" w:name="_GoBack"/>
      <w:bookmarkEnd w:id="0"/>
    </w:p>
    <w:p w:rsidR="00422192" w:rsidRPr="003F7D5C" w:rsidRDefault="00422192" w:rsidP="0042219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*Address of corresponding author: </w:t>
      </w:r>
      <w:r w:rsidRPr="003F7D5C">
        <w:rPr>
          <w:rFonts w:ascii="Times New Roman" w:hAnsi="Times New Roman" w:cs="Times New Roman"/>
          <w:sz w:val="24"/>
          <w:szCs w:val="24"/>
        </w:rPr>
        <w:t xml:space="preserve">Environmental Geography Group, </w:t>
      </w:r>
      <w:r>
        <w:rPr>
          <w:rFonts w:ascii="Times New Roman" w:hAnsi="Times New Roman" w:cs="Times New Roman"/>
          <w:sz w:val="24"/>
          <w:szCs w:val="24"/>
        </w:rPr>
        <w:t>Institute for Environmental Studies</w:t>
      </w:r>
      <w:r w:rsidRPr="003F7D5C">
        <w:rPr>
          <w:rFonts w:ascii="Times New Roman" w:hAnsi="Times New Roman" w:cs="Times New Roman"/>
          <w:sz w:val="24"/>
          <w:szCs w:val="24"/>
        </w:rPr>
        <w:t>, Vrije Universiteit Amsterdam, De Boelelaan 1087, 1081 HV Amsterdam, the Netherlands</w:t>
      </w:r>
    </w:p>
    <w:p w:rsidR="00422192" w:rsidRPr="00F44AE8" w:rsidRDefault="00422192" w:rsidP="00422192">
      <w:pPr>
        <w:rPr>
          <w:rFonts w:ascii="Times New Roman" w:eastAsiaTheme="minorEastAsia" w:hAnsi="Times New Roman" w:cs="Times New Roman"/>
          <w:b/>
          <w:sz w:val="24"/>
        </w:rPr>
      </w:pPr>
    </w:p>
    <w:p w:rsidR="00422192" w:rsidRPr="00422192" w:rsidRDefault="00422192" w:rsidP="00D911C5">
      <w:pPr>
        <w:jc w:val="both"/>
        <w:rPr>
          <w:rFonts w:ascii="Times New Roman" w:hAnsi="Times New Roman" w:cs="Times New Roman"/>
          <w:sz w:val="24"/>
          <w:szCs w:val="20"/>
        </w:rPr>
      </w:pPr>
      <w:r w:rsidRPr="00422192">
        <w:rPr>
          <w:rFonts w:ascii="Times New Roman" w:hAnsi="Times New Roman" w:cs="Times New Roman"/>
          <w:sz w:val="24"/>
          <w:szCs w:val="20"/>
        </w:rPr>
        <w:t>Includes</w:t>
      </w:r>
      <w:r>
        <w:rPr>
          <w:rFonts w:ascii="Times New Roman" w:hAnsi="Times New Roman" w:cs="Times New Roman"/>
          <w:sz w:val="24"/>
          <w:szCs w:val="20"/>
        </w:rPr>
        <w:t>:</w:t>
      </w:r>
    </w:p>
    <w:p w:rsidR="00422192" w:rsidRDefault="00422192" w:rsidP="00D911C5">
      <w:pPr>
        <w:ind w:left="720"/>
        <w:jc w:val="both"/>
        <w:rPr>
          <w:rFonts w:ascii="Times New Roman" w:hAnsi="Times New Roman" w:cs="Times New Roman"/>
          <w:sz w:val="24"/>
          <w:szCs w:val="20"/>
        </w:rPr>
      </w:pPr>
      <w:r>
        <w:rPr>
          <w:rFonts w:ascii="Times New Roman" w:hAnsi="Times New Roman" w:cs="Times New Roman"/>
          <w:b/>
          <w:sz w:val="24"/>
          <w:szCs w:val="20"/>
        </w:rPr>
        <w:t xml:space="preserve">Section A </w:t>
      </w:r>
      <w:r>
        <w:rPr>
          <w:rFonts w:ascii="Times New Roman" w:hAnsi="Times New Roman" w:cs="Times New Roman"/>
          <w:sz w:val="24"/>
          <w:szCs w:val="20"/>
        </w:rPr>
        <w:t xml:space="preserve">– Comparison of </w:t>
      </w:r>
      <w:r w:rsidR="00F82193">
        <w:rPr>
          <w:rFonts w:ascii="Times New Roman" w:hAnsi="Times New Roman" w:cs="Times New Roman"/>
          <w:sz w:val="24"/>
          <w:szCs w:val="20"/>
        </w:rPr>
        <w:t>surveyed farmer and tourist samples</w:t>
      </w:r>
      <w:r>
        <w:rPr>
          <w:rFonts w:ascii="Times New Roman" w:hAnsi="Times New Roman" w:cs="Times New Roman"/>
          <w:sz w:val="24"/>
          <w:szCs w:val="20"/>
        </w:rPr>
        <w:t xml:space="preserve"> with existing (census) data</w:t>
      </w:r>
    </w:p>
    <w:p w:rsidR="00422192" w:rsidRPr="00422192" w:rsidRDefault="00581559" w:rsidP="00D911C5">
      <w:pPr>
        <w:ind w:left="720"/>
        <w:jc w:val="both"/>
        <w:rPr>
          <w:rFonts w:ascii="Times New Roman" w:hAnsi="Times New Roman" w:cs="Times New Roman"/>
          <w:sz w:val="24"/>
          <w:szCs w:val="20"/>
        </w:rPr>
      </w:pPr>
      <w:r>
        <w:rPr>
          <w:rFonts w:ascii="Times New Roman" w:hAnsi="Times New Roman" w:cs="Times New Roman"/>
          <w:b/>
          <w:sz w:val="24"/>
          <w:szCs w:val="20"/>
        </w:rPr>
        <w:t xml:space="preserve">Section </w:t>
      </w:r>
      <w:r w:rsidR="001D6D0A">
        <w:rPr>
          <w:rFonts w:ascii="Times New Roman" w:hAnsi="Times New Roman" w:cs="Times New Roman"/>
          <w:b/>
          <w:sz w:val="24"/>
          <w:szCs w:val="20"/>
        </w:rPr>
        <w:t>B</w:t>
      </w:r>
      <w:r>
        <w:rPr>
          <w:rFonts w:ascii="Times New Roman" w:hAnsi="Times New Roman" w:cs="Times New Roman"/>
          <w:b/>
          <w:sz w:val="24"/>
          <w:szCs w:val="20"/>
        </w:rPr>
        <w:t xml:space="preserve"> </w:t>
      </w:r>
      <w:r w:rsidR="00F82193">
        <w:rPr>
          <w:rFonts w:ascii="Times New Roman" w:hAnsi="Times New Roman" w:cs="Times New Roman"/>
          <w:sz w:val="24"/>
          <w:szCs w:val="20"/>
        </w:rPr>
        <w:t xml:space="preserve">– </w:t>
      </w:r>
      <w:r w:rsidR="00422192">
        <w:rPr>
          <w:rFonts w:ascii="Times New Roman" w:hAnsi="Times New Roman" w:cs="Times New Roman"/>
          <w:sz w:val="24"/>
        </w:rPr>
        <w:t>Review of classifications of olive plantation typologies relevant for construction of landscape preference survey</w:t>
      </w:r>
    </w:p>
    <w:p w:rsidR="00422192" w:rsidRDefault="001D6D0A" w:rsidP="00D911C5">
      <w:pPr>
        <w:ind w:left="720"/>
        <w:jc w:val="both"/>
        <w:rPr>
          <w:rFonts w:ascii="Times New Roman" w:hAnsi="Times New Roman" w:cs="Times New Roman"/>
          <w:sz w:val="24"/>
        </w:rPr>
      </w:pPr>
      <w:r>
        <w:rPr>
          <w:rFonts w:ascii="Times New Roman" w:hAnsi="Times New Roman" w:cs="Times New Roman"/>
          <w:b/>
          <w:sz w:val="24"/>
          <w:szCs w:val="20"/>
        </w:rPr>
        <w:t>Section C</w:t>
      </w:r>
      <w:r w:rsidR="00422192">
        <w:rPr>
          <w:rFonts w:ascii="Times New Roman" w:hAnsi="Times New Roman" w:cs="Times New Roman"/>
          <w:b/>
          <w:sz w:val="24"/>
          <w:szCs w:val="20"/>
        </w:rPr>
        <w:t xml:space="preserve"> </w:t>
      </w:r>
      <w:r w:rsidR="00F82193">
        <w:rPr>
          <w:rFonts w:ascii="Times New Roman" w:hAnsi="Times New Roman" w:cs="Times New Roman"/>
          <w:sz w:val="24"/>
          <w:szCs w:val="20"/>
        </w:rPr>
        <w:t>–</w:t>
      </w:r>
      <w:r w:rsidR="00422192">
        <w:rPr>
          <w:rFonts w:ascii="Times New Roman" w:hAnsi="Times New Roman" w:cs="Times New Roman"/>
          <w:sz w:val="24"/>
          <w:szCs w:val="20"/>
        </w:rPr>
        <w:t xml:space="preserve"> </w:t>
      </w:r>
      <w:r w:rsidR="00422192">
        <w:rPr>
          <w:rFonts w:ascii="Times New Roman" w:hAnsi="Times New Roman" w:cs="Times New Roman"/>
          <w:sz w:val="24"/>
        </w:rPr>
        <w:t>Calculation of ranking order scores from landscape preference survey</w:t>
      </w:r>
    </w:p>
    <w:p w:rsidR="00D911C5" w:rsidRDefault="001D6D0A" w:rsidP="00D911C5">
      <w:pPr>
        <w:ind w:left="720"/>
        <w:jc w:val="both"/>
        <w:rPr>
          <w:rFonts w:ascii="Times New Roman" w:hAnsi="Times New Roman" w:cs="Times New Roman"/>
          <w:b/>
          <w:sz w:val="24"/>
          <w:szCs w:val="20"/>
        </w:rPr>
      </w:pPr>
      <w:r>
        <w:rPr>
          <w:rFonts w:ascii="Times New Roman" w:hAnsi="Times New Roman" w:cs="Times New Roman"/>
          <w:b/>
          <w:sz w:val="24"/>
          <w:szCs w:val="20"/>
        </w:rPr>
        <w:t>Section D</w:t>
      </w:r>
      <w:r w:rsidR="00422192">
        <w:rPr>
          <w:rFonts w:ascii="Times New Roman" w:hAnsi="Times New Roman" w:cs="Times New Roman"/>
          <w:b/>
          <w:sz w:val="24"/>
          <w:szCs w:val="20"/>
        </w:rPr>
        <w:t xml:space="preserve"> </w:t>
      </w:r>
      <w:r w:rsidR="00F82193">
        <w:rPr>
          <w:rFonts w:ascii="Times New Roman" w:hAnsi="Times New Roman" w:cs="Times New Roman"/>
          <w:sz w:val="24"/>
          <w:szCs w:val="20"/>
        </w:rPr>
        <w:t>–</w:t>
      </w:r>
      <w:r w:rsidR="00422192">
        <w:rPr>
          <w:rFonts w:ascii="Times New Roman" w:hAnsi="Times New Roman" w:cs="Times New Roman"/>
          <w:sz w:val="24"/>
          <w:szCs w:val="20"/>
        </w:rPr>
        <w:t xml:space="preserve"> </w:t>
      </w:r>
      <w:r w:rsidR="00F82193">
        <w:rPr>
          <w:rFonts w:ascii="Times New Roman" w:hAnsi="Times New Roman" w:cs="Times New Roman"/>
          <w:sz w:val="24"/>
          <w:szCs w:val="20"/>
        </w:rPr>
        <w:t>Comprehensive r</w:t>
      </w:r>
      <w:r w:rsidR="00422192">
        <w:rPr>
          <w:rFonts w:ascii="Times New Roman" w:hAnsi="Times New Roman" w:cs="Times New Roman"/>
          <w:sz w:val="24"/>
        </w:rPr>
        <w:t xml:space="preserve">esults </w:t>
      </w:r>
      <w:r w:rsidR="005F55B0">
        <w:rPr>
          <w:rFonts w:ascii="Times New Roman" w:hAnsi="Times New Roman" w:cs="Times New Roman"/>
          <w:sz w:val="24"/>
        </w:rPr>
        <w:t>of</w:t>
      </w:r>
      <w:r w:rsidR="00422192">
        <w:rPr>
          <w:rFonts w:ascii="Times New Roman" w:hAnsi="Times New Roman" w:cs="Times New Roman"/>
          <w:sz w:val="24"/>
        </w:rPr>
        <w:t xml:space="preserve"> </w:t>
      </w:r>
      <w:r w:rsidR="005F55B0">
        <w:rPr>
          <w:rFonts w:ascii="Times New Roman" w:hAnsi="Times New Roman" w:cs="Times New Roman"/>
          <w:sz w:val="24"/>
        </w:rPr>
        <w:t>chi-square analysis with non-clustering variables</w:t>
      </w:r>
      <w:r w:rsidR="00422192">
        <w:rPr>
          <w:rFonts w:ascii="Times New Roman" w:hAnsi="Times New Roman" w:cs="Times New Roman"/>
          <w:b/>
          <w:sz w:val="24"/>
          <w:szCs w:val="20"/>
        </w:rPr>
        <w:t xml:space="preserve"> </w:t>
      </w:r>
      <w:r w:rsidR="005F55B0" w:rsidRPr="005F55B0">
        <w:rPr>
          <w:rFonts w:ascii="Times New Roman" w:hAnsi="Times New Roman" w:cs="Times New Roman"/>
          <w:sz w:val="24"/>
          <w:szCs w:val="20"/>
        </w:rPr>
        <w:t>from the farmer survey</w:t>
      </w:r>
    </w:p>
    <w:p w:rsidR="005F55B0" w:rsidRDefault="005F55B0" w:rsidP="005F55B0">
      <w:pPr>
        <w:ind w:left="720"/>
        <w:jc w:val="both"/>
        <w:rPr>
          <w:rFonts w:ascii="Times New Roman" w:hAnsi="Times New Roman" w:cs="Times New Roman"/>
          <w:b/>
          <w:sz w:val="24"/>
          <w:szCs w:val="20"/>
        </w:rPr>
      </w:pPr>
      <w:r>
        <w:rPr>
          <w:rFonts w:ascii="Times New Roman" w:hAnsi="Times New Roman" w:cs="Times New Roman"/>
          <w:b/>
          <w:sz w:val="24"/>
          <w:szCs w:val="20"/>
        </w:rPr>
        <w:t xml:space="preserve">Section E </w:t>
      </w:r>
      <w:r>
        <w:rPr>
          <w:rFonts w:ascii="Times New Roman" w:hAnsi="Times New Roman" w:cs="Times New Roman"/>
          <w:sz w:val="24"/>
          <w:szCs w:val="20"/>
        </w:rPr>
        <w:t>– Comprehensive r</w:t>
      </w:r>
      <w:r>
        <w:rPr>
          <w:rFonts w:ascii="Times New Roman" w:hAnsi="Times New Roman" w:cs="Times New Roman"/>
          <w:sz w:val="24"/>
        </w:rPr>
        <w:t>esults from Wilcoxon signed-rank test and analysis of preferred order scores from the landscape preferences survey</w:t>
      </w:r>
      <w:r>
        <w:rPr>
          <w:rFonts w:ascii="Times New Roman" w:hAnsi="Times New Roman" w:cs="Times New Roman"/>
          <w:b/>
          <w:sz w:val="24"/>
          <w:szCs w:val="20"/>
        </w:rPr>
        <w:t xml:space="preserve"> </w:t>
      </w:r>
    </w:p>
    <w:p w:rsidR="005F55B0" w:rsidRDefault="005F55B0" w:rsidP="00D911C5">
      <w:pPr>
        <w:ind w:left="720"/>
        <w:jc w:val="both"/>
        <w:rPr>
          <w:rFonts w:ascii="Times New Roman" w:hAnsi="Times New Roman" w:cs="Times New Roman"/>
          <w:b/>
          <w:sz w:val="24"/>
          <w:szCs w:val="20"/>
        </w:rPr>
      </w:pPr>
    </w:p>
    <w:p w:rsidR="00422192" w:rsidRDefault="00D911C5" w:rsidP="00D911C5">
      <w:pPr>
        <w:ind w:left="720"/>
        <w:jc w:val="both"/>
        <w:rPr>
          <w:rFonts w:ascii="Times New Roman" w:hAnsi="Times New Roman" w:cs="Times New Roman"/>
          <w:b/>
          <w:sz w:val="24"/>
          <w:szCs w:val="20"/>
        </w:rPr>
      </w:pPr>
      <w:r>
        <w:rPr>
          <w:rFonts w:ascii="Times New Roman" w:hAnsi="Times New Roman" w:cs="Times New Roman"/>
          <w:b/>
          <w:sz w:val="24"/>
          <w:szCs w:val="20"/>
        </w:rPr>
        <w:t>Reference list to online resources</w:t>
      </w:r>
      <w:r w:rsidR="00422192">
        <w:rPr>
          <w:rFonts w:ascii="Times New Roman" w:hAnsi="Times New Roman" w:cs="Times New Roman"/>
          <w:b/>
          <w:sz w:val="24"/>
          <w:szCs w:val="20"/>
        </w:rPr>
        <w:br w:type="page"/>
      </w:r>
    </w:p>
    <w:p w:rsidR="00713504" w:rsidRDefault="00713504" w:rsidP="00483833">
      <w:pPr>
        <w:pStyle w:val="ListParagraph"/>
        <w:numPr>
          <w:ilvl w:val="0"/>
          <w:numId w:val="5"/>
        </w:numPr>
        <w:spacing w:after="0"/>
        <w:rPr>
          <w:rFonts w:ascii="Times New Roman" w:hAnsi="Times New Roman" w:cs="Times New Roman"/>
          <w:b/>
          <w:sz w:val="24"/>
          <w:szCs w:val="20"/>
        </w:rPr>
      </w:pPr>
      <w:r>
        <w:rPr>
          <w:rFonts w:ascii="Times New Roman" w:hAnsi="Times New Roman" w:cs="Times New Roman"/>
          <w:b/>
          <w:sz w:val="24"/>
          <w:szCs w:val="20"/>
        </w:rPr>
        <w:lastRenderedPageBreak/>
        <w:t>Comparison of surveyed farmer and tourist samples with existing (census) data</w:t>
      </w:r>
    </w:p>
    <w:p w:rsidR="00713504" w:rsidRDefault="00713504" w:rsidP="00713504">
      <w:pPr>
        <w:spacing w:after="0"/>
        <w:ind w:left="360"/>
        <w:rPr>
          <w:rFonts w:ascii="Times New Roman" w:hAnsi="Times New Roman" w:cs="Times New Roman"/>
          <w:b/>
          <w:sz w:val="24"/>
          <w:szCs w:val="20"/>
        </w:rPr>
      </w:pPr>
    </w:p>
    <w:p w:rsidR="00713504" w:rsidRPr="00713504" w:rsidRDefault="00713504" w:rsidP="00713504">
      <w:pPr>
        <w:spacing w:after="0"/>
        <w:rPr>
          <w:rFonts w:ascii="Times New Roman" w:hAnsi="Times New Roman" w:cs="Times New Roman"/>
          <w:i/>
          <w:sz w:val="24"/>
          <w:szCs w:val="20"/>
        </w:rPr>
      </w:pPr>
      <w:r>
        <w:rPr>
          <w:rFonts w:ascii="Times New Roman" w:hAnsi="Times New Roman" w:cs="Times New Roman"/>
          <w:i/>
          <w:sz w:val="24"/>
          <w:szCs w:val="20"/>
        </w:rPr>
        <w:t>Surveyed farmers:</w:t>
      </w:r>
    </w:p>
    <w:p w:rsidR="00422192" w:rsidRDefault="00422192" w:rsidP="00422192">
      <w:pPr>
        <w:spacing w:after="0"/>
        <w:jc w:val="both"/>
        <w:rPr>
          <w:rFonts w:ascii="Times New Roman" w:hAnsi="Times New Roman" w:cs="Times New Roman"/>
          <w:sz w:val="24"/>
          <w:szCs w:val="20"/>
        </w:rPr>
      </w:pPr>
      <w:r w:rsidRPr="00DB4B6E">
        <w:rPr>
          <w:rFonts w:ascii="Times New Roman" w:hAnsi="Times New Roman" w:cs="Times New Roman"/>
          <w:b/>
          <w:sz w:val="24"/>
          <w:szCs w:val="20"/>
        </w:rPr>
        <w:t>Table 1</w:t>
      </w:r>
      <w:r>
        <w:rPr>
          <w:rFonts w:ascii="Times New Roman" w:hAnsi="Times New Roman" w:cs="Times New Roman"/>
          <w:sz w:val="24"/>
          <w:szCs w:val="20"/>
        </w:rPr>
        <w:t xml:space="preserve"> Comparison of surveyed data from farmer interviews regarding farm system composition and management in Gera with existing data </w:t>
      </w:r>
      <w:r>
        <w:rPr>
          <w:rFonts w:ascii="Times New Roman" w:hAnsi="Times New Roman" w:cs="Times New Roman"/>
          <w:sz w:val="24"/>
          <w:szCs w:val="20"/>
        </w:rPr>
        <w:fldChar w:fldCharType="begin" w:fldLock="1"/>
      </w:r>
      <w:r w:rsidR="0077756E">
        <w:rPr>
          <w:rFonts w:ascii="Times New Roman" w:hAnsi="Times New Roman" w:cs="Times New Roman"/>
          <w:sz w:val="24"/>
          <w:szCs w:val="20"/>
        </w:rPr>
        <w:instrText>ADDIN CSL_CITATION { "citationItems" : [ { "id" : "ITEM-1", "itemData" : { "URL" : "www.statistics.gr", "author" : [ { "dropping-particle" : "", "family" : "ELSTAT", "given" : "", "non-dropping-particle" : "", "parse-names" : false, "suffix" : "" } ], "id" : "ITEM-1", "issued" : { "date-parts" : [ [ "2011" ] ] }, "title" : "Hellenic Statistical Authority", "type" : "webpage" }, "uris" : [ "http://www.mendeley.com/documents/?uuid=ecd6991b-e94b-4e46-9a59-bd41a65b10f2" ] }, { "id" : "ITEM-2", "itemData" : { "DOI" : "10.1007/s10708-008-9195-z", "ISSN" : "0343-2521", "author" : [ { "dropping-particle" : "", "family" : "Giourga", "given" : "Christina", "non-dropping-particle" : "", "parse-names" : false, "suffix" : "" }, { "dropping-particle" : "", "family" : "Loumou", "given" : "Angeliki", "non-dropping-particle" : "", "parse-names" : false, "suffix" : "" }, { "dropping-particle" : "", "family" : "Tsevreni", "given" : "Iris", "non-dropping-particle" : "", "parse-names" : false, "suffix" : "" }, { "dropping-particle" : "", "family" : "Vergou", "given" : "Assimina", "non-dropping-particle" : "", "parse-names" : false, "suffix" : "" } ], "container-title" : "GeoJournal", "id" : "ITEM-2", "issue" : "2", "issued" : { "date-parts" : [ [ "2008" ] ] }, "page" : "149-159", "title" : "Assessing the sustainability factors of traditional olive groves on Lesvos Island, Greece (Sustainability and traditional cultivation)", "type" : "article-journal", "volume" : "73" }, "uris" : [ "http://www.mendeley.com/documents/?uuid=8160e075-eaf0-4e5e-8535-cfde144fdbd4" ] } ], "mendeley" : { "formattedCitation" : "(ELSTAT, 2011; Giourga, Loumou, Tsevreni, &amp; Vergou, 2008)", "plainTextFormattedCitation" : "(ELSTAT, 2011; Giourga, Loumou, Tsevreni, &amp; Vergou, 2008)", "previouslyFormattedCitation" : "(ELSTAT 2011a; Giourga et al. 2008)" }, "properties" : { "noteIndex" : 0 }, "schema" : "https://github.com/citation-style-language/schema/raw/master/csl-citation.json" }</w:instrText>
      </w:r>
      <w:r>
        <w:rPr>
          <w:rFonts w:ascii="Times New Roman" w:hAnsi="Times New Roman" w:cs="Times New Roman"/>
          <w:sz w:val="24"/>
          <w:szCs w:val="20"/>
        </w:rPr>
        <w:fldChar w:fldCharType="separate"/>
      </w:r>
      <w:r w:rsidR="0077756E" w:rsidRPr="0077756E">
        <w:rPr>
          <w:rFonts w:ascii="Times New Roman" w:hAnsi="Times New Roman" w:cs="Times New Roman"/>
          <w:noProof/>
          <w:sz w:val="24"/>
          <w:szCs w:val="20"/>
        </w:rPr>
        <w:t>(ELSTAT, 2011; Giourga, Loumou, Tsevreni, &amp; Vergou, 2008)</w:t>
      </w:r>
      <w:r>
        <w:rPr>
          <w:rFonts w:ascii="Times New Roman" w:hAnsi="Times New Roman" w:cs="Times New Roman"/>
          <w:sz w:val="24"/>
          <w:szCs w:val="20"/>
        </w:rPr>
        <w:fldChar w:fldCharType="end"/>
      </w:r>
      <w:r w:rsidR="00713504">
        <w:rPr>
          <w:rFonts w:ascii="Times New Roman" w:hAnsi="Times New Roman" w:cs="Times New Roman"/>
          <w:sz w:val="24"/>
          <w:szCs w:val="20"/>
        </w:rPr>
        <w:t xml:space="preserve"> </w:t>
      </w:r>
    </w:p>
    <w:p w:rsidR="00422192" w:rsidRDefault="00422192" w:rsidP="00713504">
      <w:pPr>
        <w:spacing w:after="0"/>
        <w:jc w:val="both"/>
        <w:rPr>
          <w:rFonts w:ascii="Times New Roman" w:hAnsi="Times New Roman" w:cs="Times New Roman"/>
          <w:sz w:val="24"/>
          <w:szCs w:val="20"/>
        </w:rPr>
      </w:pPr>
      <w:r>
        <w:rPr>
          <w:rFonts w:ascii="Times New Roman" w:hAnsi="Times New Roman" w:cs="Times New Roman"/>
          <w:sz w:val="24"/>
          <w:szCs w:val="20"/>
        </w:rPr>
        <w:t xml:space="preserve">*Average farm size identified by </w:t>
      </w:r>
      <w:r>
        <w:rPr>
          <w:rFonts w:ascii="Times New Roman" w:hAnsi="Times New Roman" w:cs="Times New Roman"/>
          <w:sz w:val="24"/>
          <w:szCs w:val="20"/>
        </w:rPr>
        <w:fldChar w:fldCharType="begin" w:fldLock="1"/>
      </w:r>
      <w:r w:rsidR="0077756E">
        <w:rPr>
          <w:rFonts w:ascii="Times New Roman" w:hAnsi="Times New Roman" w:cs="Times New Roman"/>
          <w:sz w:val="24"/>
          <w:szCs w:val="20"/>
        </w:rPr>
        <w:instrText>ADDIN CSL_CITATION { "citationItems" : [ { "id" : "ITEM-1", "itemData" : { "DOI" : "10.1007/s10708-008-9195-z", "ISSN" : "0343-2521", "author" : [ { "dropping-particle" : "", "family" : "Giourga", "given" : "Christina", "non-dropping-particle" : "", "parse-names" : false, "suffix" : "" }, { "dropping-particle" : "", "family" : "Loumou", "given" : "Angeliki", "non-dropping-particle" : "", "parse-names" : false, "suffix" : "" }, { "dropping-particle" : "", "family" : "Tsevreni", "given" : "Iris", "non-dropping-particle" : "", "parse-names" : false, "suffix" : "" }, { "dropping-particle" : "", "family" : "Vergou", "given" : "Assimina", "non-dropping-particle" : "", "parse-names" : false, "suffix" : "" } ], "container-title" : "GeoJournal", "id" : "ITEM-1", "issue" : "2", "issued" : { "date-parts" : [ [ "2008" ] ] }, "page" : "149-159", "title" : "Assessing the sustainability factors of traditional olive groves on Lesvos Island, Greece (Sustainability and traditional cultivation)", "type" : "article-journal", "volume" : "73" }, "uris" : [ "http://www.mendeley.com/documents/?uuid=8160e075-eaf0-4e5e-8535-cfde144fdbd4" ] } ], "mendeley" : { "formattedCitation" : "(Giourga et al., 2008)", "manualFormatting" : "Giourga et al. (2008)", "plainTextFormattedCitation" : "(Giourga et al., 2008)", "previouslyFormattedCitation" : "(Giourga et al. 2008)" }, "properties" : { "noteIndex" : 0 }, "schema" : "https://github.com/citation-style-language/schema/raw/master/csl-citation.json" }</w:instrText>
      </w:r>
      <w:r>
        <w:rPr>
          <w:rFonts w:ascii="Times New Roman" w:hAnsi="Times New Roman" w:cs="Times New Roman"/>
          <w:sz w:val="24"/>
          <w:szCs w:val="20"/>
        </w:rPr>
        <w:fldChar w:fldCharType="separate"/>
      </w:r>
      <w:r w:rsidRPr="003A421A">
        <w:rPr>
          <w:rFonts w:ascii="Times New Roman" w:hAnsi="Times New Roman" w:cs="Times New Roman"/>
          <w:noProof/>
          <w:sz w:val="24"/>
          <w:szCs w:val="20"/>
        </w:rPr>
        <w:t xml:space="preserve">Giourga et al. </w:t>
      </w:r>
      <w:r>
        <w:rPr>
          <w:rFonts w:ascii="Times New Roman" w:hAnsi="Times New Roman" w:cs="Times New Roman"/>
          <w:noProof/>
          <w:sz w:val="24"/>
          <w:szCs w:val="20"/>
        </w:rPr>
        <w:t>(</w:t>
      </w:r>
      <w:r w:rsidRPr="003A421A">
        <w:rPr>
          <w:rFonts w:ascii="Times New Roman" w:hAnsi="Times New Roman" w:cs="Times New Roman"/>
          <w:noProof/>
          <w:sz w:val="24"/>
          <w:szCs w:val="20"/>
        </w:rPr>
        <w:t>2008)</w:t>
      </w:r>
      <w:r>
        <w:rPr>
          <w:rFonts w:ascii="Times New Roman" w:hAnsi="Times New Roman" w:cs="Times New Roman"/>
          <w:sz w:val="24"/>
          <w:szCs w:val="20"/>
        </w:rPr>
        <w:fldChar w:fldCharType="end"/>
      </w:r>
      <w:r>
        <w:rPr>
          <w:rFonts w:ascii="Times New Roman" w:hAnsi="Times New Roman" w:cs="Times New Roman"/>
          <w:sz w:val="24"/>
          <w:szCs w:val="20"/>
        </w:rPr>
        <w:t xml:space="preserve"> from a sample of 176 olive farmers in Lesvos was 8.2ha **Percentage of total Utilized Agricultural Area (UAA) is shown rather than percentage of farms with UAA</w:t>
      </w:r>
    </w:p>
    <w:tbl>
      <w:tblPr>
        <w:tblStyle w:val="TableGrid"/>
        <w:tblW w:w="0" w:type="auto"/>
        <w:tblLook w:val="04A0" w:firstRow="1" w:lastRow="0" w:firstColumn="1" w:lastColumn="0" w:noHBand="0" w:noVBand="1"/>
      </w:tblPr>
      <w:tblGrid>
        <w:gridCol w:w="2093"/>
        <w:gridCol w:w="2459"/>
        <w:gridCol w:w="2296"/>
        <w:gridCol w:w="2290"/>
      </w:tblGrid>
      <w:tr w:rsidR="00422192" w:rsidRPr="00CA7494" w:rsidTr="00713504">
        <w:trPr>
          <w:trHeight w:val="436"/>
        </w:trPr>
        <w:tc>
          <w:tcPr>
            <w:tcW w:w="2093" w:type="dxa"/>
            <w:tcBorders>
              <w:left w:val="nil"/>
              <w:bottom w:val="single" w:sz="4" w:space="0" w:color="auto"/>
              <w:right w:val="nil"/>
            </w:tcBorders>
            <w:vAlign w:val="center"/>
          </w:tcPr>
          <w:p w:rsidR="00422192" w:rsidRPr="00F51500" w:rsidRDefault="00422192" w:rsidP="00713504">
            <w:pPr>
              <w:spacing w:line="360" w:lineRule="auto"/>
              <w:rPr>
                <w:rFonts w:ascii="Times New Roman" w:hAnsi="Times New Roman" w:cs="Times New Roman"/>
                <w:b/>
                <w:sz w:val="18"/>
                <w:szCs w:val="20"/>
              </w:rPr>
            </w:pPr>
            <w:r>
              <w:rPr>
                <w:rFonts w:ascii="Times New Roman" w:hAnsi="Times New Roman" w:cs="Times New Roman"/>
                <w:b/>
                <w:sz w:val="18"/>
                <w:szCs w:val="20"/>
              </w:rPr>
              <w:t>Farm system characteristic</w:t>
            </w:r>
          </w:p>
        </w:tc>
        <w:tc>
          <w:tcPr>
            <w:tcW w:w="2459" w:type="dxa"/>
            <w:tcBorders>
              <w:left w:val="nil"/>
              <w:bottom w:val="single" w:sz="4" w:space="0" w:color="auto"/>
              <w:right w:val="nil"/>
            </w:tcBorders>
            <w:vAlign w:val="center"/>
          </w:tcPr>
          <w:p w:rsidR="00422192" w:rsidRPr="00F51500" w:rsidRDefault="00422192" w:rsidP="00713504">
            <w:pPr>
              <w:spacing w:line="360" w:lineRule="auto"/>
              <w:rPr>
                <w:rFonts w:ascii="Times New Roman" w:hAnsi="Times New Roman" w:cs="Times New Roman"/>
                <w:b/>
                <w:sz w:val="18"/>
                <w:szCs w:val="20"/>
              </w:rPr>
            </w:pPr>
            <w:r>
              <w:rPr>
                <w:rFonts w:ascii="Times New Roman" w:hAnsi="Times New Roman" w:cs="Times New Roman"/>
                <w:b/>
                <w:sz w:val="18"/>
                <w:szCs w:val="20"/>
              </w:rPr>
              <w:t>Feature</w:t>
            </w:r>
          </w:p>
        </w:tc>
        <w:tc>
          <w:tcPr>
            <w:tcW w:w="2296" w:type="dxa"/>
            <w:tcBorders>
              <w:left w:val="nil"/>
              <w:bottom w:val="single" w:sz="4" w:space="0" w:color="auto"/>
              <w:right w:val="nil"/>
            </w:tcBorders>
            <w:vAlign w:val="center"/>
          </w:tcPr>
          <w:p w:rsidR="00422192" w:rsidRPr="00F51500" w:rsidRDefault="00422192" w:rsidP="00713504">
            <w:pPr>
              <w:spacing w:line="360" w:lineRule="auto"/>
              <w:rPr>
                <w:rFonts w:ascii="Times New Roman" w:hAnsi="Times New Roman" w:cs="Times New Roman"/>
                <w:b/>
                <w:sz w:val="18"/>
                <w:szCs w:val="20"/>
              </w:rPr>
            </w:pPr>
            <w:r w:rsidRPr="00F51500">
              <w:rPr>
                <w:rFonts w:ascii="Times New Roman" w:hAnsi="Times New Roman" w:cs="Times New Roman"/>
                <w:b/>
                <w:sz w:val="18"/>
                <w:szCs w:val="20"/>
              </w:rPr>
              <w:t xml:space="preserve">Study sample </w:t>
            </w:r>
          </w:p>
          <w:p w:rsidR="00422192" w:rsidRPr="00F51500" w:rsidRDefault="00422192" w:rsidP="00713504">
            <w:pPr>
              <w:spacing w:line="360" w:lineRule="auto"/>
              <w:rPr>
                <w:rFonts w:ascii="Times New Roman" w:hAnsi="Times New Roman" w:cs="Times New Roman"/>
                <w:b/>
                <w:sz w:val="18"/>
                <w:szCs w:val="20"/>
              </w:rPr>
            </w:pPr>
            <w:r w:rsidRPr="00F51500">
              <w:rPr>
                <w:rFonts w:ascii="Times New Roman" w:hAnsi="Times New Roman" w:cs="Times New Roman"/>
                <w:b/>
                <w:sz w:val="18"/>
                <w:szCs w:val="20"/>
              </w:rPr>
              <w:t>(% of farms interviewed)</w:t>
            </w:r>
          </w:p>
        </w:tc>
        <w:tc>
          <w:tcPr>
            <w:tcW w:w="2290" w:type="dxa"/>
            <w:tcBorders>
              <w:left w:val="nil"/>
              <w:bottom w:val="single" w:sz="4" w:space="0" w:color="auto"/>
              <w:right w:val="nil"/>
            </w:tcBorders>
            <w:vAlign w:val="center"/>
          </w:tcPr>
          <w:p w:rsidR="00422192" w:rsidRPr="00F51500" w:rsidRDefault="00422192" w:rsidP="00713504">
            <w:pPr>
              <w:spacing w:line="360" w:lineRule="auto"/>
              <w:rPr>
                <w:rFonts w:ascii="Times New Roman" w:hAnsi="Times New Roman" w:cs="Times New Roman"/>
                <w:b/>
                <w:sz w:val="18"/>
                <w:szCs w:val="20"/>
              </w:rPr>
            </w:pPr>
            <w:r>
              <w:rPr>
                <w:rFonts w:ascii="Times New Roman" w:hAnsi="Times New Roman" w:cs="Times New Roman"/>
                <w:b/>
                <w:sz w:val="18"/>
                <w:szCs w:val="20"/>
              </w:rPr>
              <w:t>Existing data</w:t>
            </w:r>
          </w:p>
          <w:p w:rsidR="00422192" w:rsidRPr="00F51500" w:rsidRDefault="00422192" w:rsidP="00713504">
            <w:pPr>
              <w:spacing w:line="360" w:lineRule="auto"/>
              <w:rPr>
                <w:rFonts w:ascii="Times New Roman" w:hAnsi="Times New Roman" w:cs="Times New Roman"/>
                <w:b/>
                <w:sz w:val="18"/>
                <w:szCs w:val="20"/>
              </w:rPr>
            </w:pPr>
            <w:r w:rsidRPr="00F51500">
              <w:rPr>
                <w:rFonts w:ascii="Times New Roman" w:hAnsi="Times New Roman" w:cs="Times New Roman"/>
                <w:b/>
                <w:sz w:val="18"/>
                <w:szCs w:val="20"/>
              </w:rPr>
              <w:t>(% of farms with UAA)</w:t>
            </w:r>
          </w:p>
        </w:tc>
      </w:tr>
      <w:tr w:rsidR="00422192" w:rsidRPr="00CA7494" w:rsidTr="00713504">
        <w:trPr>
          <w:trHeight w:val="299"/>
        </w:trPr>
        <w:tc>
          <w:tcPr>
            <w:tcW w:w="2093" w:type="dxa"/>
            <w:tcBorders>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 xml:space="preserve">Farm land cover </w:t>
            </w:r>
          </w:p>
        </w:tc>
        <w:tc>
          <w:tcPr>
            <w:tcW w:w="2459" w:type="dxa"/>
            <w:tcBorders>
              <w:left w:val="nil"/>
              <w:bottom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 xml:space="preserve">Olive trees  </w:t>
            </w:r>
          </w:p>
        </w:tc>
        <w:tc>
          <w:tcPr>
            <w:tcW w:w="2296" w:type="dxa"/>
            <w:tcBorders>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99</w:t>
            </w:r>
          </w:p>
        </w:tc>
        <w:tc>
          <w:tcPr>
            <w:tcW w:w="2290" w:type="dxa"/>
            <w:tcBorders>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100</w:t>
            </w:r>
          </w:p>
        </w:tc>
      </w:tr>
      <w:tr w:rsidR="00422192" w:rsidRPr="00CA7494" w:rsidTr="00713504">
        <w:trPr>
          <w:trHeight w:val="270"/>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p>
        </w:tc>
        <w:tc>
          <w:tcPr>
            <w:tcW w:w="2459" w:type="dxa"/>
            <w:tcBorders>
              <w:top w:val="nil"/>
              <w:left w:val="nil"/>
              <w:bottom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Grazing</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21</w:t>
            </w:r>
          </w:p>
        </w:tc>
        <w:tc>
          <w:tcPr>
            <w:tcW w:w="2290" w:type="dxa"/>
            <w:tcBorders>
              <w:top w:val="nil"/>
              <w:left w:val="nil"/>
              <w:bottom w:val="nil"/>
              <w:right w:val="nil"/>
            </w:tcBorders>
            <w:vAlign w:val="center"/>
          </w:tcPr>
          <w:p w:rsidR="00422192" w:rsidRPr="00CA7494" w:rsidRDefault="00422192" w:rsidP="00713504">
            <w:pPr>
              <w:tabs>
                <w:tab w:val="left" w:pos="502"/>
              </w:tabs>
              <w:spacing w:line="360" w:lineRule="auto"/>
              <w:jc w:val="center"/>
              <w:rPr>
                <w:rFonts w:ascii="Times New Roman" w:hAnsi="Times New Roman" w:cs="Times New Roman"/>
                <w:sz w:val="18"/>
                <w:szCs w:val="20"/>
              </w:rPr>
            </w:pPr>
            <w:r>
              <w:rPr>
                <w:rFonts w:ascii="Times New Roman" w:hAnsi="Times New Roman" w:cs="Times New Roman"/>
                <w:sz w:val="18"/>
                <w:szCs w:val="20"/>
              </w:rPr>
              <w:t>11</w:t>
            </w:r>
          </w:p>
        </w:tc>
      </w:tr>
      <w:tr w:rsidR="00422192" w:rsidRPr="00CA7494" w:rsidTr="00713504">
        <w:trPr>
          <w:trHeight w:val="247"/>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p>
        </w:tc>
        <w:tc>
          <w:tcPr>
            <w:tcW w:w="2459" w:type="dxa"/>
            <w:tcBorders>
              <w:top w:val="nil"/>
              <w:left w:val="nil"/>
              <w:bottom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 xml:space="preserve">Arable </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36</w:t>
            </w:r>
          </w:p>
        </w:tc>
        <w:tc>
          <w:tcPr>
            <w:tcW w:w="2290" w:type="dxa"/>
            <w:tcBorders>
              <w:top w:val="nil"/>
              <w:left w:val="nil"/>
              <w:bottom w:val="nil"/>
              <w:right w:val="nil"/>
            </w:tcBorders>
            <w:vAlign w:val="center"/>
          </w:tcPr>
          <w:p w:rsidR="00422192" w:rsidRDefault="00422192" w:rsidP="00713504">
            <w:pPr>
              <w:tabs>
                <w:tab w:val="left" w:pos="502"/>
              </w:tabs>
              <w:spacing w:line="360" w:lineRule="auto"/>
              <w:jc w:val="center"/>
              <w:rPr>
                <w:rFonts w:ascii="Times New Roman" w:hAnsi="Times New Roman" w:cs="Times New Roman"/>
                <w:sz w:val="18"/>
                <w:szCs w:val="20"/>
              </w:rPr>
            </w:pPr>
            <w:r>
              <w:rPr>
                <w:rFonts w:ascii="Times New Roman" w:hAnsi="Times New Roman" w:cs="Times New Roman"/>
                <w:sz w:val="18"/>
                <w:szCs w:val="20"/>
              </w:rPr>
              <w:t>5</w:t>
            </w:r>
          </w:p>
        </w:tc>
      </w:tr>
      <w:tr w:rsidR="00422192" w:rsidRPr="00CA7494" w:rsidTr="00713504">
        <w:trPr>
          <w:trHeight w:val="223"/>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p>
        </w:tc>
        <w:tc>
          <w:tcPr>
            <w:tcW w:w="2459" w:type="dxa"/>
            <w:tcBorders>
              <w:top w:val="nil"/>
              <w:left w:val="nil"/>
              <w:bottom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On-farm built infrastructure</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4</w:t>
            </w:r>
          </w:p>
        </w:tc>
        <w:tc>
          <w:tcPr>
            <w:tcW w:w="2290" w:type="dxa"/>
            <w:tcBorders>
              <w:top w:val="nil"/>
              <w:left w:val="nil"/>
              <w:bottom w:val="nil"/>
              <w:right w:val="nil"/>
            </w:tcBorders>
            <w:vAlign w:val="center"/>
          </w:tcPr>
          <w:p w:rsidR="00422192" w:rsidRDefault="00422192" w:rsidP="00713504">
            <w:pPr>
              <w:tabs>
                <w:tab w:val="left" w:pos="502"/>
              </w:tabs>
              <w:spacing w:line="360" w:lineRule="auto"/>
              <w:jc w:val="center"/>
              <w:rPr>
                <w:rFonts w:ascii="Times New Roman" w:hAnsi="Times New Roman" w:cs="Times New Roman"/>
                <w:sz w:val="18"/>
                <w:szCs w:val="20"/>
              </w:rPr>
            </w:pPr>
            <w:r>
              <w:rPr>
                <w:rFonts w:ascii="Times New Roman" w:hAnsi="Times New Roman" w:cs="Times New Roman"/>
                <w:sz w:val="18"/>
                <w:szCs w:val="20"/>
              </w:rPr>
              <w:t>N.D.</w:t>
            </w:r>
          </w:p>
        </w:tc>
      </w:tr>
      <w:tr w:rsidR="00422192" w:rsidRPr="00CA7494" w:rsidTr="00713504">
        <w:trPr>
          <w:trHeight w:val="458"/>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 xml:space="preserve">Size of farming system </w:t>
            </w:r>
          </w:p>
        </w:tc>
        <w:tc>
          <w:tcPr>
            <w:tcW w:w="2459" w:type="dxa"/>
            <w:tcBorders>
              <w:top w:val="nil"/>
              <w:left w:val="nil"/>
              <w:bottom w:val="nil"/>
              <w:right w:val="nil"/>
            </w:tcBorders>
            <w:vAlign w:val="center"/>
          </w:tcPr>
          <w:p w:rsidR="00422192"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Small-holders</w:t>
            </w:r>
          </w:p>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(&lt; 5ha)</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60</w:t>
            </w:r>
          </w:p>
        </w:tc>
        <w:tc>
          <w:tcPr>
            <w:tcW w:w="2290"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N.D.*</w:t>
            </w:r>
          </w:p>
        </w:tc>
      </w:tr>
      <w:tr w:rsidR="00422192" w:rsidRPr="00CA7494" w:rsidTr="00713504">
        <w:trPr>
          <w:trHeight w:val="406"/>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p>
        </w:tc>
        <w:tc>
          <w:tcPr>
            <w:tcW w:w="2459" w:type="dxa"/>
            <w:tcBorders>
              <w:top w:val="nil"/>
              <w:left w:val="nil"/>
              <w:bottom w:val="nil"/>
              <w:right w:val="nil"/>
            </w:tcBorders>
            <w:vAlign w:val="center"/>
          </w:tcPr>
          <w:p w:rsidR="00422192"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 xml:space="preserve">Large farmland owners </w:t>
            </w:r>
          </w:p>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(&gt; 10ha)</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16</w:t>
            </w:r>
          </w:p>
        </w:tc>
        <w:tc>
          <w:tcPr>
            <w:tcW w:w="2290"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N.D.*</w:t>
            </w:r>
          </w:p>
        </w:tc>
      </w:tr>
      <w:tr w:rsidR="00422192" w:rsidRPr="00CA7494" w:rsidTr="00713504">
        <w:trPr>
          <w:trHeight w:val="207"/>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Management inputs used</w:t>
            </w:r>
          </w:p>
        </w:tc>
        <w:tc>
          <w:tcPr>
            <w:tcW w:w="2459" w:type="dxa"/>
            <w:tcBorders>
              <w:top w:val="nil"/>
              <w:left w:val="nil"/>
              <w:bottom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Fertilizer</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76</w:t>
            </w:r>
          </w:p>
        </w:tc>
        <w:tc>
          <w:tcPr>
            <w:tcW w:w="2290"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77</w:t>
            </w:r>
          </w:p>
        </w:tc>
      </w:tr>
      <w:tr w:rsidR="00422192" w:rsidRPr="00CA7494" w:rsidTr="00713504">
        <w:trPr>
          <w:trHeight w:val="165"/>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p>
        </w:tc>
        <w:tc>
          <w:tcPr>
            <w:tcW w:w="2459" w:type="dxa"/>
            <w:tcBorders>
              <w:top w:val="nil"/>
              <w:left w:val="nil"/>
              <w:bottom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 xml:space="preserve">Machinery </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72</w:t>
            </w:r>
          </w:p>
        </w:tc>
        <w:tc>
          <w:tcPr>
            <w:tcW w:w="2290"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N.D.</w:t>
            </w:r>
          </w:p>
        </w:tc>
      </w:tr>
      <w:tr w:rsidR="00422192" w:rsidRPr="00CA7494" w:rsidTr="00713504">
        <w:trPr>
          <w:trHeight w:val="80"/>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p>
        </w:tc>
        <w:tc>
          <w:tcPr>
            <w:tcW w:w="2459" w:type="dxa"/>
            <w:tcBorders>
              <w:top w:val="nil"/>
              <w:left w:val="nil"/>
              <w:bottom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 xml:space="preserve">Hired labor </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72</w:t>
            </w:r>
          </w:p>
        </w:tc>
        <w:tc>
          <w:tcPr>
            <w:tcW w:w="2290"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N.D.</w:t>
            </w:r>
          </w:p>
        </w:tc>
      </w:tr>
      <w:tr w:rsidR="00422192" w:rsidRPr="00CA7494" w:rsidTr="00713504">
        <w:trPr>
          <w:trHeight w:val="117"/>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p>
        </w:tc>
        <w:tc>
          <w:tcPr>
            <w:tcW w:w="2459" w:type="dxa"/>
            <w:tcBorders>
              <w:top w:val="nil"/>
              <w:left w:val="nil"/>
              <w:bottom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Pesticides</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24</w:t>
            </w:r>
          </w:p>
        </w:tc>
        <w:tc>
          <w:tcPr>
            <w:tcW w:w="2290"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30</w:t>
            </w:r>
          </w:p>
        </w:tc>
      </w:tr>
      <w:tr w:rsidR="00422192" w:rsidRPr="00CA7494" w:rsidTr="00713504">
        <w:trPr>
          <w:trHeight w:val="236"/>
        </w:trPr>
        <w:tc>
          <w:tcPr>
            <w:tcW w:w="2093" w:type="dxa"/>
            <w:tcBorders>
              <w:top w:val="nil"/>
              <w:left w:val="nil"/>
              <w:bottom w:val="nil"/>
              <w:right w:val="nil"/>
            </w:tcBorders>
          </w:tcPr>
          <w:p w:rsidR="00422192" w:rsidRPr="00CA7494" w:rsidRDefault="00422192" w:rsidP="00713504">
            <w:pPr>
              <w:spacing w:line="360" w:lineRule="auto"/>
              <w:rPr>
                <w:rFonts w:ascii="Times New Roman" w:hAnsi="Times New Roman" w:cs="Times New Roman"/>
                <w:sz w:val="18"/>
                <w:szCs w:val="20"/>
              </w:rPr>
            </w:pPr>
          </w:p>
        </w:tc>
        <w:tc>
          <w:tcPr>
            <w:tcW w:w="2459" w:type="dxa"/>
            <w:tcBorders>
              <w:top w:val="nil"/>
              <w:left w:val="nil"/>
              <w:bottom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Herbicides</w:t>
            </w:r>
          </w:p>
        </w:tc>
        <w:tc>
          <w:tcPr>
            <w:tcW w:w="2296"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26</w:t>
            </w:r>
          </w:p>
        </w:tc>
        <w:tc>
          <w:tcPr>
            <w:tcW w:w="2290" w:type="dxa"/>
            <w:tcBorders>
              <w:top w:val="nil"/>
              <w:left w:val="nil"/>
              <w:bottom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30</w:t>
            </w:r>
          </w:p>
        </w:tc>
      </w:tr>
      <w:tr w:rsidR="00422192" w:rsidRPr="00CA7494" w:rsidTr="00713504">
        <w:trPr>
          <w:trHeight w:val="211"/>
        </w:trPr>
        <w:tc>
          <w:tcPr>
            <w:tcW w:w="2093" w:type="dxa"/>
            <w:tcBorders>
              <w:top w:val="nil"/>
              <w:left w:val="nil"/>
              <w:right w:val="nil"/>
            </w:tcBorders>
          </w:tcPr>
          <w:p w:rsidR="00422192" w:rsidRPr="00CA7494" w:rsidRDefault="00422192" w:rsidP="00713504">
            <w:pPr>
              <w:spacing w:line="360" w:lineRule="auto"/>
              <w:rPr>
                <w:rFonts w:ascii="Times New Roman" w:hAnsi="Times New Roman" w:cs="Times New Roman"/>
                <w:sz w:val="18"/>
                <w:szCs w:val="20"/>
              </w:rPr>
            </w:pPr>
          </w:p>
        </w:tc>
        <w:tc>
          <w:tcPr>
            <w:tcW w:w="2459" w:type="dxa"/>
            <w:tcBorders>
              <w:top w:val="nil"/>
              <w:left w:val="nil"/>
              <w:right w:val="nil"/>
            </w:tcBorders>
            <w:vAlign w:val="center"/>
          </w:tcPr>
          <w:p w:rsidR="00422192" w:rsidRPr="00CA7494" w:rsidRDefault="00422192" w:rsidP="00713504">
            <w:pPr>
              <w:spacing w:line="360" w:lineRule="auto"/>
              <w:rPr>
                <w:rFonts w:ascii="Times New Roman" w:hAnsi="Times New Roman" w:cs="Times New Roman"/>
                <w:sz w:val="18"/>
                <w:szCs w:val="20"/>
              </w:rPr>
            </w:pPr>
            <w:r>
              <w:rPr>
                <w:rFonts w:ascii="Times New Roman" w:hAnsi="Times New Roman" w:cs="Times New Roman"/>
                <w:sz w:val="18"/>
                <w:szCs w:val="20"/>
              </w:rPr>
              <w:t xml:space="preserve">Irrigation </w:t>
            </w:r>
          </w:p>
        </w:tc>
        <w:tc>
          <w:tcPr>
            <w:tcW w:w="2296" w:type="dxa"/>
            <w:tcBorders>
              <w:top w:val="nil"/>
              <w:left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38</w:t>
            </w:r>
          </w:p>
        </w:tc>
        <w:tc>
          <w:tcPr>
            <w:tcW w:w="2290" w:type="dxa"/>
            <w:tcBorders>
              <w:top w:val="nil"/>
              <w:left w:val="nil"/>
              <w:right w:val="nil"/>
            </w:tcBorders>
            <w:vAlign w:val="center"/>
          </w:tcPr>
          <w:p w:rsidR="00422192" w:rsidRPr="00CA7494" w:rsidRDefault="00422192" w:rsidP="00713504">
            <w:pPr>
              <w:spacing w:line="360" w:lineRule="auto"/>
              <w:jc w:val="center"/>
              <w:rPr>
                <w:rFonts w:ascii="Times New Roman" w:hAnsi="Times New Roman" w:cs="Times New Roman"/>
                <w:sz w:val="18"/>
                <w:szCs w:val="20"/>
              </w:rPr>
            </w:pPr>
            <w:r>
              <w:rPr>
                <w:rFonts w:ascii="Times New Roman" w:hAnsi="Times New Roman" w:cs="Times New Roman"/>
                <w:sz w:val="18"/>
                <w:szCs w:val="20"/>
              </w:rPr>
              <w:t>3**</w:t>
            </w:r>
          </w:p>
        </w:tc>
      </w:tr>
    </w:tbl>
    <w:p w:rsidR="00422192" w:rsidRDefault="00422192" w:rsidP="00422192">
      <w:pPr>
        <w:rPr>
          <w:rFonts w:ascii="Times New Roman" w:hAnsi="Times New Roman" w:cs="Times New Roman"/>
          <w:sz w:val="24"/>
        </w:rPr>
      </w:pPr>
    </w:p>
    <w:p w:rsidR="00713504" w:rsidRPr="00713504" w:rsidRDefault="00713504" w:rsidP="00713504">
      <w:pPr>
        <w:spacing w:after="0"/>
        <w:jc w:val="both"/>
        <w:rPr>
          <w:rFonts w:ascii="Times New Roman" w:hAnsi="Times New Roman" w:cs="Times New Roman"/>
          <w:i/>
          <w:sz w:val="24"/>
        </w:rPr>
      </w:pPr>
      <w:r>
        <w:rPr>
          <w:rFonts w:ascii="Times New Roman" w:hAnsi="Times New Roman" w:cs="Times New Roman"/>
          <w:i/>
          <w:sz w:val="24"/>
        </w:rPr>
        <w:t>Surveyed tourists:</w:t>
      </w:r>
    </w:p>
    <w:p w:rsidR="00422192" w:rsidRDefault="00422192" w:rsidP="00713504">
      <w:pPr>
        <w:spacing w:after="0"/>
        <w:jc w:val="both"/>
        <w:rPr>
          <w:rFonts w:ascii="Times New Roman" w:hAnsi="Times New Roman" w:cs="Times New Roman"/>
          <w:sz w:val="24"/>
        </w:rPr>
      </w:pPr>
      <w:r w:rsidRPr="0014484C">
        <w:rPr>
          <w:rFonts w:ascii="Times New Roman" w:hAnsi="Times New Roman" w:cs="Times New Roman"/>
          <w:sz w:val="24"/>
          <w:szCs w:val="20"/>
        </w:rPr>
        <w:t xml:space="preserve">63% of respondents </w:t>
      </w:r>
      <w:r w:rsidR="00581559">
        <w:rPr>
          <w:rFonts w:ascii="Times New Roman" w:hAnsi="Times New Roman" w:cs="Times New Roman"/>
          <w:sz w:val="24"/>
          <w:szCs w:val="20"/>
        </w:rPr>
        <w:t xml:space="preserve">interviewed </w:t>
      </w:r>
      <w:r w:rsidRPr="0014484C">
        <w:rPr>
          <w:rFonts w:ascii="Times New Roman" w:hAnsi="Times New Roman" w:cs="Times New Roman"/>
          <w:sz w:val="24"/>
          <w:szCs w:val="20"/>
        </w:rPr>
        <w:t>were female</w:t>
      </w:r>
      <w:r w:rsidR="00581559">
        <w:rPr>
          <w:rFonts w:ascii="Times New Roman" w:hAnsi="Times New Roman" w:cs="Times New Roman"/>
          <w:sz w:val="24"/>
          <w:szCs w:val="20"/>
        </w:rPr>
        <w:t xml:space="preserve"> and </w:t>
      </w:r>
      <w:r w:rsidRPr="0014484C">
        <w:rPr>
          <w:rFonts w:ascii="Times New Roman" w:hAnsi="Times New Roman" w:cs="Times New Roman"/>
          <w:sz w:val="24"/>
          <w:szCs w:val="20"/>
        </w:rPr>
        <w:t>37% were male. 27% of the respondents were below 29 years of age, 54% were in between 30 and 59 years and 19% above 60. Respondents resided in 15 different countries, the largest fraction</w:t>
      </w:r>
      <w:r>
        <w:rPr>
          <w:rFonts w:ascii="Times New Roman" w:hAnsi="Times New Roman" w:cs="Times New Roman"/>
          <w:sz w:val="24"/>
          <w:szCs w:val="20"/>
        </w:rPr>
        <w:t>s</w:t>
      </w:r>
      <w:r w:rsidRPr="0014484C">
        <w:rPr>
          <w:rFonts w:ascii="Times New Roman" w:hAnsi="Times New Roman" w:cs="Times New Roman"/>
          <w:sz w:val="24"/>
          <w:szCs w:val="20"/>
        </w:rPr>
        <w:t xml:space="preserve"> in Germany (37%)</w:t>
      </w:r>
      <w:r>
        <w:rPr>
          <w:rFonts w:ascii="Times New Roman" w:hAnsi="Times New Roman" w:cs="Times New Roman"/>
          <w:sz w:val="24"/>
          <w:szCs w:val="20"/>
        </w:rPr>
        <w:t>,</w:t>
      </w:r>
      <w:r w:rsidRPr="0014484C">
        <w:rPr>
          <w:rFonts w:ascii="Times New Roman" w:hAnsi="Times New Roman" w:cs="Times New Roman"/>
          <w:sz w:val="24"/>
          <w:szCs w:val="20"/>
        </w:rPr>
        <w:t xml:space="preserve"> Belgium (11%), the </w:t>
      </w:r>
      <w:r w:rsidRPr="0014484C">
        <w:rPr>
          <w:rFonts w:ascii="Times New Roman" w:hAnsi="Times New Roman" w:cs="Times New Roman"/>
          <w:sz w:val="24"/>
          <w:szCs w:val="20"/>
        </w:rPr>
        <w:lastRenderedPageBreak/>
        <w:t xml:space="preserve">United Kingdom (11%) and Austria (10%). </w:t>
      </w:r>
      <w:r w:rsidRPr="0014484C">
        <w:rPr>
          <w:rFonts w:ascii="Times New Roman" w:hAnsi="Times New Roman" w:cs="Times New Roman"/>
          <w:sz w:val="24"/>
        </w:rPr>
        <w:t xml:space="preserve">Despite the relatively low number of respondents, these sample characteristics match census data </w:t>
      </w:r>
      <w:r w:rsidRPr="0014484C">
        <w:rPr>
          <w:rFonts w:ascii="Times New Roman" w:hAnsi="Times New Roman" w:cs="Times New Roman"/>
          <w:sz w:val="24"/>
        </w:rPr>
        <w:fldChar w:fldCharType="begin" w:fldLock="1"/>
      </w:r>
      <w:r w:rsidR="0077756E">
        <w:rPr>
          <w:rFonts w:ascii="Times New Roman" w:hAnsi="Times New Roman" w:cs="Times New Roman"/>
          <w:sz w:val="24"/>
        </w:rPr>
        <w:instrText>ADDIN CSL_CITATION { "citationItems" : [ { "id" : "ITEM-1", "itemData" : { "URL" : "www.statistics.gr", "author" : [ { "dropping-particle" : "", "family" : "ELSTAT", "given" : "", "non-dropping-particle" : "", "parse-names" : false, "suffix" : "" } ], "id" : "ITEM-1", "issued" : { "date-parts" : [ [ "2011" ] ] }, "title" : "Hellenic Statistical Authority", "type" : "webpage" }, "uris" : [ "http://www.mendeley.com/documents/?uuid=ecd6991b-e94b-4e46-9a59-bd41a65b10f2" ] } ], "mendeley" : { "formattedCitation" : "(ELSTAT, 2011)", "plainTextFormattedCitation" : "(ELSTAT, 2011)", "previouslyFormattedCitation" : "(ELSTAT 2011a)" }, "properties" : { "noteIndex" : 0 }, "schema" : "https://github.com/citation-style-language/schema/raw/master/csl-citation.json" }</w:instrText>
      </w:r>
      <w:r w:rsidRPr="0014484C">
        <w:rPr>
          <w:rFonts w:ascii="Times New Roman" w:hAnsi="Times New Roman" w:cs="Times New Roman"/>
          <w:sz w:val="24"/>
        </w:rPr>
        <w:fldChar w:fldCharType="separate"/>
      </w:r>
      <w:r w:rsidR="0077756E" w:rsidRPr="0077756E">
        <w:rPr>
          <w:rFonts w:ascii="Times New Roman" w:hAnsi="Times New Roman" w:cs="Times New Roman"/>
          <w:noProof/>
          <w:sz w:val="24"/>
        </w:rPr>
        <w:t>(ELSTAT, 2011)</w:t>
      </w:r>
      <w:r w:rsidRPr="0014484C">
        <w:rPr>
          <w:rFonts w:ascii="Times New Roman" w:hAnsi="Times New Roman" w:cs="Times New Roman"/>
          <w:sz w:val="24"/>
        </w:rPr>
        <w:fldChar w:fldCharType="end"/>
      </w:r>
      <w:r w:rsidRPr="0014484C">
        <w:rPr>
          <w:rFonts w:ascii="Times New Roman" w:hAnsi="Times New Roman" w:cs="Times New Roman"/>
          <w:sz w:val="24"/>
        </w:rPr>
        <w:t xml:space="preserve"> and </w:t>
      </w:r>
      <w:r>
        <w:rPr>
          <w:rFonts w:ascii="Times New Roman" w:hAnsi="Times New Roman" w:cs="Times New Roman"/>
          <w:sz w:val="24"/>
        </w:rPr>
        <w:t xml:space="preserve">that of </w:t>
      </w:r>
      <w:r w:rsidRPr="0014484C">
        <w:rPr>
          <w:rFonts w:ascii="Times New Roman" w:hAnsi="Times New Roman" w:cs="Times New Roman"/>
          <w:sz w:val="24"/>
        </w:rPr>
        <w:t xml:space="preserve">other tourism studies on Lesvos (see </w:t>
      </w:r>
      <w:r w:rsidRPr="0014484C">
        <w:rPr>
          <w:rFonts w:ascii="Times New Roman" w:hAnsi="Times New Roman" w:cs="Times New Roman"/>
          <w:sz w:val="24"/>
        </w:rPr>
        <w:fldChar w:fldCharType="begin" w:fldLock="1"/>
      </w:r>
      <w:r w:rsidR="0077756E">
        <w:rPr>
          <w:rFonts w:ascii="Times New Roman" w:hAnsi="Times New Roman" w:cs="Times New Roman"/>
          <w:sz w:val="24"/>
        </w:rPr>
        <w:instrText>ADDIN CSL_CITATION { "citationItems" : [ { "id" : "ITEM-1", "itemData" : { "author" : [ { "dropping-particle" : "", "family" : "Papanis", "given" : "Efstratios", "non-dropping-particle" : "", "parse-names" : false, "suffix" : "" }, { "dropping-particle" : "", "family" : "Kitrinou", "given" : "Eleni", "non-dropping-particle" : "", "parse-names" : false, "suffix" : "" } ], "container-title" : "Tourismos: An International Multidisciplinary Journal of Tourism", "genre" : "JOUR", "id" : "ITEM-1", "issue" : "2", "issued" : { "date-parts" : [ [ "2011" ] ] }, "page" : "313-331", "title" : "The Role of alternative types of tourism and ict-strategy for the tourism industry of Levos", "type" : "article-journal", "volume" : "6" }, "uris" : [ "http://www.mendeley.com/documents/?uuid=7b7c8596-6c38-418f-8690-bb0753920e4f" ] }, { "id" : "ITEM-2", "itemData" : { "author" : [ { "dropping-particle" : "", "family" : "Rontos", "given" : "Kostas", "non-dropping-particle" : "", "parse-names" : false, "suffix" : "" }, { "dropping-particle" : "", "family" : "Papanis", "given" : "Efstratios", "non-dropping-particle" : "", "parse-names" : false, "suffix" : "" }, { "dropping-particle" : "", "family" : "Kitrinou", "given" : "Eleni", "non-dropping-particle" : "", "parse-names" : false, "suffix" : "" } ], "container-title" : "Journal of Management Sciences and Regional Development", "id" : "ITEM-2", "issue" : "7", "issued" : { "date-parts" : [ [ "2011" ] ] }, "title" : "Analysing tourist's profile, holidays' characteristics and perceived tourist cost at Lesvos Island, Greece", "type" : "article-journal" }, "uris" : [ "http://www.mendeley.com/documents/?uuid=c2d883db-f84e-459d-87b5-71a2dde2dd55" ] } ], "mendeley" : { "formattedCitation" : "(Papanis &amp; Kitrinou, 2011; Rontos, Papanis, &amp; Kitrinou, 2011)", "manualFormatting" : "Rontos et al. (2011)", "plainTextFormattedCitation" : "(Papanis &amp; Kitrinou, 2011; Rontos, Papanis, &amp; Kitrinou, 2011)", "previouslyFormattedCitation" : "(Papanis and Kitrinou 2011; Rontos et al. 2011)" }, "properties" : { "noteIndex" : 0 }, "schema" : "https://github.com/citation-style-language/schema/raw/master/csl-citation.json" }</w:instrText>
      </w:r>
      <w:r w:rsidRPr="0014484C">
        <w:rPr>
          <w:rFonts w:ascii="Times New Roman" w:hAnsi="Times New Roman" w:cs="Times New Roman"/>
          <w:sz w:val="24"/>
        </w:rPr>
        <w:fldChar w:fldCharType="separate"/>
      </w:r>
      <w:r w:rsidRPr="0014484C">
        <w:rPr>
          <w:rFonts w:ascii="Times New Roman" w:hAnsi="Times New Roman" w:cs="Times New Roman"/>
          <w:noProof/>
          <w:sz w:val="24"/>
        </w:rPr>
        <w:t>Rontos et al. (2011)</w:t>
      </w:r>
      <w:r w:rsidRPr="0014484C">
        <w:rPr>
          <w:rFonts w:ascii="Times New Roman" w:hAnsi="Times New Roman" w:cs="Times New Roman"/>
          <w:sz w:val="24"/>
        </w:rPr>
        <w:fldChar w:fldCharType="end"/>
      </w:r>
      <w:r w:rsidRPr="0014484C">
        <w:rPr>
          <w:rFonts w:ascii="Times New Roman" w:hAnsi="Times New Roman" w:cs="Times New Roman"/>
          <w:sz w:val="24"/>
        </w:rPr>
        <w:t>), where approximately 60% of respondents are female</w:t>
      </w:r>
      <w:r>
        <w:rPr>
          <w:rFonts w:ascii="Times New Roman" w:hAnsi="Times New Roman" w:cs="Times New Roman"/>
          <w:sz w:val="24"/>
        </w:rPr>
        <w:t xml:space="preserve"> and</w:t>
      </w:r>
      <w:r w:rsidRPr="0014484C">
        <w:rPr>
          <w:rFonts w:ascii="Times New Roman" w:hAnsi="Times New Roman" w:cs="Times New Roman"/>
          <w:sz w:val="24"/>
        </w:rPr>
        <w:t xml:space="preserve"> international visitors are dominated by residents of the United Kingdom, Netherlands, Germany and Denmark (in addition to Turkish visitors arriving by ferry, these nationalities represent a</w:t>
      </w:r>
      <w:r w:rsidR="00581559">
        <w:rPr>
          <w:rFonts w:ascii="Times New Roman" w:hAnsi="Times New Roman" w:cs="Times New Roman"/>
          <w:sz w:val="24"/>
        </w:rPr>
        <w:t xml:space="preserve">pproximately 70% of visitors in </w:t>
      </w:r>
      <w:r w:rsidRPr="0014484C">
        <w:rPr>
          <w:rFonts w:ascii="Times New Roman" w:hAnsi="Times New Roman" w:cs="Times New Roman"/>
          <w:sz w:val="24"/>
        </w:rPr>
        <w:t xml:space="preserve">2012). </w:t>
      </w:r>
      <w:r>
        <w:rPr>
          <w:rFonts w:ascii="Times New Roman" w:hAnsi="Times New Roman" w:cs="Times New Roman"/>
          <w:sz w:val="24"/>
        </w:rPr>
        <w:br w:type="page"/>
      </w:r>
    </w:p>
    <w:p w:rsidR="00713504" w:rsidRPr="008541A6" w:rsidRDefault="00422192" w:rsidP="008541A6">
      <w:pPr>
        <w:pStyle w:val="ListParagraph"/>
        <w:numPr>
          <w:ilvl w:val="0"/>
          <w:numId w:val="5"/>
        </w:numPr>
        <w:rPr>
          <w:rFonts w:ascii="Times New Roman" w:hAnsi="Times New Roman" w:cs="Times New Roman"/>
          <w:b/>
          <w:sz w:val="24"/>
        </w:rPr>
      </w:pPr>
      <w:r w:rsidRPr="008541A6">
        <w:rPr>
          <w:rFonts w:ascii="Times New Roman" w:hAnsi="Times New Roman" w:cs="Times New Roman"/>
          <w:b/>
          <w:sz w:val="24"/>
        </w:rPr>
        <w:lastRenderedPageBreak/>
        <w:t>Review of classifications of olive plantation typologies relevant for construction of landscape preference survey</w:t>
      </w:r>
    </w:p>
    <w:p w:rsidR="00713504" w:rsidRPr="00713504" w:rsidRDefault="00713504" w:rsidP="00FE276F">
      <w:pPr>
        <w:spacing w:after="0" w:line="360" w:lineRule="auto"/>
        <w:rPr>
          <w:rFonts w:ascii="Times New Roman" w:hAnsi="Times New Roman" w:cs="Times New Roman"/>
          <w:sz w:val="24"/>
        </w:rPr>
      </w:pPr>
      <w:r w:rsidRPr="00713504">
        <w:rPr>
          <w:rFonts w:ascii="Times New Roman" w:hAnsi="Times New Roman" w:cs="Times New Roman"/>
          <w:b/>
          <w:sz w:val="24"/>
          <w:szCs w:val="18"/>
        </w:rPr>
        <w:t xml:space="preserve">Table 2 </w:t>
      </w:r>
      <w:r w:rsidRPr="00713504">
        <w:rPr>
          <w:rFonts w:ascii="Times New Roman" w:hAnsi="Times New Roman" w:cs="Times New Roman"/>
          <w:sz w:val="24"/>
          <w:szCs w:val="18"/>
        </w:rPr>
        <w:t>Defining visual attributes of existing olive plantation types at multiple scales, and establishing links with land use change trajectories</w:t>
      </w:r>
    </w:p>
    <w:tbl>
      <w:tblPr>
        <w:tblStyle w:val="TableGrid"/>
        <w:tblpPr w:leftFromText="180" w:rightFromText="180" w:vertAnchor="text" w:horzAnchor="margin" w:tblpXSpec="center" w:tblpY="668"/>
        <w:tblW w:w="1032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9"/>
        <w:gridCol w:w="1557"/>
        <w:gridCol w:w="2491"/>
        <w:gridCol w:w="2616"/>
        <w:gridCol w:w="2103"/>
      </w:tblGrid>
      <w:tr w:rsidR="00422192" w:rsidRPr="00D157AA" w:rsidTr="00713504">
        <w:trPr>
          <w:trHeight w:val="273"/>
        </w:trPr>
        <w:tc>
          <w:tcPr>
            <w:tcW w:w="1559" w:type="dxa"/>
            <w:tcBorders>
              <w:top w:val="single" w:sz="4" w:space="0" w:color="auto"/>
              <w:bottom w:val="nil"/>
            </w:tcBorders>
          </w:tcPr>
          <w:p w:rsidR="00422192" w:rsidRPr="00D157AA" w:rsidRDefault="00422192" w:rsidP="00FE276F">
            <w:pPr>
              <w:spacing w:after="0"/>
              <w:jc w:val="center"/>
              <w:rPr>
                <w:rFonts w:ascii="Times New Roman" w:hAnsi="Times New Roman" w:cs="Times New Roman"/>
                <w:b/>
                <w:sz w:val="18"/>
                <w:szCs w:val="18"/>
              </w:rPr>
            </w:pPr>
            <w:r w:rsidRPr="00D157AA">
              <w:rPr>
                <w:rFonts w:ascii="Times New Roman" w:hAnsi="Times New Roman" w:cs="Times New Roman"/>
                <w:b/>
                <w:sz w:val="18"/>
                <w:szCs w:val="18"/>
              </w:rPr>
              <w:t>Land use change trajectory grouping</w:t>
            </w:r>
          </w:p>
        </w:tc>
        <w:tc>
          <w:tcPr>
            <w:tcW w:w="1557" w:type="dxa"/>
            <w:tcBorders>
              <w:top w:val="single" w:sz="4" w:space="0" w:color="auto"/>
              <w:bottom w:val="nil"/>
            </w:tcBorders>
          </w:tcPr>
          <w:p w:rsidR="00422192" w:rsidRPr="00D157AA" w:rsidRDefault="00422192" w:rsidP="00FE276F">
            <w:pPr>
              <w:spacing w:after="0"/>
              <w:rPr>
                <w:rFonts w:ascii="Times New Roman" w:hAnsi="Times New Roman" w:cs="Times New Roman"/>
                <w:b/>
                <w:sz w:val="18"/>
                <w:szCs w:val="18"/>
              </w:rPr>
            </w:pPr>
            <w:r w:rsidRPr="00D157AA">
              <w:rPr>
                <w:rFonts w:ascii="Times New Roman" w:hAnsi="Times New Roman" w:cs="Times New Roman"/>
                <w:b/>
                <w:sz w:val="18"/>
                <w:szCs w:val="18"/>
              </w:rPr>
              <w:t>Plantation typology(ies)</w:t>
            </w:r>
          </w:p>
        </w:tc>
        <w:tc>
          <w:tcPr>
            <w:tcW w:w="5107" w:type="dxa"/>
            <w:gridSpan w:val="2"/>
            <w:tcBorders>
              <w:top w:val="single" w:sz="4" w:space="0" w:color="auto"/>
              <w:bottom w:val="nil"/>
            </w:tcBorders>
          </w:tcPr>
          <w:p w:rsidR="00422192" w:rsidRPr="00D157AA" w:rsidRDefault="00422192" w:rsidP="00FE276F">
            <w:pPr>
              <w:spacing w:after="0"/>
              <w:rPr>
                <w:rFonts w:ascii="Times New Roman" w:hAnsi="Times New Roman" w:cs="Times New Roman"/>
                <w:b/>
                <w:sz w:val="18"/>
                <w:szCs w:val="18"/>
              </w:rPr>
            </w:pPr>
            <w:r w:rsidRPr="00D157AA">
              <w:rPr>
                <w:rFonts w:ascii="Times New Roman" w:hAnsi="Times New Roman" w:cs="Times New Roman"/>
                <w:b/>
                <w:sz w:val="18"/>
                <w:szCs w:val="18"/>
              </w:rPr>
              <w:t xml:space="preserve">Visual attributes </w:t>
            </w:r>
          </w:p>
        </w:tc>
        <w:tc>
          <w:tcPr>
            <w:tcW w:w="2103" w:type="dxa"/>
            <w:tcBorders>
              <w:top w:val="single" w:sz="4" w:space="0" w:color="auto"/>
              <w:bottom w:val="nil"/>
            </w:tcBorders>
          </w:tcPr>
          <w:p w:rsidR="00422192" w:rsidRPr="00D157AA" w:rsidRDefault="00422192" w:rsidP="00FE276F">
            <w:pPr>
              <w:spacing w:after="0"/>
              <w:rPr>
                <w:rFonts w:ascii="Times New Roman" w:hAnsi="Times New Roman" w:cs="Times New Roman"/>
                <w:b/>
                <w:sz w:val="18"/>
                <w:szCs w:val="18"/>
              </w:rPr>
            </w:pPr>
            <w:r w:rsidRPr="00D157AA">
              <w:rPr>
                <w:rFonts w:ascii="Times New Roman" w:hAnsi="Times New Roman" w:cs="Times New Roman"/>
                <w:b/>
                <w:sz w:val="18"/>
                <w:szCs w:val="18"/>
              </w:rPr>
              <w:t xml:space="preserve">Supporting literature </w:t>
            </w:r>
          </w:p>
        </w:tc>
      </w:tr>
      <w:tr w:rsidR="00422192" w:rsidRPr="00D157AA" w:rsidTr="00713504">
        <w:trPr>
          <w:trHeight w:val="273"/>
        </w:trPr>
        <w:tc>
          <w:tcPr>
            <w:tcW w:w="1559" w:type="dxa"/>
            <w:tcBorders>
              <w:top w:val="nil"/>
              <w:bottom w:val="single" w:sz="4" w:space="0" w:color="auto"/>
            </w:tcBorders>
          </w:tcPr>
          <w:p w:rsidR="00422192" w:rsidRPr="00D157AA" w:rsidRDefault="00422192" w:rsidP="00FE276F">
            <w:pPr>
              <w:spacing w:after="0"/>
              <w:rPr>
                <w:rFonts w:ascii="Times New Roman" w:hAnsi="Times New Roman" w:cs="Times New Roman"/>
                <w:b/>
                <w:sz w:val="18"/>
                <w:szCs w:val="18"/>
              </w:rPr>
            </w:pPr>
          </w:p>
        </w:tc>
        <w:tc>
          <w:tcPr>
            <w:tcW w:w="1557" w:type="dxa"/>
            <w:tcBorders>
              <w:top w:val="nil"/>
              <w:bottom w:val="single" w:sz="4" w:space="0" w:color="auto"/>
            </w:tcBorders>
          </w:tcPr>
          <w:p w:rsidR="00422192" w:rsidRPr="00D157AA" w:rsidRDefault="00422192" w:rsidP="00FE276F">
            <w:pPr>
              <w:spacing w:after="0"/>
              <w:rPr>
                <w:rFonts w:ascii="Times New Roman" w:hAnsi="Times New Roman" w:cs="Times New Roman"/>
                <w:b/>
                <w:sz w:val="18"/>
                <w:szCs w:val="18"/>
              </w:rPr>
            </w:pPr>
          </w:p>
        </w:tc>
        <w:tc>
          <w:tcPr>
            <w:tcW w:w="2491" w:type="dxa"/>
            <w:tcBorders>
              <w:top w:val="nil"/>
              <w:bottom w:val="single" w:sz="4" w:space="0" w:color="auto"/>
            </w:tcBorders>
          </w:tcPr>
          <w:p w:rsidR="00422192" w:rsidRPr="00D157AA" w:rsidRDefault="00422192" w:rsidP="00FE276F">
            <w:pPr>
              <w:spacing w:after="0"/>
              <w:rPr>
                <w:rFonts w:ascii="Times New Roman" w:hAnsi="Times New Roman" w:cs="Times New Roman"/>
                <w:b/>
                <w:sz w:val="18"/>
                <w:szCs w:val="18"/>
              </w:rPr>
            </w:pPr>
            <w:r w:rsidRPr="00D157AA">
              <w:rPr>
                <w:rFonts w:ascii="Times New Roman" w:hAnsi="Times New Roman" w:cs="Times New Roman"/>
                <w:b/>
                <w:sz w:val="18"/>
                <w:szCs w:val="18"/>
              </w:rPr>
              <w:t>(A) View-shed perspective</w:t>
            </w:r>
          </w:p>
        </w:tc>
        <w:tc>
          <w:tcPr>
            <w:tcW w:w="2616" w:type="dxa"/>
            <w:tcBorders>
              <w:top w:val="nil"/>
              <w:bottom w:val="single" w:sz="4" w:space="0" w:color="auto"/>
            </w:tcBorders>
          </w:tcPr>
          <w:p w:rsidR="00422192" w:rsidRPr="00D157AA" w:rsidRDefault="00422192" w:rsidP="00FE276F">
            <w:pPr>
              <w:spacing w:after="0"/>
              <w:rPr>
                <w:rFonts w:ascii="Times New Roman" w:hAnsi="Times New Roman" w:cs="Times New Roman"/>
                <w:b/>
                <w:sz w:val="18"/>
                <w:szCs w:val="18"/>
              </w:rPr>
            </w:pPr>
            <w:r w:rsidRPr="00D157AA">
              <w:rPr>
                <w:rFonts w:ascii="Times New Roman" w:hAnsi="Times New Roman" w:cs="Times New Roman"/>
                <w:b/>
                <w:sz w:val="18"/>
                <w:szCs w:val="18"/>
              </w:rPr>
              <w:t>(B) Plot-level perspective</w:t>
            </w:r>
          </w:p>
        </w:tc>
        <w:tc>
          <w:tcPr>
            <w:tcW w:w="2103" w:type="dxa"/>
            <w:tcBorders>
              <w:top w:val="nil"/>
              <w:bottom w:val="single" w:sz="4" w:space="0" w:color="auto"/>
            </w:tcBorders>
          </w:tcPr>
          <w:p w:rsidR="00422192" w:rsidRPr="00D157AA" w:rsidRDefault="00422192" w:rsidP="00FE276F">
            <w:pPr>
              <w:spacing w:after="0"/>
              <w:rPr>
                <w:rFonts w:ascii="Times New Roman" w:hAnsi="Times New Roman" w:cs="Times New Roman"/>
                <w:b/>
                <w:sz w:val="18"/>
                <w:szCs w:val="18"/>
              </w:rPr>
            </w:pPr>
          </w:p>
        </w:tc>
      </w:tr>
      <w:tr w:rsidR="00422192" w:rsidRPr="00D157AA" w:rsidTr="00713504">
        <w:trPr>
          <w:trHeight w:val="1408"/>
        </w:trPr>
        <w:tc>
          <w:tcPr>
            <w:tcW w:w="1559" w:type="dxa"/>
            <w:tcBorders>
              <w:top w:val="single" w:sz="4" w:space="0" w:color="auto"/>
              <w:bottom w:val="single" w:sz="4" w:space="0" w:color="auto"/>
            </w:tcBorders>
            <w:vAlign w:val="center"/>
          </w:tcPr>
          <w:p w:rsidR="00422192" w:rsidRPr="00D157AA" w:rsidRDefault="00422192" w:rsidP="00FE276F">
            <w:pPr>
              <w:spacing w:after="0"/>
              <w:jc w:val="center"/>
              <w:rPr>
                <w:rFonts w:ascii="Times New Roman" w:hAnsi="Times New Roman" w:cs="Times New Roman"/>
                <w:sz w:val="18"/>
                <w:szCs w:val="18"/>
              </w:rPr>
            </w:pPr>
            <w:r w:rsidRPr="00D157AA">
              <w:rPr>
                <w:rFonts w:ascii="Times New Roman" w:hAnsi="Times New Roman" w:cs="Times New Roman"/>
                <w:sz w:val="18"/>
                <w:szCs w:val="18"/>
              </w:rPr>
              <w:t>Traditionality</w:t>
            </w:r>
          </w:p>
        </w:tc>
        <w:tc>
          <w:tcPr>
            <w:tcW w:w="1557" w:type="dxa"/>
            <w:tcBorders>
              <w:top w:val="single" w:sz="4" w:space="0" w:color="auto"/>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(1) Low-input traditional</w:t>
            </w:r>
          </w:p>
          <w:p w:rsidR="00422192" w:rsidRPr="00D157AA" w:rsidRDefault="00422192" w:rsidP="00FE276F">
            <w:pPr>
              <w:spacing w:after="0"/>
              <w:rPr>
                <w:rFonts w:ascii="Times New Roman" w:hAnsi="Times New Roman" w:cs="Times New Roman"/>
                <w:sz w:val="18"/>
                <w:szCs w:val="18"/>
              </w:rPr>
            </w:pP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(2) Organic </w:t>
            </w:r>
          </w:p>
        </w:tc>
        <w:tc>
          <w:tcPr>
            <w:tcW w:w="2491" w:type="dxa"/>
            <w:tcBorders>
              <w:top w:val="single" w:sz="4" w:space="0" w:color="auto"/>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-Steep/sloping land (hills, mountains)- marginal land</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-Terraces</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-Sparsely vegetated (low density, i.e. 20-50 trees/ha)</w:t>
            </w:r>
          </w:p>
        </w:tc>
        <w:tc>
          <w:tcPr>
            <w:tcW w:w="2616" w:type="dxa"/>
            <w:tcBorders>
              <w:top w:val="single" w:sz="4" w:space="0" w:color="auto"/>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-Terraced </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-No understory cultivation or cover due tillage/mowing</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-Pruned </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-Old/ancient (&gt; 50 years)</w:t>
            </w:r>
          </w:p>
          <w:p w:rsidR="00422192" w:rsidRPr="00D157AA" w:rsidRDefault="00FE276F" w:rsidP="00FE276F">
            <w:pPr>
              <w:spacing w:after="0"/>
              <w:rPr>
                <w:rFonts w:ascii="Times New Roman" w:hAnsi="Times New Roman" w:cs="Times New Roman"/>
                <w:sz w:val="18"/>
                <w:szCs w:val="18"/>
              </w:rPr>
            </w:pPr>
            <w:r>
              <w:rPr>
                <w:rFonts w:ascii="Times New Roman" w:hAnsi="Times New Roman" w:cs="Times New Roman"/>
                <w:sz w:val="18"/>
                <w:szCs w:val="18"/>
              </w:rPr>
              <w:t>-Large canopy</w:t>
            </w:r>
          </w:p>
        </w:tc>
        <w:tc>
          <w:tcPr>
            <w:tcW w:w="2103" w:type="dxa"/>
            <w:tcBorders>
              <w:top w:val="single" w:sz="4" w:space="0" w:color="auto"/>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fldChar w:fldCharType="begin" w:fldLock="1"/>
            </w:r>
            <w:r w:rsidR="0077756E">
              <w:rPr>
                <w:rFonts w:ascii="Times New Roman" w:hAnsi="Times New Roman" w:cs="Times New Roman"/>
                <w:sz w:val="18"/>
                <w:szCs w:val="18"/>
              </w:rPr>
              <w:instrText>ADDIN CSL_CITATION { "citationItems" : [ { "id" : "ITEM-1", "itemData" : { "PMID" : "55", "author" : [ { "dropping-particle" : "", "family" : "Beaufoy", "given" : "Guy", "non-dropping-particle" : "", "parse-names" : false, "suffix" : "" } ], "id" : "ITEM-1", "issued" : { "date-parts" : [ [ "2001" ] ] }, "page" : "0-73", "title" : "The Environmental Impact of Olive oil Production in the European Union: Practical Options for Improving the Environmental Impact", "type" : "article-journal", "volume" : "5210" }, "uris" : [ "http://www.mendeley.com/documents/?uuid=049597ef-e9b1-478d-b8c4-cb7882094c61" ] }, { "id" : "ITEM-2", "itemData" : { "DOI" : "10.1111/j.1744-7348.2008.00260.x", "ISSN" : "00034746", "author" : [ { "dropping-particle" : "", "family" : "Fleskens", "given" : "L.", "non-dropping-particle" : "", "parse-names" : false, "suffix" : "" } ], "container-title" : "Annals of Applied Biology", "id" : "ITEM-2", "issue" : "3", "issued" : { "date-parts" : [ [ "2008" ] ] }, "page" : "283-297", "title" : "A typology of sloping and mountainous olive plantation systems to address natural resources management", "type" : "article-journal", "volume" : "153" }, "uris" : [ "http://www.mendeley.com/documents/?uuid=e1f0d9fd-3d7b-4ff4-b872-c0f68d2a4daa" ] }, { "id" : "ITEM-3", "itemData" : { "DOI" : "10.1080/01426390802048297", "ISSN" : "0142-6397", "abstract" : "Abstract In this paper, agricultural landscape change at the small scale (for example, at the farm and field level) is studied to conceptualize the processes that change these landscapes (such as features, forms and functions) according to the decisions that farmers make. The case study is olive plantations on the island of Lesvos, Greece. The five-year differences in land cover, land use and landscape at the small scale of a number of olive fields in the same area are studied in three dimensions: symbolic, productive and ecological, with data that come from the observation of practices and vegetation measurements. A conceptual framework is constructed that links the changes of six different landscapes at the individual olive field level with specific management choices of farmers. Findings demonstrate that although olive plantations are of the same land cover and land use class as at the large scale, diverging practices create different landscapes at the small scale along a continuous line with many inte...", "author" : [ { "dropping-particle" : "", "family" : "Kizos", "given" : "Thanasis", "non-dropping-particle" : "", "parse-names" : false, "suffix" : "" }, { "dropping-particle" : "", "family" : "Koulouri", "given" : "Maria", "non-dropping-particle" : "", "parse-names" : false, "suffix" : "" } ], "container-title" : "Landscape Research", "id" : "ITEM-3", "issue" : "4", "issued" : { "date-parts" : [ [ "2010", "8", "27" ] ] }, "language" : "en", "page" : "449-467", "publisher" : "Routledge", "title" : "Same Land Cover, Same Land Use at the Large Scale, Different Landscapes at the Small Scale: Landscape Change in Olive Plantations on Lesvos Island, Greece", "type" : "article-journal", "volume" : "35" }, "uris" : [ "http://www.mendeley.com/documents/?uuid=8181507a-2987-45c7-90ae-3ac64f2bcd0b" ] } ], "mendeley" : { "formattedCitation" : "(Beaufoy, 2001; Fleskens, 2008; Kizos &amp; Koulouri, 2010)", "plainTextFormattedCitation" : "(Beaufoy, 2001; Fleskens, 2008; Kizos &amp; Koulouri, 2010)", "previouslyFormattedCitation" : "(Beaufoy 2001; Fleskens 2008; Kizos and Koulouri 2010)" }, "properties" : { "noteIndex" : 0 }, "schema" : "https://github.com/citation-style-language/schema/raw/master/csl-citation.json" }</w:instrText>
            </w:r>
            <w:r w:rsidRPr="00D157AA">
              <w:rPr>
                <w:rFonts w:ascii="Times New Roman" w:hAnsi="Times New Roman" w:cs="Times New Roman"/>
                <w:sz w:val="18"/>
                <w:szCs w:val="18"/>
              </w:rPr>
              <w:fldChar w:fldCharType="separate"/>
            </w:r>
            <w:r w:rsidR="0077756E" w:rsidRPr="0077756E">
              <w:rPr>
                <w:rFonts w:ascii="Times New Roman" w:hAnsi="Times New Roman" w:cs="Times New Roman"/>
                <w:noProof/>
                <w:sz w:val="18"/>
                <w:szCs w:val="18"/>
              </w:rPr>
              <w:t>(Beaufoy, 2001; Fleskens, 2008; Kizos &amp; Koulouri, 2010)</w:t>
            </w:r>
            <w:r w:rsidRPr="00D157AA">
              <w:rPr>
                <w:rFonts w:ascii="Times New Roman" w:hAnsi="Times New Roman" w:cs="Times New Roman"/>
                <w:sz w:val="18"/>
                <w:szCs w:val="18"/>
              </w:rPr>
              <w:fldChar w:fldCharType="end"/>
            </w:r>
          </w:p>
          <w:p w:rsidR="00422192" w:rsidRPr="00D157AA" w:rsidRDefault="00422192" w:rsidP="00FE276F">
            <w:pPr>
              <w:spacing w:after="0"/>
              <w:rPr>
                <w:rFonts w:ascii="Times New Roman" w:hAnsi="Times New Roman" w:cs="Times New Roman"/>
                <w:sz w:val="18"/>
                <w:szCs w:val="18"/>
              </w:rPr>
            </w:pPr>
          </w:p>
          <w:p w:rsidR="00422192" w:rsidRPr="00D157AA" w:rsidRDefault="00422192" w:rsidP="00FE276F">
            <w:pPr>
              <w:spacing w:after="0"/>
              <w:rPr>
                <w:rFonts w:ascii="Times New Roman" w:hAnsi="Times New Roman" w:cs="Times New Roman"/>
                <w:i/>
                <w:sz w:val="18"/>
                <w:szCs w:val="18"/>
              </w:rPr>
            </w:pPr>
            <w:r>
              <w:rPr>
                <w:rFonts w:ascii="Times New Roman" w:hAnsi="Times New Roman" w:cs="Times New Roman"/>
                <w:i/>
                <w:sz w:val="18"/>
                <w:szCs w:val="18"/>
              </w:rPr>
              <w:fldChar w:fldCharType="begin" w:fldLock="1"/>
            </w:r>
            <w:r w:rsidR="0077756E">
              <w:rPr>
                <w:rFonts w:ascii="Times New Roman" w:hAnsi="Times New Roman" w:cs="Times New Roman"/>
                <w:i/>
                <w:sz w:val="18"/>
                <w:szCs w:val="18"/>
              </w:rPr>
              <w:instrText>ADDIN CSL_CITATION { "citationItems" : [ { "id" : "ITEM-1", "itemData" : { "abstract" : "Agroforestry is a cultivation technique that combines tree growing with arable cultivation or grazing of the trees understorey. It has a very long history around the world with very different cultivations (both for trees and in the understorey) and management systems. In the Mediterranean, early agroforestry systems were developed since the beginning of farming and some of the systems still encountered today date from the end of the Neolithic or early historic times. In this paper, some typical agroforestry systems of the Mediterranean are presented with a specific focus on their management systems and the landscapes they produce. These systems are considered as \u201cbetter\u201d in regard with environmental management than similar \u201cmodern\u201d systems. Recently, some of these systems face abandonment due to extensive socioeconomic changes that have taken place in the areas they are found. Geographically, the examples are from Spain and Greece and in land use terms they cover olive cultivation \u2013 grazing, oak cultivation \u2013 grazing and chestnut cultivation \u2013 grazing. With the use of research material from Lesvos Island and C\u00e1ceres Province, the different management systems are presented in brief along with recent management changes and an initial exploration of their impacts in economic, social and environmental terms.", "author" : [ { "dropping-particle" : "", "family" : "Kizos", "given" : "Thanasis", "non-dropping-particle" : "", "parse-names" : false, "suffix" : "" }, { "dropping-particle" : "", "family" : "Plieninger", "given" : "Tobias", "non-dropping-particle" : "", "parse-names" : false, "suffix" : "" } ], "genre" : "JOUR", "id" : "ITEM-1", "issued" : { "date-parts" : [ [ "0" ] ] }, "title" : "Agroforestry systems change in the Mediterranean: Some evidence from Greek and Spanish examples", "type" : "article-journal" }, "uris" : [ "http://www.mendeley.com/documents/?uuid=36299eb3-80c7-4e6b-b717-55a889e79dc4" ] }, { "id" : "ITEM-2", "itemData" : { "abstract" : "HERCULES develops insights, tools, technologies and strategies and applies and tests these at regional case studies that span major environmental and land use history gradients throughout Europe. As a project that specifically refers to landscapes, the case studies form a cornerstone for HERCULES. This report describes the selection of the HERCULES case studies (in the following termed study landscapes, SLs) regarding the criteria considered and the process carried out. As a second part, it contains an overview of all SLs and provides a detailed profile for each area, including cartographic information. Attending to the criteria defined in the HERCULES Description of Work, a five step-process was carried out to identify the SLs. This encompassed 1) an open call for proposals of SL candidates among the HERCULES projects partners, 2) the evaluation of the suitability of proposed SLs by the leaders of those WPs that are active at the SL scale, 3) a decision on the SLs taken by the responsible WP 3 team and the project coordinator, 4) an adjustment process in order to achieve a maximum overlap of the activities of different WPs in the SLs, and 5) the selection of specific focus areas/study municipalities (SMs) within the larger SLs, to be referred to e.g. for more detailed map analyses or closer stakeholder interaction. This process resulted in the identification of nine SLs: 1) Vooremaa and Kodavere (Estonia), 2) Lesvos (Greece), 3) Obersimmental (Switzerland), 4) Grand Parc de Miribel Jonage, Rh\u00f4ne-Alpes area (France), 5) Sierra de Guadarrama foothills (Spain), 6) Parque Naturel Regional d\u2019Armorique (France), 7) South West Devon (United Kingdom), 8) Dutch river delta Rhine-Meuse (Netherlands), and 9) Uppland (Sweden). These SLs span a variety of different characteristics (e.g. the major biogeographical zones of Europe), include both outstanding heritage features and everyday landscapes with more hidden historical layers, cover rural and urban areas and are all firmly embedded in the project via a local contact person who is member of the HERCULES consortium. The case study selection was a joint enterprise to which all HERCULES partners actively contributed. It involved several typical challenges for Pan-European multi-partner projects, ranging from the homogenisation of material from different languages and administrative systems to the development of an integrative and well-balanced agreement on the potential of proposed sites beyond specific personal in\u2026", "author" : [ { "dropping-particle" : "", "family" : "Bieling", "given" : "Claudia", "non-dropping-particle" : "", "parse-names" : false, "suffix" : "" }, { "dropping-particle" : "", "family" : "B\u00fcrgi", "given" : "Matthias", "non-dropping-particle" : "", "parse-names" : false, "suffix" : "" } ], "id" : "ITEM-2", "issued" : { "date-parts" : [ [ "2014" ] ] }, "number-of-pages" : "93", "title" : "D3.1 List and documentation of case study landscapes selected for HERCULES", "type" : "report" }, "uris" : [ "http://www.mendeley.com/documents/?uuid=818256d8-7585-49c9-97a3-0950ffecbf0f" ] } ], "mendeley" : { "formattedCitation" : "(Bieling &amp; B\u00fcrgi, 2014; Kizos &amp; Plieninger, n.d.)", "plainTextFormattedCitation" : "(Bieling &amp; B\u00fcrgi, 2014; Kizos &amp; Plieninger, n.d.)", "previouslyFormattedCitation" : "(Bieling and B\u00fcrgi 2014; Kizos and Plieninger n.d.)" }, "properties" : { "noteIndex" : 0 }, "schema" : "https://github.com/citation-style-language/schema/raw/master/csl-citation.json" }</w:instrText>
            </w:r>
            <w:r>
              <w:rPr>
                <w:rFonts w:ascii="Times New Roman" w:hAnsi="Times New Roman" w:cs="Times New Roman"/>
                <w:i/>
                <w:sz w:val="18"/>
                <w:szCs w:val="18"/>
              </w:rPr>
              <w:fldChar w:fldCharType="separate"/>
            </w:r>
            <w:r w:rsidR="0077756E" w:rsidRPr="0077756E">
              <w:rPr>
                <w:rFonts w:ascii="Times New Roman" w:hAnsi="Times New Roman" w:cs="Times New Roman"/>
                <w:noProof/>
                <w:sz w:val="18"/>
                <w:szCs w:val="18"/>
              </w:rPr>
              <w:t>(Bieling &amp; Bürgi, 2014; Kizos &amp; Plieninger, n.d.)</w:t>
            </w:r>
            <w:r>
              <w:rPr>
                <w:rFonts w:ascii="Times New Roman" w:hAnsi="Times New Roman" w:cs="Times New Roman"/>
                <w:i/>
                <w:sz w:val="18"/>
                <w:szCs w:val="18"/>
              </w:rPr>
              <w:fldChar w:fldCharType="end"/>
            </w:r>
          </w:p>
        </w:tc>
      </w:tr>
      <w:tr w:rsidR="00422192" w:rsidRPr="00D157AA" w:rsidTr="00713504">
        <w:trPr>
          <w:trHeight w:val="1033"/>
        </w:trPr>
        <w:tc>
          <w:tcPr>
            <w:tcW w:w="1559" w:type="dxa"/>
            <w:vMerge w:val="restart"/>
            <w:tcBorders>
              <w:top w:val="single" w:sz="4" w:space="0" w:color="auto"/>
              <w:bottom w:val="nil"/>
            </w:tcBorders>
            <w:vAlign w:val="center"/>
          </w:tcPr>
          <w:p w:rsidR="00422192" w:rsidRPr="00D157AA" w:rsidRDefault="00422192" w:rsidP="00FE276F">
            <w:pPr>
              <w:spacing w:after="0"/>
              <w:jc w:val="center"/>
              <w:rPr>
                <w:rFonts w:ascii="Times New Roman" w:hAnsi="Times New Roman" w:cs="Times New Roman"/>
                <w:sz w:val="18"/>
                <w:szCs w:val="18"/>
              </w:rPr>
            </w:pPr>
            <w:r w:rsidRPr="00D157AA">
              <w:rPr>
                <w:rFonts w:ascii="Times New Roman" w:hAnsi="Times New Roman" w:cs="Times New Roman"/>
                <w:sz w:val="18"/>
                <w:szCs w:val="18"/>
              </w:rPr>
              <w:t>Intensification</w:t>
            </w:r>
          </w:p>
        </w:tc>
        <w:tc>
          <w:tcPr>
            <w:tcW w:w="1557" w:type="dxa"/>
            <w:tcBorders>
              <w:top w:val="single" w:sz="4" w:space="0" w:color="auto"/>
              <w:bottom w:val="nil"/>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(1) Intensive traditional</w:t>
            </w:r>
          </w:p>
          <w:p w:rsidR="00422192" w:rsidRPr="00D157AA" w:rsidRDefault="00422192" w:rsidP="00FE276F">
            <w:pPr>
              <w:spacing w:after="0"/>
              <w:rPr>
                <w:rFonts w:ascii="Times New Roman" w:hAnsi="Times New Roman" w:cs="Times New Roman"/>
                <w:sz w:val="18"/>
                <w:szCs w:val="18"/>
              </w:rPr>
            </w:pP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(2) Organic </w:t>
            </w:r>
          </w:p>
        </w:tc>
        <w:tc>
          <w:tcPr>
            <w:tcW w:w="2491" w:type="dxa"/>
            <w:tcBorders>
              <w:top w:val="single" w:sz="4" w:space="0" w:color="auto"/>
              <w:bottom w:val="nil"/>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-Hilly/rolling plains</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-Higher density than low-input traditional (80-250 trees/ha) </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-Mix of younger and older trees</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-May have understory cover/cultivation</w:t>
            </w:r>
            <w:r w:rsidRPr="00D157AA">
              <w:rPr>
                <w:rFonts w:ascii="Times New Roman" w:hAnsi="Times New Roman" w:cs="Times New Roman"/>
                <w:sz w:val="18"/>
                <w:szCs w:val="18"/>
              </w:rPr>
              <w:br/>
              <w:t xml:space="preserve">-May be terraced </w:t>
            </w:r>
          </w:p>
        </w:tc>
        <w:tc>
          <w:tcPr>
            <w:tcW w:w="2616" w:type="dxa"/>
            <w:tcBorders>
              <w:top w:val="single" w:sz="4" w:space="0" w:color="auto"/>
              <w:bottom w:val="nil"/>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-Younger (30 years)</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-Pruned</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-Understory may be cultivated</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-May use irrigation</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-May be terraced </w:t>
            </w:r>
          </w:p>
        </w:tc>
        <w:tc>
          <w:tcPr>
            <w:tcW w:w="2103" w:type="dxa"/>
            <w:tcBorders>
              <w:top w:val="single" w:sz="4" w:space="0" w:color="auto"/>
              <w:bottom w:val="nil"/>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fldChar w:fldCharType="begin" w:fldLock="1"/>
            </w:r>
            <w:r w:rsidR="0077756E">
              <w:rPr>
                <w:rFonts w:ascii="Times New Roman" w:hAnsi="Times New Roman" w:cs="Times New Roman"/>
                <w:sz w:val="18"/>
                <w:szCs w:val="18"/>
              </w:rPr>
              <w:instrText>ADDIN CSL_CITATION { "citationItems" : [ { "id" : "ITEM-1", "itemData" : { "PMID" : "55", "author" : [ { "dropping-particle" : "", "family" : "Beaufoy", "given" : "Guy", "non-dropping-particle" : "", "parse-names" : false, "suffix" : "" } ], "id" : "ITEM-1", "issued" : { "date-parts" : [ [ "2001" ] ] }, "page" : "0-73", "title" : "The Environmental Impact of Olive oil Production in the European Union: Practical Options for Improving the Environmental Impact", "type" : "article-journal", "volume" : "5210" }, "uris" : [ "http://www.mendeley.com/documents/?uuid=049597ef-e9b1-478d-b8c4-cb7882094c61" ] }, { "id" : "ITEM-2", "itemData" : { "DOI" : "10.1111/j.1744-7348.2008.00260.x", "ISSN" : "00034746", "author" : [ { "dropping-particle" : "", "family" : "Fleskens", "given" : "L.", "non-dropping-particle" : "", "parse-names" : false, "suffix" : "" } ], "container-title" : "Annals of Applied Biology", "id" : "ITEM-2", "issue" : "3", "issued" : { "date-parts" : [ [ "2008" ] ] }, "page" : "283-297", "title" : "A typology of sloping and mountainous olive plantation systems to address natural resources management", "type" : "article-journal", "volume" : "153" }, "uris" : [ "http://www.mendeley.com/documents/?uuid=e1f0d9fd-3d7b-4ff4-b872-c0f68d2a4daa" ] }, { "id" : "ITEM-3", "itemData" : { "DOI" : "10.1080/01426390802048297", "ISSN" : "0142-6397", "abstract" : "Abstract In this paper, agricultural landscape change at the small scale (for example, at the farm and field level) is studied to conceptualize the processes that change these landscapes (such as features, forms and functions) according to the decisions that farmers make. The case study is olive plantations on the island of Lesvos, Greece. The five-year differences in land cover, land use and landscape at the small scale of a number of olive fields in the same area are studied in three dimensions: symbolic, productive and ecological, with data that come from the observation of practices and vegetation measurements. A conceptual framework is constructed that links the changes of six different landscapes at the individual olive field level with specific management choices of farmers. Findings demonstrate that although olive plantations are of the same land cover and land use class as at the large scale, diverging practices create different landscapes at the small scale along a continuous line with many inte...", "author" : [ { "dropping-particle" : "", "family" : "Kizos", "given" : "Thanasis", "non-dropping-particle" : "", "parse-names" : false, "suffix" : "" }, { "dropping-particle" : "", "family" : "Koulouri", "given" : "Maria", "non-dropping-particle" : "", "parse-names" : false, "suffix" : "" } ], "container-title" : "Landscape Research", "id" : "ITEM-3", "issue" : "4", "issued" : { "date-parts" : [ [ "2010", "8", "27" ] ] }, "language" : "en", "page" : "449-467", "publisher" : "Routledge", "title" : "Same Land Cover, Same Land Use at the Large Scale, Different Landscapes at the Small Scale: Landscape Change in Olive Plantations on Lesvos Island, Greece", "type" : "article-journal", "volume" : "35" }, "uris" : [ "http://www.mendeley.com/documents/?uuid=8181507a-2987-45c7-90ae-3ac64f2bcd0b" ] } ], "mendeley" : { "formattedCitation" : "(Beaufoy, 2001; Fleskens, 2008; Kizos &amp; Koulouri, 2010)", "plainTextFormattedCitation" : "(Beaufoy, 2001; Fleskens, 2008; Kizos &amp; Koulouri, 2010)", "previouslyFormattedCitation" : "(Beaufoy 2001; Fleskens 2008; Kizos and Koulouri 2010)" }, "properties" : { "noteIndex" : 0 }, "schema" : "https://github.com/citation-style-language/schema/raw/master/csl-citation.json" }</w:instrText>
            </w:r>
            <w:r w:rsidRPr="00D157AA">
              <w:rPr>
                <w:rFonts w:ascii="Times New Roman" w:hAnsi="Times New Roman" w:cs="Times New Roman"/>
                <w:sz w:val="18"/>
                <w:szCs w:val="18"/>
              </w:rPr>
              <w:fldChar w:fldCharType="separate"/>
            </w:r>
            <w:r w:rsidR="0077756E" w:rsidRPr="0077756E">
              <w:rPr>
                <w:rFonts w:ascii="Times New Roman" w:hAnsi="Times New Roman" w:cs="Times New Roman"/>
                <w:noProof/>
                <w:sz w:val="18"/>
                <w:szCs w:val="18"/>
              </w:rPr>
              <w:t>(Beaufoy, 2001; Fleskens, 2008; Kizos &amp; Koulouri, 2010)</w:t>
            </w:r>
            <w:r w:rsidRPr="00D157AA">
              <w:rPr>
                <w:rFonts w:ascii="Times New Roman" w:hAnsi="Times New Roman" w:cs="Times New Roman"/>
                <w:sz w:val="18"/>
                <w:szCs w:val="18"/>
              </w:rPr>
              <w:fldChar w:fldCharType="end"/>
            </w:r>
          </w:p>
          <w:p w:rsidR="00422192" w:rsidRPr="00D157AA" w:rsidRDefault="00422192" w:rsidP="00FE276F">
            <w:pPr>
              <w:spacing w:after="0"/>
              <w:rPr>
                <w:rFonts w:ascii="Times New Roman" w:hAnsi="Times New Roman" w:cs="Times New Roman"/>
                <w:sz w:val="18"/>
                <w:szCs w:val="18"/>
              </w:rPr>
            </w:pPr>
          </w:p>
        </w:tc>
      </w:tr>
      <w:tr w:rsidR="00422192" w:rsidRPr="00D157AA" w:rsidTr="00713504">
        <w:trPr>
          <w:trHeight w:val="1108"/>
        </w:trPr>
        <w:tc>
          <w:tcPr>
            <w:tcW w:w="1559" w:type="dxa"/>
            <w:vMerge/>
            <w:tcBorders>
              <w:top w:val="nil"/>
              <w:bottom w:val="single" w:sz="4" w:space="0" w:color="auto"/>
            </w:tcBorders>
          </w:tcPr>
          <w:p w:rsidR="00422192" w:rsidRPr="00D157AA" w:rsidRDefault="00422192" w:rsidP="00FE276F">
            <w:pPr>
              <w:spacing w:after="0"/>
              <w:rPr>
                <w:rFonts w:ascii="Times New Roman" w:hAnsi="Times New Roman" w:cs="Times New Roman"/>
                <w:sz w:val="18"/>
                <w:szCs w:val="18"/>
              </w:rPr>
            </w:pPr>
          </w:p>
        </w:tc>
        <w:tc>
          <w:tcPr>
            <w:tcW w:w="1557" w:type="dxa"/>
            <w:tcBorders>
              <w:top w:val="nil"/>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(3) Intensive </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modern</w:t>
            </w:r>
          </w:p>
        </w:tc>
        <w:tc>
          <w:tcPr>
            <w:tcW w:w="2491" w:type="dxa"/>
            <w:tcBorders>
              <w:top w:val="nil"/>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-Rolling/flat plains</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-High density (200-4000 trees/ha)</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-Allow mechanization; “vineyard alignment”</w:t>
            </w:r>
          </w:p>
        </w:tc>
        <w:tc>
          <w:tcPr>
            <w:tcW w:w="2616" w:type="dxa"/>
            <w:tcBorders>
              <w:top w:val="nil"/>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-Short-stem variety</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-Younger trees (20 years)</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-Drip irrigation</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-No understory</w:t>
            </w:r>
          </w:p>
        </w:tc>
        <w:tc>
          <w:tcPr>
            <w:tcW w:w="2103" w:type="dxa"/>
            <w:tcBorders>
              <w:top w:val="nil"/>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fldChar w:fldCharType="begin" w:fldLock="1"/>
            </w:r>
            <w:r w:rsidR="0077756E">
              <w:rPr>
                <w:rFonts w:ascii="Times New Roman" w:hAnsi="Times New Roman" w:cs="Times New Roman"/>
                <w:sz w:val="18"/>
                <w:szCs w:val="18"/>
              </w:rPr>
              <w:instrText>ADDIN CSL_CITATION { "citationItems" : [ { "id" : "ITEM-1", "itemData" : { "PMID" : "55", "author" : [ { "dropping-particle" : "", "family" : "Beaufoy", "given" : "Guy", "non-dropping-particle" : "", "parse-names" : false, "suffix" : "" } ], "id" : "ITEM-1", "issued" : { "date-parts" : [ [ "2001" ] ] }, "page" : "0-73", "title" : "The Environmental Impact of Olive oil Production in the European Union: Practical Options for Improving the Environmental Impact", "type" : "article-journal", "volume" : "5210" }, "uris" : [ "http://www.mendeley.com/documents/?uuid=049597ef-e9b1-478d-b8c4-cb7882094c61" ] }, { "id" : "ITEM-2", "itemData" : { "DOI" : "10.1111/j.1744-7348.2008.00260.x", "ISSN" : "00034746", "author" : [ { "dropping-particle" : "", "family" : "Fleskens", "given" : "L.", "non-dropping-particle" : "", "parse-names" : false, "suffix" : "" } ], "container-title" : "Annals of Applied Biology", "id" : "ITEM-2", "issue" : "3", "issued" : { "date-parts" : [ [ "2008" ] ] }, "page" : "283-297", "title" : "A typology of sloping and mountainous olive plantation systems to address natural resources management", "type" : "article-journal", "volume" : "153" }, "uris" : [ "http://www.mendeley.com/documents/?uuid=e1f0d9fd-3d7b-4ff4-b872-c0f68d2a4daa" ] }, { "id" : "ITEM-3", "itemData" : { "DOI" : "10.1080/01426390802048297", "ISSN" : "0142-6397", "abstract" : "Abstract In this paper, agricultural landscape change at the small scale (for example, at the farm and field level) is studied to conceptualize the processes that change these landscapes (such as features, forms and functions) according to the decisions that farmers make. The case study is olive plantations on the island of Lesvos, Greece. The five-year differences in land cover, land use and landscape at the small scale of a number of olive fields in the same area are studied in three dimensions: symbolic, productive and ecological, with data that come from the observation of practices and vegetation measurements. A conceptual framework is constructed that links the changes of six different landscapes at the individual olive field level with specific management choices of farmers. Findings demonstrate that although olive plantations are of the same land cover and land use class as at the large scale, diverging practices create different landscapes at the small scale along a continuous line with many inte...", "author" : [ { "dropping-particle" : "", "family" : "Kizos", "given" : "Thanasis", "non-dropping-particle" : "", "parse-names" : false, "suffix" : "" }, { "dropping-particle" : "", "family" : "Koulouri", "given" : "Maria", "non-dropping-particle" : "", "parse-names" : false, "suffix" : "" } ], "container-title" : "Landscape Research", "id" : "ITEM-3", "issue" : "4", "issued" : { "date-parts" : [ [ "2010", "8", "27" ] ] }, "language" : "en", "page" : "449-467", "publisher" : "Routledge", "title" : "Same Land Cover, Same Land Use at the Large Scale, Different Landscapes at the Small Scale: Landscape Change in Olive Plantations on Lesvos Island, Greece", "type" : "article-journal", "volume" : "35" }, "uris" : [ "http://www.mendeley.com/documents/?uuid=8181507a-2987-45c7-90ae-3ac64f2bcd0b" ] } ], "mendeley" : { "formattedCitation" : "(Beaufoy, 2001; Fleskens, 2008; Kizos &amp; Koulouri, 2010)", "plainTextFormattedCitation" : "(Beaufoy, 2001; Fleskens, 2008; Kizos &amp; Koulouri, 2010)", "previouslyFormattedCitation" : "(Beaufoy 2001; Fleskens 2008; Kizos and Koulouri 2010)" }, "properties" : { "noteIndex" : 0 }, "schema" : "https://github.com/citation-style-language/schema/raw/master/csl-citation.json" }</w:instrText>
            </w:r>
            <w:r w:rsidRPr="00D157AA">
              <w:rPr>
                <w:rFonts w:ascii="Times New Roman" w:hAnsi="Times New Roman" w:cs="Times New Roman"/>
                <w:sz w:val="18"/>
                <w:szCs w:val="18"/>
              </w:rPr>
              <w:fldChar w:fldCharType="separate"/>
            </w:r>
            <w:r w:rsidR="0077756E" w:rsidRPr="0077756E">
              <w:rPr>
                <w:rFonts w:ascii="Times New Roman" w:hAnsi="Times New Roman" w:cs="Times New Roman"/>
                <w:noProof/>
                <w:sz w:val="18"/>
                <w:szCs w:val="18"/>
              </w:rPr>
              <w:t>(Beaufoy, 2001; Fleskens, 2008; Kizos &amp; Koulouri, 2010)</w:t>
            </w:r>
            <w:r w:rsidRPr="00D157AA">
              <w:rPr>
                <w:rFonts w:ascii="Times New Roman" w:hAnsi="Times New Roman" w:cs="Times New Roman"/>
                <w:sz w:val="18"/>
                <w:szCs w:val="18"/>
              </w:rPr>
              <w:fldChar w:fldCharType="end"/>
            </w:r>
          </w:p>
          <w:p w:rsidR="00422192" w:rsidRPr="00D157AA" w:rsidRDefault="00422192" w:rsidP="00FE276F">
            <w:pPr>
              <w:spacing w:after="0"/>
              <w:rPr>
                <w:rFonts w:ascii="Times New Roman" w:hAnsi="Times New Roman" w:cs="Times New Roman"/>
                <w:sz w:val="18"/>
                <w:szCs w:val="18"/>
              </w:rPr>
            </w:pPr>
          </w:p>
        </w:tc>
      </w:tr>
      <w:tr w:rsidR="00422192" w:rsidRPr="00D157AA" w:rsidTr="00713504">
        <w:trPr>
          <w:trHeight w:val="1033"/>
        </w:trPr>
        <w:tc>
          <w:tcPr>
            <w:tcW w:w="1559" w:type="dxa"/>
            <w:tcBorders>
              <w:top w:val="single" w:sz="4" w:space="0" w:color="auto"/>
              <w:bottom w:val="single" w:sz="4" w:space="0" w:color="auto"/>
            </w:tcBorders>
            <w:vAlign w:val="center"/>
          </w:tcPr>
          <w:p w:rsidR="00422192" w:rsidRPr="00D157AA" w:rsidRDefault="00422192" w:rsidP="00FE276F">
            <w:pPr>
              <w:spacing w:after="0"/>
              <w:jc w:val="center"/>
              <w:rPr>
                <w:rFonts w:ascii="Times New Roman" w:hAnsi="Times New Roman" w:cs="Times New Roman"/>
                <w:sz w:val="18"/>
                <w:szCs w:val="18"/>
              </w:rPr>
            </w:pPr>
            <w:r w:rsidRPr="00D157AA">
              <w:rPr>
                <w:rFonts w:ascii="Times New Roman" w:hAnsi="Times New Roman" w:cs="Times New Roman"/>
                <w:sz w:val="18"/>
                <w:szCs w:val="18"/>
              </w:rPr>
              <w:t>Diversification</w:t>
            </w:r>
          </w:p>
        </w:tc>
        <w:tc>
          <w:tcPr>
            <w:tcW w:w="1557" w:type="dxa"/>
            <w:tcBorders>
              <w:top w:val="single" w:sz="4" w:space="0" w:color="auto"/>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(1) Mixed cultivation </w:t>
            </w:r>
            <w:r w:rsidRPr="00D157AA">
              <w:rPr>
                <w:rFonts w:ascii="Times New Roman" w:hAnsi="Times New Roman" w:cs="Times New Roman"/>
                <w:sz w:val="18"/>
                <w:szCs w:val="18"/>
              </w:rPr>
              <w:br/>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(2)  Built (tourism) infrastructure</w:t>
            </w:r>
          </w:p>
        </w:tc>
        <w:tc>
          <w:tcPr>
            <w:tcW w:w="2491" w:type="dxa"/>
            <w:tcBorders>
              <w:top w:val="single" w:sz="4" w:space="0" w:color="auto"/>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-Can include housing (may be traditional) </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-Majority of olives removed and new tree species planted </w:t>
            </w:r>
          </w:p>
        </w:tc>
        <w:tc>
          <w:tcPr>
            <w:tcW w:w="2616" w:type="dxa"/>
            <w:tcBorders>
              <w:top w:val="single" w:sz="4" w:space="0" w:color="auto"/>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-Can include housing</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-Majority of olives removed and new tree species planted, cultivation may be present </w:t>
            </w:r>
          </w:p>
        </w:tc>
        <w:tc>
          <w:tcPr>
            <w:tcW w:w="2103" w:type="dxa"/>
            <w:tcBorders>
              <w:top w:val="single" w:sz="4" w:space="0" w:color="auto"/>
              <w:bottom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fldChar w:fldCharType="begin" w:fldLock="1"/>
            </w:r>
            <w:r w:rsidR="0077756E">
              <w:rPr>
                <w:rFonts w:ascii="Times New Roman" w:hAnsi="Times New Roman" w:cs="Times New Roman"/>
                <w:sz w:val="18"/>
                <w:szCs w:val="18"/>
              </w:rPr>
              <w:instrText>ADDIN CSL_CITATION { "citationItems" : [ { "id" : "ITEM-1", "itemData" : { "PMID" : "55", "author" : [ { "dropping-particle" : "", "family" : "Beaufoy", "given" : "Guy", "non-dropping-particle" : "", "parse-names" : false, "suffix" : "" } ], "id" : "ITEM-1", "issued" : { "date-parts" : [ [ "2001" ] ] }, "page" : "0-73", "title" : "The Environmental Impact of Olive oil Production in the European Union: Practical Options for Improving the Environmental Impact", "type" : "article-journal", "volume" : "5210" }, "uris" : [ "http://www.mendeley.com/documents/?uuid=049597ef-e9b1-478d-b8c4-cb7882094c61" ] }, { "id" : "ITEM-2", "itemData" : { "DOI" : "10.1111/j.1744-7348.2008.00260.x", "ISSN" : "00034746", "author" : [ { "dropping-particle" : "", "family" : "Fleskens", "given" : "L.", "non-dropping-particle" : "", "parse-names" : false, "suffix" : "" } ], "container-title" : "Annals of Applied Biology", "id" : "ITEM-2", "issue" : "3", "issued" : { "date-parts" : [ [ "2008" ] ] }, "page" : "283-297", "title" : "A typology of sloping and mountainous olive plantation systems to address natural resources management", "type" : "article-journal", "volume" : "153" }, "uris" : [ "http://www.mendeley.com/documents/?uuid=e1f0d9fd-3d7b-4ff4-b872-c0f68d2a4daa" ] }, { "id" : "ITEM-3", "itemData" : { "DOI" : "10.1080/01426390802048297", "ISSN" : "0142-6397", "abstract" : "Abstract In this paper, agricultural landscape change at the small scale (for example, at the farm and field level) is studied to conceptualize the processes that change these landscapes (such as features, forms and functions) according to the decisions that farmers make. The case study is olive plantations on the island of Lesvos, Greece. The five-year differences in land cover, land use and landscape at the small scale of a number of olive fields in the same area are studied in three dimensions: symbolic, productive and ecological, with data that come from the observation of practices and vegetation measurements. A conceptual framework is constructed that links the changes of six different landscapes at the individual olive field level with specific management choices of farmers. Findings demonstrate that although olive plantations are of the same land cover and land use class as at the large scale, diverging practices create different landscapes at the small scale along a continuous line with many inte...", "author" : [ { "dropping-particle" : "", "family" : "Kizos", "given" : "Thanasis", "non-dropping-particle" : "", "parse-names" : false, "suffix" : "" }, { "dropping-particle" : "", "family" : "Koulouri", "given" : "Maria", "non-dropping-particle" : "", "parse-names" : false, "suffix" : "" } ], "container-title" : "Landscape Research", "id" : "ITEM-3", "issue" : "4", "issued" : { "date-parts" : [ [ "2010", "8", "27" ] ] }, "language" : "en", "page" : "449-467", "publisher" : "Routledge", "title" : "Same Land Cover, Same Land Use at the Large Scale, Different Landscapes at the Small Scale: Landscape Change in Olive Plantations on Lesvos Island, Greece", "type" : "article-journal", "volume" : "35" }, "uris" : [ "http://www.mendeley.com/documents/?uuid=8181507a-2987-45c7-90ae-3ac64f2bcd0b" ] } ], "mendeley" : { "formattedCitation" : "(Beaufoy, 2001; Fleskens, 2008; Kizos &amp; Koulouri, 2010)", "manualFormatting" : "(Kizos &amp; Koulouri, 2010)", "plainTextFormattedCitation" : "(Beaufoy, 2001; Fleskens, 2008; Kizos &amp; Koulouri, 2010)", "previouslyFormattedCitation" : "(Beaufoy 2001; Fleskens 2008; Kizos and Koulouri 2010)" }, "properties" : { "noteIndex" : 0 }, "schema" : "https://github.com/citation-style-language/schema/raw/master/csl-citation.json" }</w:instrText>
            </w:r>
            <w:r w:rsidRPr="00D157AA">
              <w:rPr>
                <w:rFonts w:ascii="Times New Roman" w:hAnsi="Times New Roman" w:cs="Times New Roman"/>
                <w:sz w:val="18"/>
                <w:szCs w:val="18"/>
              </w:rPr>
              <w:fldChar w:fldCharType="separate"/>
            </w:r>
            <w:r w:rsidRPr="00D157AA">
              <w:rPr>
                <w:rFonts w:ascii="Times New Roman" w:hAnsi="Times New Roman" w:cs="Times New Roman"/>
                <w:noProof/>
                <w:sz w:val="18"/>
                <w:szCs w:val="18"/>
              </w:rPr>
              <w:t>(Kizos &amp; Koulouri, 2010)</w:t>
            </w:r>
            <w:r w:rsidRPr="00D157AA">
              <w:rPr>
                <w:rFonts w:ascii="Times New Roman" w:hAnsi="Times New Roman" w:cs="Times New Roman"/>
                <w:sz w:val="18"/>
                <w:szCs w:val="18"/>
              </w:rPr>
              <w:fldChar w:fldCharType="end"/>
            </w:r>
          </w:p>
          <w:p w:rsidR="00422192" w:rsidRPr="00D157AA" w:rsidRDefault="00422192" w:rsidP="00FE276F">
            <w:pPr>
              <w:spacing w:after="0"/>
              <w:rPr>
                <w:rFonts w:ascii="Times New Roman" w:hAnsi="Times New Roman" w:cs="Times New Roman"/>
                <w:i/>
                <w:sz w:val="18"/>
                <w:szCs w:val="18"/>
              </w:rPr>
            </w:pPr>
            <w:r>
              <w:rPr>
                <w:rFonts w:ascii="Times New Roman" w:hAnsi="Times New Roman" w:cs="Times New Roman"/>
                <w:i/>
                <w:sz w:val="18"/>
                <w:szCs w:val="18"/>
              </w:rPr>
              <w:fldChar w:fldCharType="begin" w:fldLock="1"/>
            </w:r>
            <w:r w:rsidR="0077756E">
              <w:rPr>
                <w:rFonts w:ascii="Times New Roman" w:hAnsi="Times New Roman" w:cs="Times New Roman"/>
                <w:i/>
                <w:sz w:val="18"/>
                <w:szCs w:val="18"/>
              </w:rPr>
              <w:instrText>ADDIN CSL_CITATION { "citationItems" : [ { "id" : "ITEM-1", "itemData" : { "abstract" : "Agroforestry is a cultivation technique that combines tree growing with arable cultivation or grazing of the trees understorey. It has a very long history around the world with very different cultivations (both for trees and in the understorey) and management systems. In the Mediterranean, early agroforestry systems were developed since the beginning of farming and some of the systems still encountered today date from the end of the Neolithic or early historic times. In this paper, some typical agroforestry systems of the Mediterranean are presented with a specific focus on their management systems and the landscapes they produce. These systems are considered as \u201cbetter\u201d in regard with environmental management than similar \u201cmodern\u201d systems. Recently, some of these systems face abandonment due to extensive socioeconomic changes that have taken place in the areas they are found. Geographically, the examples are from Spain and Greece and in land use terms they cover olive cultivation \u2013 grazing, oak cultivation \u2013 grazing and chestnut cultivation \u2013 grazing. With the use of research material from Lesvos Island and C\u00e1ceres Province, the different management systems are presented in brief along with recent management changes and an initial exploration of their impacts in economic, social and environmental terms.", "author" : [ { "dropping-particle" : "", "family" : "Kizos", "given" : "Thanasis", "non-dropping-particle" : "", "parse-names" : false, "suffix" : "" }, { "dropping-particle" : "", "family" : "Plieninger", "given" : "Tobias", "non-dropping-particle" : "", "parse-names" : false, "suffix" : "" } ], "genre" : "JOUR", "id" : "ITEM-1", "issued" : { "date-parts" : [ [ "0" ] ] }, "title" : "Agroforestry systems change in the Mediterranean: Some evidence from Greek and Spanish examples", "type" : "article-journal" }, "uris" : [ "http://www.mendeley.com/documents/?uuid=36299eb3-80c7-4e6b-b717-55a889e79dc4" ] } ], "mendeley" : { "formattedCitation" : "(Kizos &amp; Plieninger, n.d.)", "plainTextFormattedCitation" : "(Kizos &amp; Plieninger, n.d.)", "previouslyFormattedCitation" : "(Kizos and Plieninger n.d.)" }, "properties" : { "noteIndex" : 0 }, "schema" : "https://github.com/citation-style-language/schema/raw/master/csl-citation.json" }</w:instrText>
            </w:r>
            <w:r>
              <w:rPr>
                <w:rFonts w:ascii="Times New Roman" w:hAnsi="Times New Roman" w:cs="Times New Roman"/>
                <w:i/>
                <w:sz w:val="18"/>
                <w:szCs w:val="18"/>
              </w:rPr>
              <w:fldChar w:fldCharType="separate"/>
            </w:r>
            <w:r w:rsidR="0077756E" w:rsidRPr="0077756E">
              <w:rPr>
                <w:rFonts w:ascii="Times New Roman" w:hAnsi="Times New Roman" w:cs="Times New Roman"/>
                <w:noProof/>
                <w:sz w:val="18"/>
                <w:szCs w:val="18"/>
              </w:rPr>
              <w:t>(Kizos &amp; Plieninger, n.d.)</w:t>
            </w:r>
            <w:r>
              <w:rPr>
                <w:rFonts w:ascii="Times New Roman" w:hAnsi="Times New Roman" w:cs="Times New Roman"/>
                <w:i/>
                <w:sz w:val="18"/>
                <w:szCs w:val="18"/>
              </w:rPr>
              <w:fldChar w:fldCharType="end"/>
            </w:r>
          </w:p>
        </w:tc>
      </w:tr>
      <w:tr w:rsidR="00422192" w:rsidRPr="00D157AA" w:rsidTr="00713504">
        <w:trPr>
          <w:trHeight w:val="1033"/>
        </w:trPr>
        <w:tc>
          <w:tcPr>
            <w:tcW w:w="1559" w:type="dxa"/>
            <w:vMerge w:val="restart"/>
            <w:tcBorders>
              <w:top w:val="single" w:sz="4" w:space="0" w:color="auto"/>
            </w:tcBorders>
            <w:vAlign w:val="center"/>
          </w:tcPr>
          <w:p w:rsidR="00422192" w:rsidRPr="00D157AA" w:rsidRDefault="00422192" w:rsidP="00FE276F">
            <w:pPr>
              <w:spacing w:after="0"/>
              <w:jc w:val="center"/>
              <w:rPr>
                <w:rFonts w:ascii="Times New Roman" w:hAnsi="Times New Roman" w:cs="Times New Roman"/>
                <w:sz w:val="18"/>
                <w:szCs w:val="18"/>
              </w:rPr>
            </w:pPr>
            <w:r w:rsidRPr="00D157AA">
              <w:rPr>
                <w:rFonts w:ascii="Times New Roman" w:hAnsi="Times New Roman" w:cs="Times New Roman"/>
                <w:sz w:val="18"/>
                <w:szCs w:val="18"/>
              </w:rPr>
              <w:t>Extensification / abandonment</w:t>
            </w:r>
          </w:p>
        </w:tc>
        <w:tc>
          <w:tcPr>
            <w:tcW w:w="1557" w:type="dxa"/>
            <w:tcBorders>
              <w:top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(1) Neglected</w:t>
            </w:r>
          </w:p>
          <w:p w:rsidR="00422192" w:rsidRPr="00D157AA" w:rsidRDefault="00422192" w:rsidP="00FE276F">
            <w:pPr>
              <w:spacing w:after="0"/>
              <w:rPr>
                <w:rFonts w:ascii="Times New Roman" w:hAnsi="Times New Roman" w:cs="Times New Roman"/>
                <w:sz w:val="18"/>
                <w:szCs w:val="18"/>
              </w:rPr>
            </w:pP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(2) Early abandonment </w:t>
            </w:r>
          </w:p>
          <w:p w:rsidR="00422192" w:rsidRPr="00D157AA" w:rsidRDefault="00FE276F" w:rsidP="00FE276F">
            <w:pPr>
              <w:spacing w:after="0"/>
              <w:rPr>
                <w:rFonts w:ascii="Times New Roman" w:hAnsi="Times New Roman" w:cs="Times New Roman"/>
                <w:sz w:val="18"/>
                <w:szCs w:val="18"/>
              </w:rPr>
            </w:pPr>
            <w:r>
              <w:rPr>
                <w:rFonts w:ascii="Times New Roman" w:hAnsi="Times New Roman" w:cs="Times New Roman"/>
                <w:sz w:val="18"/>
                <w:szCs w:val="18"/>
              </w:rPr>
              <w:t>- 5 years</w:t>
            </w:r>
          </w:p>
        </w:tc>
        <w:tc>
          <w:tcPr>
            <w:tcW w:w="2491" w:type="dxa"/>
            <w:tcBorders>
              <w:top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-Understory growth of bushes</w:t>
            </w:r>
          </w:p>
          <w:p w:rsidR="00422192" w:rsidRPr="00D157AA" w:rsidRDefault="00422192" w:rsidP="00FE276F">
            <w:pPr>
              <w:spacing w:after="0"/>
              <w:rPr>
                <w:rFonts w:ascii="Times New Roman" w:hAnsi="Times New Roman" w:cs="Times New Roman"/>
                <w:sz w:val="18"/>
                <w:szCs w:val="18"/>
              </w:rPr>
            </w:pPr>
          </w:p>
        </w:tc>
        <w:tc>
          <w:tcPr>
            <w:tcW w:w="2616" w:type="dxa"/>
            <w:tcBorders>
              <w:top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-Understory growth of bushes</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-Non-pruned trees – turning wild</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-Neglected terrace</w:t>
            </w:r>
          </w:p>
          <w:p w:rsidR="00422192" w:rsidRPr="00D157AA" w:rsidRDefault="00422192" w:rsidP="00FE276F">
            <w:pPr>
              <w:spacing w:after="0"/>
              <w:rPr>
                <w:rFonts w:ascii="Times New Roman" w:hAnsi="Times New Roman" w:cs="Times New Roman"/>
                <w:sz w:val="18"/>
                <w:szCs w:val="18"/>
              </w:rPr>
            </w:pPr>
          </w:p>
        </w:tc>
        <w:tc>
          <w:tcPr>
            <w:tcW w:w="2103" w:type="dxa"/>
            <w:tcBorders>
              <w:top w:val="single" w:sz="4" w:space="0" w:color="auto"/>
            </w:tcBorders>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lang w:val="nl-NL"/>
              </w:rPr>
              <w:fldChar w:fldCharType="begin" w:fldLock="1"/>
            </w:r>
            <w:r w:rsidR="0077756E">
              <w:rPr>
                <w:rFonts w:ascii="Times New Roman" w:hAnsi="Times New Roman" w:cs="Times New Roman"/>
                <w:sz w:val="18"/>
                <w:szCs w:val="18"/>
              </w:rPr>
              <w:instrText>ADDIN CSL_CITATION { "citationItems" : [ { "id" : "ITEM-1", "itemData" : { "DOI" : "10.1080/01426390802048297", "ISSN" : "0142-6397", "abstract" : "Abstract In this paper, agricultural landscape change at the small scale (for example, at the farm and field level) is studied to conceptualize the processes that change these landscapes (such as features, forms and functions) according to the decisions that farmers make. The case study is olive plantations on the island of Lesvos, Greece. The five-year differences in land cover, land use and landscape at the small scale of a number of olive fields in the same area are studied in three dimensions: symbolic, productive and ecological, with data that come from the observation of practices and vegetation measurements. A conceptual framework is constructed that links the changes of six different landscapes at the individual olive field level with specific management choices of farmers. Findings demonstrate that although olive plantations are of the same land cover and land use class as at the large scale, diverging practices create different landscapes at the small scale along a continuous line with many inte...", "author" : [ { "dropping-particle" : "", "family" : "Kizos", "given" : "Thanasis", "non-dropping-particle" : "", "parse-names" : false, "suffix" : "" }, { "dropping-particle" : "", "family" : "Koulouri", "given" : "Maria", "non-dropping-particle" : "", "parse-names" : false, "suffix" : "" } ], "container-title" : "Landscape Research", "id" : "ITEM-1", "issue" : "4", "issued" : { "date-parts" : [ [ "2010", "8", "27" ] ] }, "language" : "en", "page" : "449-467", "publisher" : "Routledge", "title" : "Same Land Cover, Same Land Use at the Large Scale, Different Landscapes at the Small Scale: Landscape Change in Olive Plantations on Lesvos Island, Greece", "type" : "article-journal", "volume" : "35" }, "uris" : [ "http://www.mendeley.com/documents/?uuid=8181507a-2987-45c7-90ae-3ac64f2bcd0b" ] }, { "id" : "ITEM-2", "itemData" : { "DOI" : "10.1007/s10460-009-9206-9", "ISSN" : "0889-048X", "author" : [ { "dropping-particle" : "", "family" : "Kizos", "given" : "Thanasis", "non-dropping-particle" : "", "parse-names" : false, "suffix" : "" }, { "dropping-particle" : "", "family" : "Dalaka", "given" : "Anastasia", "non-dropping-particle" : "", "parse-names" : false, "suffix" : "" }, { "dropping-particle" : "", "family" : "Petanidou", "given" : "Theodora", "non-dropping-particle" : "", "parse-names" : false, "suffix" : "" } ], "container-title" : "Agriculture and Human Values", "id" : "ITEM-2", "issue" : "2", "issued" : { "date-parts" : [ [ "2010" ] ] }, "page" : "199-212", "title" : "Farmers\u2019 attitudes and landscape change: evidence from the abandonment of terraced cultivations on Lesvos, Greece", "type" : "article-journal", "volume" : "27" }, "uris" : [ "http://www.mendeley.com/documents/?uuid=0a986f1b-7b95-4c2b-a784-b56cb7aca245" ] }, { "id" : "ITEM-3", "itemData" : { "abstract" : "Agroforestry is a cultivation technique that combines tree growing with arable cultivation or grazing of the trees understorey. It has a very long history around the world with very different cultivations (both for trees and in the understorey) and management systems. In the Mediterranean, early agroforestry systems were developed since the beginning of farming and some of the systems still encountered today date from the end of the Neolithic or early historic times. In this paper, some typical agroforestry systems of the Mediterranean are presented with a specific focus on their management systems and the landscapes they produce. These systems are considered as \u201cbetter\u201d in regard with environmental management than similar \u201cmodern\u201d systems. Recently, some of these systems face abandonment due to extensive socioeconomic changes that have taken place in the areas they are found. Geographically, the examples are from Spain and Greece and in land use terms they cover olive cultivation \u2013 grazing, oak cultivation \u2013 grazing and chestnut cultivation \u2013 grazing. With the use of research material from Lesvos Island and C\u00e1ceres Province, the different management systems are presented in brief along with recent management changes and an initial exploration of their impacts in economic, social and environmental terms.", "author" : [ { "dropping-particle" : "", "family" : "Kizos", "given" : "Thanasis", "non-dropping-particle" : "", "parse-names" : false, "suffix" : "" }, { "dropping-particle" : "", "family" : "Plieninger", "given" : "Tobias", "non-dropping-particle" : "", "parse-names" : false, "suffix" : "" } ], "genre" : "JOUR", "id" : "ITEM-3", "issued" : { "date-parts" : [ [ "0" ] ] }, "title" : "Agroforestry systems change in the Mediterranean: Some evidence from Greek and Spanish examples", "type" : "article-journal" }, "uris" : [ "http://www.mendeley.com/documents/?uuid=36299eb3-80c7-4e6b-b717-55a889e79dc4" ] } ], "mendeley" : { "formattedCitation" : "(Kizos, Dalaka, &amp; Petanidou, 2010; Kizos &amp; Koulouri, 2010; Kizos &amp; Plieninger, n.d.)", "plainTextFormattedCitation" : "(Kizos, Dalaka, &amp; Petanidou, 2010; Kizos &amp; Koulouri, 2010; Kizos &amp; Plieninger, n.d.)", "previouslyFormattedCitation" : "(Kizos, Dalaka, and Petanidou 2010; Kizos and Koulouri 2010; Kizos and Plieninger n.d.)" }, "properties" : { "noteIndex" : 0 }, "schema" : "https://github.com/citation-style-language/schema/raw/master/csl-citation.json" }</w:instrText>
            </w:r>
            <w:r w:rsidRPr="00D157AA">
              <w:rPr>
                <w:rFonts w:ascii="Times New Roman" w:hAnsi="Times New Roman" w:cs="Times New Roman"/>
                <w:sz w:val="18"/>
                <w:szCs w:val="18"/>
                <w:lang w:val="nl-NL"/>
              </w:rPr>
              <w:fldChar w:fldCharType="separate"/>
            </w:r>
            <w:r w:rsidR="0077756E" w:rsidRPr="0077756E">
              <w:rPr>
                <w:rFonts w:ascii="Times New Roman" w:hAnsi="Times New Roman" w:cs="Times New Roman"/>
                <w:noProof/>
                <w:sz w:val="18"/>
                <w:szCs w:val="18"/>
              </w:rPr>
              <w:t>(Kizos, Dalaka, &amp; Petanidou, 2010; Kizos &amp; Koulouri, 2010; Kizos &amp; Plieninger, n.d.)</w:t>
            </w:r>
            <w:r w:rsidRPr="00D157AA">
              <w:rPr>
                <w:rFonts w:ascii="Times New Roman" w:hAnsi="Times New Roman" w:cs="Times New Roman"/>
                <w:sz w:val="18"/>
                <w:szCs w:val="18"/>
                <w:lang w:val="nl-NL"/>
              </w:rPr>
              <w:fldChar w:fldCharType="end"/>
            </w:r>
          </w:p>
          <w:p w:rsidR="00422192" w:rsidRPr="00D157AA" w:rsidRDefault="00422192" w:rsidP="00FE276F">
            <w:pPr>
              <w:spacing w:after="0"/>
              <w:rPr>
                <w:rFonts w:ascii="Times New Roman" w:hAnsi="Times New Roman" w:cs="Times New Roman"/>
                <w:i/>
                <w:sz w:val="18"/>
                <w:szCs w:val="18"/>
              </w:rPr>
            </w:pPr>
          </w:p>
        </w:tc>
      </w:tr>
      <w:tr w:rsidR="00422192" w:rsidRPr="00D157AA" w:rsidTr="00713504">
        <w:trPr>
          <w:trHeight w:val="649"/>
        </w:trPr>
        <w:tc>
          <w:tcPr>
            <w:tcW w:w="1559" w:type="dxa"/>
            <w:vMerge/>
          </w:tcPr>
          <w:p w:rsidR="00422192" w:rsidRPr="00D157AA" w:rsidRDefault="00422192" w:rsidP="00FE276F">
            <w:pPr>
              <w:spacing w:after="0"/>
              <w:rPr>
                <w:rFonts w:ascii="Times New Roman" w:hAnsi="Times New Roman" w:cs="Times New Roman"/>
                <w:sz w:val="18"/>
                <w:szCs w:val="18"/>
              </w:rPr>
            </w:pPr>
          </w:p>
        </w:tc>
        <w:tc>
          <w:tcPr>
            <w:tcW w:w="1557" w:type="dxa"/>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(3) Abandoned </w:t>
            </w:r>
          </w:p>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- 25 years</w:t>
            </w:r>
          </w:p>
        </w:tc>
        <w:tc>
          <w:tcPr>
            <w:tcW w:w="2491" w:type="dxa"/>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-Dense forest, including oak, pines, maquis </w:t>
            </w:r>
          </w:p>
          <w:p w:rsidR="00422192" w:rsidRPr="00D157AA" w:rsidRDefault="00422192" w:rsidP="00FE276F">
            <w:pPr>
              <w:spacing w:after="0"/>
              <w:rPr>
                <w:rFonts w:ascii="Times New Roman" w:hAnsi="Times New Roman" w:cs="Times New Roman"/>
                <w:sz w:val="18"/>
                <w:szCs w:val="18"/>
              </w:rPr>
            </w:pPr>
          </w:p>
        </w:tc>
        <w:tc>
          <w:tcPr>
            <w:tcW w:w="2616" w:type="dxa"/>
          </w:tcPr>
          <w:p w:rsidR="00422192" w:rsidRPr="00D157AA" w:rsidRDefault="00422192" w:rsidP="00FE276F">
            <w:pPr>
              <w:spacing w:after="0"/>
              <w:rPr>
                <w:rFonts w:ascii="Times New Roman" w:hAnsi="Times New Roman" w:cs="Times New Roman"/>
                <w:sz w:val="18"/>
                <w:szCs w:val="18"/>
              </w:rPr>
            </w:pPr>
            <w:r w:rsidRPr="00D157AA">
              <w:rPr>
                <w:rFonts w:ascii="Times New Roman" w:hAnsi="Times New Roman" w:cs="Times New Roman"/>
                <w:sz w:val="18"/>
                <w:szCs w:val="18"/>
              </w:rPr>
              <w:t xml:space="preserve">-Trees have “turned wild”, branches sprouting all over trunk, less foliage, “bushy” appearance   </w:t>
            </w:r>
          </w:p>
        </w:tc>
        <w:tc>
          <w:tcPr>
            <w:tcW w:w="2103" w:type="dxa"/>
          </w:tcPr>
          <w:p w:rsidR="00422192" w:rsidRPr="00FE276F" w:rsidRDefault="00422192" w:rsidP="00FE276F">
            <w:pPr>
              <w:spacing w:after="0"/>
              <w:rPr>
                <w:rFonts w:ascii="Times New Roman" w:hAnsi="Times New Roman" w:cs="Times New Roman"/>
                <w:sz w:val="18"/>
                <w:szCs w:val="18"/>
                <w:lang w:val="nl-NL"/>
              </w:rPr>
            </w:pPr>
            <w:r w:rsidRPr="00D157AA">
              <w:rPr>
                <w:rFonts w:ascii="Times New Roman" w:hAnsi="Times New Roman" w:cs="Times New Roman"/>
                <w:sz w:val="18"/>
                <w:szCs w:val="18"/>
                <w:lang w:val="nl-NL"/>
              </w:rPr>
              <w:fldChar w:fldCharType="begin" w:fldLock="1"/>
            </w:r>
            <w:r w:rsidR="0077756E">
              <w:rPr>
                <w:rFonts w:ascii="Times New Roman" w:hAnsi="Times New Roman" w:cs="Times New Roman"/>
                <w:sz w:val="18"/>
                <w:szCs w:val="18"/>
              </w:rPr>
              <w:instrText>ADDIN CSL_CITATION { "citationItems" : [ { "id" : "ITEM-1", "itemData" : { "DOI" : "10.1080/01426390802048297", "ISSN" : "0142-6397", "abstract" : "Abstract In this paper, agricultural landscape change at the small scale (for example, at the farm and field level) is studied to conceptualize the processes that change these landscapes (such as features, forms and functions) according to the decisions that farmers make. The case study is olive plantations on the island of Lesvos, Greece. The five-year differences in land cover, land use and landscape at the small scale of a number of olive fields in the same area are studied in three dimensions: symbolic, productive and ecological, with data that come from the observation of practices and vegetation measurements. A conceptual framework is constructed that links the changes of six different landscapes at the individual olive field level with specific management choices of farmers. Findings demonstrate that although olive plantations are of the same land cover and land use class as at the large scale, diverging practices create different landscapes at the small scale along a continuous line with many inte...", "author" : [ { "dropping-particle" : "", "family" : "Kizos", "given" : "Thanasis", "non-dropping-particle" : "", "parse-names" : false, "suffix" : "" }, { "dropping-particle" : "", "family" : "Koulouri", "given" : "Maria", "non-dropping-particle" : "", "parse-names" : false, "suffix" : "" } ], "container-title" : "Landscape Research", "id" : "ITEM-1", "issue" : "4", "issued" : { "date-parts" : [ [ "2010", "8", "27" ] ] }, "language" : "en", "page" : "449-467", "publisher" : "Routledge", "title" : "Same Land Cover, Same Land Use at the Large Scale, Different Landscapes at the Small Scale: Landscape Change in Olive Plantations on Lesvos Island, Greece", "type" : "article-journal", "volume" : "35" }, "uris" : [ "http://www.mendeley.com/documents/?uuid=8181507a-2987-45c7-90ae-3ac64f2bcd0b" ] }, { "id" : "ITEM-2", "itemData" : { "DOI" : "10.1007/s10460-009-9206-9", "ISSN" : "0889-048X", "author" : [ { "dropping-particle" : "", "family" : "Kizos", "given" : "Thanasis", "non-dropping-particle" : "", "parse-names" : false, "suffix" : "" }, { "dropping-particle" : "", "family" : "Dalaka", "given" : "Anastasia", "non-dropping-particle" : "", "parse-names" : false, "suffix" : "" }, { "dropping-particle" : "", "family" : "Petanidou", "given" : "Theodora", "non-dropping-particle" : "", "parse-names" : false, "suffix" : "" } ], "container-title" : "Agriculture and Human Values", "id" : "ITEM-2", "issue" : "2", "issued" : { "date-parts" : [ [ "2010" ] ] }, "page" : "199-212", "title" : "Farmers\u2019 attitudes and landscape change: evidence from the abandonment of terraced cultivations on Lesvos, Greece", "type" : "article-journal", "volume" : "27" }, "uris" : [ "http://www.mendeley.com/documents/?uuid=0a986f1b-7b95-4c2b-a784-b56cb7aca245" ] }, { "id" : "ITEM-3", "itemData" : { "abstract" : "Agroforestry is a cultivation technique that combines tree growing with arable cultivation or grazing of the trees understorey. It has a very long history around the world with very different cultivations (both for trees and in the understorey) and management systems. In the Mediterranean, early agroforestry systems were developed since the beginning of farming and some of the systems still encountered today date from the end of the Neolithic or early historic times. In this paper, some typical agroforestry systems of the Mediterranean are presented with a specific focus on their management systems and the landscapes they produce. These systems are considered as \u201cbetter\u201d in regard with environmental management than similar \u201cmodern\u201d systems. Recently, some of these systems face abandonment due to extensive socioeconomic changes that have taken place in the areas they are found. Geographically, the examples are from Spain and Greece and in land use terms they cover olive cultivation \u2013 grazing, oak cultivation \u2013 grazing and chestnut cultivation \u2013 grazing. With the use of research material from Lesvos Island and C\u00e1ceres Province, the different management systems are presented in brief along with recent management changes and an initial exploration of their impacts in economic, social and environmental terms.", "author" : [ { "dropping-particle" : "", "family" : "Kizos", "given" : "Thanasis", "non-dropping-particle" : "", "parse-names" : false, "suffix" : "" }, { "dropping-particle" : "", "family" : "Plieninger", "given" : "Tobias", "non-dropping-particle" : "", "parse-names" : false, "suffix" : "" } ], "genre" : "JOUR", "id" : "ITEM-3", "issued" : { "date-parts" : [ [ "0" ] ] }, "title" : "Agroforestry systems change in the Mediterranean: Some evidence from Greek and Spanish examples", "type" : "article-journal" }, "uris" : [ "http://www.mendeley.com/documents/?uuid=36299eb3-80c7-4e6b-b717-55a889e79dc4" ] } ], "mendeley" : { "formattedCitation" : "(Kizos et al., 2010; Kizos &amp; Koulouri, 2010; Kizos &amp; Plieninger, n.d.)", "plainTextFormattedCitation" : "(Kizos et al., 2010; Kizos &amp; Koulouri, 2010; Kizos &amp; Plieninger, n.d.)", "previouslyFormattedCitation" : "(Kizos et al. 2010; Kizos and Koulouri 2010; Kizos and Plieninger n.d.)" }, "properties" : { "noteIndex" : 0 }, "schema" : "https://github.com/citation-style-language/schema/raw/master/csl-citation.json" }</w:instrText>
            </w:r>
            <w:r w:rsidRPr="00D157AA">
              <w:rPr>
                <w:rFonts w:ascii="Times New Roman" w:hAnsi="Times New Roman" w:cs="Times New Roman"/>
                <w:sz w:val="18"/>
                <w:szCs w:val="18"/>
                <w:lang w:val="nl-NL"/>
              </w:rPr>
              <w:fldChar w:fldCharType="separate"/>
            </w:r>
            <w:r w:rsidR="0077756E" w:rsidRPr="0077756E">
              <w:rPr>
                <w:rFonts w:ascii="Times New Roman" w:hAnsi="Times New Roman" w:cs="Times New Roman"/>
                <w:noProof/>
                <w:sz w:val="18"/>
                <w:szCs w:val="18"/>
              </w:rPr>
              <w:t>(Kizos et al., 2010; Kizos &amp; Koulouri, 2010; Kizos &amp; Plieninger, n.d.)</w:t>
            </w:r>
            <w:r w:rsidRPr="00D157AA">
              <w:rPr>
                <w:rFonts w:ascii="Times New Roman" w:hAnsi="Times New Roman" w:cs="Times New Roman"/>
                <w:sz w:val="18"/>
                <w:szCs w:val="18"/>
                <w:lang w:val="nl-NL"/>
              </w:rPr>
              <w:fldChar w:fldCharType="end"/>
            </w:r>
          </w:p>
        </w:tc>
      </w:tr>
    </w:tbl>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r>
        <w:rPr>
          <w:rFonts w:ascii="Times New Roman" w:hAnsi="Times New Roman" w:cs="Times New Roman"/>
          <w:sz w:val="24"/>
        </w:rPr>
        <w:br w:type="page"/>
      </w:r>
    </w:p>
    <w:p w:rsidR="00422192" w:rsidRPr="00713504" w:rsidRDefault="00422192" w:rsidP="00483833">
      <w:pPr>
        <w:pStyle w:val="ListParagraph"/>
        <w:numPr>
          <w:ilvl w:val="0"/>
          <w:numId w:val="5"/>
        </w:numPr>
        <w:rPr>
          <w:rFonts w:ascii="Times New Roman" w:hAnsi="Times New Roman" w:cs="Times New Roman"/>
          <w:b/>
          <w:sz w:val="24"/>
        </w:rPr>
      </w:pPr>
      <w:r w:rsidRPr="00713504">
        <w:rPr>
          <w:rFonts w:ascii="Times New Roman" w:hAnsi="Times New Roman" w:cs="Times New Roman"/>
          <w:b/>
          <w:sz w:val="24"/>
        </w:rPr>
        <w:lastRenderedPageBreak/>
        <w:t>Calculation of ranking order scores from landscape preference survey</w:t>
      </w:r>
    </w:p>
    <w:p w:rsidR="00422192" w:rsidRPr="001B42B9" w:rsidRDefault="001B42B9" w:rsidP="001B42B9">
      <w:pPr>
        <w:jc w:val="both"/>
        <w:rPr>
          <w:rFonts w:ascii="Times New Roman" w:hAnsi="Times New Roman" w:cs="Times New Roman"/>
          <w:sz w:val="24"/>
          <w:szCs w:val="24"/>
        </w:rPr>
      </w:pPr>
      <w:r w:rsidRPr="001B42B9">
        <w:rPr>
          <w:rFonts w:ascii="Times New Roman" w:hAnsi="Times New Roman" w:cs="Times New Roman"/>
          <w:sz w:val="24"/>
          <w:szCs w:val="24"/>
        </w:rPr>
        <w:t xml:space="preserve">The preferred photograph was assigned a highest possible score of 4 (5 for sets 3 and 4) and so on in descending order of preference. </w:t>
      </w:r>
      <w:r w:rsidR="00422192" w:rsidRPr="001B42B9">
        <w:rPr>
          <w:rFonts w:ascii="Times New Roman" w:hAnsi="Times New Roman" w:cs="Times New Roman"/>
          <w:sz w:val="24"/>
          <w:szCs w:val="24"/>
        </w:rPr>
        <w:t xml:space="preserve">Order scores </w:t>
      </w:r>
      <w:r>
        <w:rPr>
          <w:rFonts w:ascii="Times New Roman" w:hAnsi="Times New Roman" w:cs="Times New Roman"/>
          <w:sz w:val="24"/>
          <w:szCs w:val="24"/>
        </w:rPr>
        <w:t xml:space="preserve">account for the ranking across a whole set of photos, and </w:t>
      </w:r>
      <w:r w:rsidR="00422192" w:rsidRPr="001B42B9">
        <w:rPr>
          <w:rFonts w:ascii="Times New Roman" w:hAnsi="Times New Roman" w:cs="Times New Roman"/>
          <w:sz w:val="24"/>
          <w:szCs w:val="24"/>
        </w:rPr>
        <w:t xml:space="preserve">ranged from a lowest possible value per sequence of 20 (sequence A,B,C,D / E,F,G,H) and a highest of 30 for the reversed order (sequence D,C,B,A / H,G,F,E) (see </w:t>
      </w:r>
      <w:r w:rsidR="00422192" w:rsidRPr="001B42B9">
        <w:rPr>
          <w:rFonts w:ascii="Times New Roman" w:hAnsi="Times New Roman" w:cs="Times New Roman"/>
          <w:b/>
          <w:sz w:val="24"/>
          <w:szCs w:val="24"/>
        </w:rPr>
        <w:t>Figure 1</w:t>
      </w:r>
      <w:r w:rsidR="00422192" w:rsidRPr="001B42B9">
        <w:rPr>
          <w:rFonts w:ascii="Times New Roman" w:hAnsi="Times New Roman" w:cs="Times New Roman"/>
          <w:sz w:val="24"/>
          <w:szCs w:val="24"/>
        </w:rPr>
        <w:t>). Scores in the range of 20 to 22 indicate a strong preference for cultivated over wild landscapes (as they comprised sequences which ranked both cultivated landscapes over the two re-wilding, abandoned landscapes) while scores ranging 28 to 30 indicated the opposite preference for wild landscapes over cultivated</w:t>
      </w:r>
      <w:r>
        <w:rPr>
          <w:rFonts w:ascii="Times New Roman" w:hAnsi="Times New Roman" w:cs="Times New Roman"/>
          <w:sz w:val="24"/>
          <w:szCs w:val="24"/>
        </w:rPr>
        <w:t>.</w:t>
      </w:r>
    </w:p>
    <w:p w:rsidR="00422192" w:rsidRPr="004D03C1" w:rsidRDefault="00713504" w:rsidP="00422192">
      <w:pPr>
        <w:spacing w:after="0"/>
        <w:rPr>
          <w:rFonts w:ascii="Times New Roman" w:hAnsi="Times New Roman" w:cs="Times New Roman"/>
          <w:sz w:val="24"/>
          <w:szCs w:val="24"/>
        </w:rPr>
      </w:pPr>
      <w:r>
        <w:rPr>
          <w:rFonts w:ascii="Times New Roman" w:hAnsi="Times New Roman" w:cs="Times New Roman"/>
          <w:b/>
          <w:sz w:val="24"/>
          <w:szCs w:val="24"/>
        </w:rPr>
        <w:t>Fig.</w:t>
      </w:r>
      <w:r w:rsidR="00422192" w:rsidRPr="004D03C1">
        <w:rPr>
          <w:rFonts w:ascii="Times New Roman" w:hAnsi="Times New Roman" w:cs="Times New Roman"/>
          <w:b/>
          <w:sz w:val="24"/>
          <w:szCs w:val="24"/>
        </w:rPr>
        <w:t xml:space="preserve"> </w:t>
      </w:r>
      <w:r w:rsidR="00422192">
        <w:rPr>
          <w:rFonts w:ascii="Times New Roman" w:hAnsi="Times New Roman" w:cs="Times New Roman"/>
          <w:b/>
          <w:sz w:val="24"/>
          <w:szCs w:val="24"/>
        </w:rPr>
        <w:t>1</w:t>
      </w:r>
      <w:r>
        <w:rPr>
          <w:rFonts w:ascii="Times New Roman" w:hAnsi="Times New Roman" w:cs="Times New Roman"/>
          <w:sz w:val="24"/>
          <w:szCs w:val="24"/>
        </w:rPr>
        <w:t xml:space="preserve"> </w:t>
      </w:r>
      <w:r w:rsidR="00422192" w:rsidRPr="004D03C1">
        <w:rPr>
          <w:rFonts w:ascii="Times New Roman" w:hAnsi="Times New Roman" w:cs="Times New Roman"/>
          <w:sz w:val="24"/>
          <w:szCs w:val="24"/>
        </w:rPr>
        <w:t xml:space="preserve">Example calculation of respondents' ranking order preference score for set 1 </w:t>
      </w:r>
    </w:p>
    <w:p w:rsidR="00422192" w:rsidRDefault="00422192" w:rsidP="00422192">
      <w:pPr>
        <w:rPr>
          <w:rFonts w:ascii="Times New Roman" w:hAnsi="Times New Roman" w:cs="Times New Roman"/>
          <w:sz w:val="24"/>
        </w:rPr>
      </w:pPr>
    </w:p>
    <w:p w:rsidR="00422192" w:rsidRDefault="002E205F" w:rsidP="00422192">
      <w:pPr>
        <w:rPr>
          <w:rFonts w:ascii="Times New Roman" w:hAnsi="Times New Roman" w:cs="Times New Roman"/>
          <w:sz w:val="24"/>
        </w:rPr>
      </w:pPr>
      <w:r>
        <w:rPr>
          <w:rFonts w:ascii="Times New Roman" w:hAnsi="Times New Roman" w:cs="Times New Roman"/>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10.5pt;width:279.5pt;height:184.25pt;z-index:251659264;mso-position-horizontal-relative:text;mso-position-vertical-relative:text;mso-width-relative:page;mso-height-relative:page" wrapcoords="12740 1756 5096 2283 5154 3249 13782 4566 1911 5093 984 5620 1100 6937 4980 7376 12740 7463 13782 8780 4459 8780 927 9132 984 10537 2490 11590 2953 11590 2953 12380 6138 12995 10771 12995 1390 13785 927 13873 927 14839 1274 15015 9150 15805 9150 16068 10482 17210 2374 17912 984 18088 984 19141 7065 20020 10366 20020 10482 20371 17315 20371 17431 20020 17315 18351 15693 18000 10771 17210 17257 17122 17315 15893 14535 15805 21079 14751 21137 13610 20616 13610 10771 12995 13724 12995 21195 12029 21195 10185 20963 9746 20384 8780 21137 7463 21253 5795 21021 5444 20094 4566 20558 4566 21195 3688 21137 1756 12740 1756">
            <v:imagedata r:id="rId10" o:title=""/>
            <w10:wrap type="tight"/>
          </v:shape>
          <o:OLEObject Type="Embed" ProgID="Visio.Drawing.11" ShapeID="_x0000_s1026" DrawAspect="Content" ObjectID="_1578147758" r:id="rId11"/>
        </w:pict>
      </w: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p>
    <w:p w:rsidR="00422192" w:rsidRDefault="00422192" w:rsidP="00422192">
      <w:pPr>
        <w:rPr>
          <w:rFonts w:ascii="Times New Roman" w:hAnsi="Times New Roman" w:cs="Times New Roman"/>
          <w:sz w:val="24"/>
        </w:rPr>
      </w:pPr>
      <w:r>
        <w:rPr>
          <w:rFonts w:ascii="Times New Roman" w:hAnsi="Times New Roman" w:cs="Times New Roman"/>
          <w:sz w:val="24"/>
        </w:rPr>
        <w:br w:type="page"/>
      </w:r>
    </w:p>
    <w:p w:rsidR="00EC4FBA" w:rsidRDefault="00EC4FBA" w:rsidP="00EC4FBA">
      <w:pPr>
        <w:pStyle w:val="ListParagraph"/>
        <w:numPr>
          <w:ilvl w:val="0"/>
          <w:numId w:val="5"/>
        </w:numPr>
        <w:rPr>
          <w:rFonts w:ascii="Times New Roman" w:hAnsi="Times New Roman" w:cs="Times New Roman"/>
          <w:b/>
          <w:sz w:val="24"/>
          <w:szCs w:val="20"/>
        </w:rPr>
      </w:pPr>
      <w:r w:rsidRPr="00EC4FBA">
        <w:rPr>
          <w:rFonts w:ascii="Times New Roman" w:hAnsi="Times New Roman" w:cs="Times New Roman"/>
          <w:b/>
          <w:sz w:val="24"/>
          <w:szCs w:val="20"/>
        </w:rPr>
        <w:lastRenderedPageBreak/>
        <w:t>Comprehensive r</w:t>
      </w:r>
      <w:r w:rsidRPr="00EC4FBA">
        <w:rPr>
          <w:rFonts w:ascii="Times New Roman" w:hAnsi="Times New Roman" w:cs="Times New Roman"/>
          <w:b/>
          <w:sz w:val="24"/>
        </w:rPr>
        <w:t xml:space="preserve">esults </w:t>
      </w:r>
      <w:r w:rsidR="005F55B0">
        <w:rPr>
          <w:rFonts w:ascii="Times New Roman" w:hAnsi="Times New Roman" w:cs="Times New Roman"/>
          <w:b/>
          <w:sz w:val="24"/>
        </w:rPr>
        <w:t>of chi-square analysis with non-clustering variables from the farmer survey</w:t>
      </w:r>
      <w:r w:rsidRPr="00EC4FBA">
        <w:rPr>
          <w:rFonts w:ascii="Times New Roman" w:hAnsi="Times New Roman" w:cs="Times New Roman"/>
          <w:b/>
          <w:sz w:val="24"/>
          <w:szCs w:val="20"/>
        </w:rPr>
        <w:t xml:space="preserve"> </w:t>
      </w:r>
    </w:p>
    <w:p w:rsidR="0013752B" w:rsidRDefault="0013752B">
      <w:pPr>
        <w:spacing w:after="160" w:line="259" w:lineRule="auto"/>
        <w:rPr>
          <w:rFonts w:ascii="Times New Roman" w:hAnsi="Times New Roman" w:cs="Times New Roman"/>
          <w:sz w:val="24"/>
          <w:szCs w:val="20"/>
        </w:rPr>
      </w:pPr>
      <w:r>
        <w:rPr>
          <w:rFonts w:ascii="Times New Roman" w:hAnsi="Times New Roman" w:cs="Times New Roman"/>
          <w:sz w:val="24"/>
          <w:szCs w:val="20"/>
        </w:rPr>
        <w:t>Significant associations were found between farmer type and:</w:t>
      </w:r>
    </w:p>
    <w:p w:rsidR="0013752B" w:rsidRDefault="0013752B" w:rsidP="0013752B">
      <w:pPr>
        <w:pStyle w:val="ListParagraph"/>
        <w:numPr>
          <w:ilvl w:val="0"/>
          <w:numId w:val="9"/>
        </w:numPr>
        <w:spacing w:after="160" w:line="259" w:lineRule="auto"/>
        <w:rPr>
          <w:rFonts w:ascii="Times New Roman" w:hAnsi="Times New Roman" w:cs="Times New Roman"/>
          <w:sz w:val="24"/>
          <w:szCs w:val="20"/>
        </w:rPr>
      </w:pPr>
      <w:r>
        <w:rPr>
          <w:rFonts w:ascii="Times New Roman" w:hAnsi="Times New Roman" w:cs="Times New Roman"/>
          <w:sz w:val="24"/>
          <w:szCs w:val="20"/>
        </w:rPr>
        <w:t>Farmers refusing to ever quit farming despite consistently declining profits (</w:t>
      </w:r>
      <w:r w:rsidR="00E01652" w:rsidRPr="00E01652">
        <w:rPr>
          <w:rFonts w:ascii="Times New Roman" w:hAnsi="Times New Roman" w:cs="Times New Roman"/>
          <w:i/>
          <w:sz w:val="24"/>
          <w:szCs w:val="20"/>
        </w:rPr>
        <w:t>X</w:t>
      </w:r>
      <w:r w:rsidR="00E01652">
        <w:rPr>
          <w:rFonts w:ascii="Times New Roman" w:hAnsi="Times New Roman" w:cs="Times New Roman"/>
          <w:sz w:val="24"/>
          <w:szCs w:val="20"/>
          <w:vertAlign w:val="superscript"/>
        </w:rPr>
        <w:t>2</w:t>
      </w:r>
      <w:r w:rsidR="00E01652">
        <w:rPr>
          <w:rFonts w:ascii="Times New Roman" w:hAnsi="Times New Roman" w:cs="Times New Roman"/>
          <w:sz w:val="24"/>
          <w:szCs w:val="20"/>
        </w:rPr>
        <w:t xml:space="preserve">(2) = 9.64, </w:t>
      </w:r>
      <w:r w:rsidRPr="0013752B">
        <w:rPr>
          <w:rFonts w:ascii="Times New Roman" w:hAnsi="Times New Roman" w:cs="Times New Roman"/>
          <w:i/>
          <w:sz w:val="24"/>
          <w:szCs w:val="20"/>
        </w:rPr>
        <w:t>p</w:t>
      </w:r>
      <w:r>
        <w:rPr>
          <w:rFonts w:ascii="Times New Roman" w:hAnsi="Times New Roman" w:cs="Times New Roman"/>
          <w:sz w:val="24"/>
          <w:szCs w:val="20"/>
        </w:rPr>
        <w:t xml:space="preserve"> &lt; .05</w:t>
      </w:r>
      <w:r w:rsidR="00F00E40">
        <w:rPr>
          <w:rFonts w:ascii="Times New Roman" w:hAnsi="Times New Roman" w:cs="Times New Roman"/>
          <w:sz w:val="24"/>
          <w:szCs w:val="20"/>
        </w:rPr>
        <w:t>)</w:t>
      </w:r>
    </w:p>
    <w:p w:rsidR="0013752B" w:rsidRPr="0013752B" w:rsidRDefault="0013752B" w:rsidP="0013752B">
      <w:pPr>
        <w:spacing w:after="160" w:line="259" w:lineRule="auto"/>
        <w:rPr>
          <w:rFonts w:ascii="Times New Roman" w:hAnsi="Times New Roman" w:cs="Times New Roman"/>
          <w:sz w:val="24"/>
          <w:szCs w:val="20"/>
        </w:rPr>
      </w:pPr>
      <w:r w:rsidRPr="0013752B">
        <w:rPr>
          <w:rFonts w:ascii="Times New Roman" w:hAnsi="Times New Roman" w:cs="Times New Roman"/>
          <w:sz w:val="24"/>
          <w:szCs w:val="20"/>
        </w:rPr>
        <w:t>No significant associations were found between farmer type and:</w:t>
      </w:r>
    </w:p>
    <w:p w:rsidR="0013752B" w:rsidRPr="0013752B" w:rsidRDefault="0013752B" w:rsidP="0013752B">
      <w:pPr>
        <w:pStyle w:val="ListParagraph"/>
        <w:numPr>
          <w:ilvl w:val="0"/>
          <w:numId w:val="9"/>
        </w:numPr>
        <w:spacing w:after="160" w:line="259" w:lineRule="auto"/>
        <w:rPr>
          <w:rFonts w:ascii="Times New Roman" w:hAnsi="Times New Roman" w:cs="Times New Roman"/>
          <w:sz w:val="24"/>
          <w:szCs w:val="20"/>
        </w:rPr>
      </w:pPr>
      <w:r w:rsidRPr="0013752B">
        <w:rPr>
          <w:rFonts w:ascii="Times New Roman" w:hAnsi="Times New Roman" w:cs="Times New Roman"/>
          <w:sz w:val="24"/>
          <w:szCs w:val="20"/>
        </w:rPr>
        <w:t>Farmer receiving subsidies (not including the SFP) (</w:t>
      </w:r>
      <w:r w:rsidR="004E6B72" w:rsidRPr="00E01652">
        <w:rPr>
          <w:rFonts w:ascii="Times New Roman" w:hAnsi="Times New Roman" w:cs="Times New Roman"/>
          <w:i/>
          <w:sz w:val="24"/>
          <w:szCs w:val="20"/>
        </w:rPr>
        <w:t>X</w:t>
      </w:r>
      <w:r w:rsidR="004E6B72">
        <w:rPr>
          <w:rFonts w:ascii="Times New Roman" w:hAnsi="Times New Roman" w:cs="Times New Roman"/>
          <w:sz w:val="24"/>
          <w:szCs w:val="20"/>
          <w:vertAlign w:val="superscript"/>
        </w:rPr>
        <w:t>2</w:t>
      </w:r>
      <w:r w:rsidR="004E6B72">
        <w:rPr>
          <w:rFonts w:ascii="Times New Roman" w:hAnsi="Times New Roman" w:cs="Times New Roman"/>
          <w:sz w:val="24"/>
          <w:szCs w:val="20"/>
        </w:rPr>
        <w:t xml:space="preserve">(2) = 3.74, </w:t>
      </w:r>
      <w:r w:rsidR="00E01652" w:rsidRPr="00E01652">
        <w:rPr>
          <w:rFonts w:ascii="Times New Roman" w:hAnsi="Times New Roman" w:cs="Times New Roman"/>
          <w:i/>
          <w:sz w:val="24"/>
          <w:szCs w:val="20"/>
        </w:rPr>
        <w:t>p</w:t>
      </w:r>
      <w:r w:rsidR="00E01652">
        <w:rPr>
          <w:rFonts w:ascii="Times New Roman" w:hAnsi="Times New Roman" w:cs="Times New Roman"/>
          <w:sz w:val="24"/>
          <w:szCs w:val="20"/>
        </w:rPr>
        <w:t xml:space="preserve"> = .157</w:t>
      </w:r>
      <w:r w:rsidRPr="0013752B">
        <w:rPr>
          <w:rFonts w:ascii="Times New Roman" w:hAnsi="Times New Roman" w:cs="Times New Roman"/>
          <w:sz w:val="24"/>
          <w:szCs w:val="20"/>
        </w:rPr>
        <w:t>)</w:t>
      </w:r>
    </w:p>
    <w:p w:rsidR="0013752B" w:rsidRPr="0013752B" w:rsidRDefault="0013752B" w:rsidP="0013752B">
      <w:pPr>
        <w:pStyle w:val="ListParagraph"/>
        <w:numPr>
          <w:ilvl w:val="0"/>
          <w:numId w:val="9"/>
        </w:numPr>
        <w:spacing w:after="160" w:line="259" w:lineRule="auto"/>
        <w:rPr>
          <w:rFonts w:ascii="Times New Roman" w:hAnsi="Times New Roman" w:cs="Times New Roman"/>
          <w:sz w:val="24"/>
          <w:szCs w:val="20"/>
        </w:rPr>
      </w:pPr>
      <w:r w:rsidRPr="0013752B">
        <w:rPr>
          <w:rFonts w:ascii="Times New Roman" w:hAnsi="Times New Roman" w:cs="Times New Roman"/>
          <w:sz w:val="24"/>
          <w:szCs w:val="20"/>
        </w:rPr>
        <w:t xml:space="preserve">Farmer being a member of a traditional (non-social) cooperative </w:t>
      </w:r>
      <w:r w:rsidR="004E6B72">
        <w:rPr>
          <w:rFonts w:ascii="Times New Roman" w:hAnsi="Times New Roman" w:cs="Times New Roman"/>
          <w:sz w:val="24"/>
          <w:szCs w:val="20"/>
        </w:rPr>
        <w:t>(</w:t>
      </w:r>
      <w:r w:rsidR="004E6B72" w:rsidRPr="00E01652">
        <w:rPr>
          <w:rFonts w:ascii="Times New Roman" w:hAnsi="Times New Roman" w:cs="Times New Roman"/>
          <w:i/>
          <w:sz w:val="24"/>
          <w:szCs w:val="20"/>
        </w:rPr>
        <w:t>X</w:t>
      </w:r>
      <w:r w:rsidR="004E6B72">
        <w:rPr>
          <w:rFonts w:ascii="Times New Roman" w:hAnsi="Times New Roman" w:cs="Times New Roman"/>
          <w:sz w:val="24"/>
          <w:szCs w:val="20"/>
          <w:vertAlign w:val="superscript"/>
        </w:rPr>
        <w:t>2</w:t>
      </w:r>
      <w:r w:rsidR="004E6B72">
        <w:rPr>
          <w:rFonts w:ascii="Times New Roman" w:hAnsi="Times New Roman" w:cs="Times New Roman"/>
          <w:sz w:val="24"/>
          <w:szCs w:val="20"/>
        </w:rPr>
        <w:t xml:space="preserve">(2) = 0.40, </w:t>
      </w:r>
      <w:r w:rsidR="00E01652" w:rsidRPr="00E01652">
        <w:rPr>
          <w:rFonts w:ascii="Times New Roman" w:hAnsi="Times New Roman" w:cs="Times New Roman"/>
          <w:i/>
          <w:sz w:val="24"/>
          <w:szCs w:val="20"/>
        </w:rPr>
        <w:t>p</w:t>
      </w:r>
      <w:r w:rsidR="00E01652">
        <w:rPr>
          <w:rFonts w:ascii="Times New Roman" w:hAnsi="Times New Roman" w:cs="Times New Roman"/>
          <w:sz w:val="24"/>
          <w:szCs w:val="20"/>
        </w:rPr>
        <w:t xml:space="preserve"> = .863</w:t>
      </w:r>
      <w:r w:rsidRPr="0013752B">
        <w:rPr>
          <w:rFonts w:ascii="Times New Roman" w:hAnsi="Times New Roman" w:cs="Times New Roman"/>
          <w:sz w:val="24"/>
          <w:szCs w:val="20"/>
        </w:rPr>
        <w:t>)</w:t>
      </w:r>
    </w:p>
    <w:p w:rsidR="0013752B" w:rsidRPr="0013752B" w:rsidRDefault="0013752B" w:rsidP="0013752B">
      <w:pPr>
        <w:spacing w:after="160" w:line="259" w:lineRule="auto"/>
        <w:rPr>
          <w:rFonts w:ascii="Times New Roman" w:hAnsi="Times New Roman" w:cs="Times New Roman"/>
          <w:sz w:val="24"/>
          <w:szCs w:val="20"/>
        </w:rPr>
      </w:pPr>
      <w:r w:rsidRPr="0013752B">
        <w:rPr>
          <w:rFonts w:ascii="Times New Roman" w:hAnsi="Times New Roman" w:cs="Times New Roman"/>
          <w:sz w:val="24"/>
          <w:szCs w:val="20"/>
        </w:rPr>
        <w:t>Three variables did not meet the require assumption for the chi-square test, expected counts too low:</w:t>
      </w:r>
    </w:p>
    <w:p w:rsidR="0013752B" w:rsidRPr="0013752B" w:rsidRDefault="0013752B" w:rsidP="0013752B">
      <w:pPr>
        <w:pStyle w:val="ListParagraph"/>
        <w:numPr>
          <w:ilvl w:val="0"/>
          <w:numId w:val="9"/>
        </w:numPr>
        <w:spacing w:after="160" w:line="259" w:lineRule="auto"/>
        <w:rPr>
          <w:rFonts w:ascii="Times New Roman" w:hAnsi="Times New Roman" w:cs="Times New Roman"/>
          <w:sz w:val="24"/>
          <w:szCs w:val="20"/>
        </w:rPr>
      </w:pPr>
      <w:r w:rsidRPr="0013752B">
        <w:rPr>
          <w:rFonts w:ascii="Times New Roman" w:hAnsi="Times New Roman" w:cs="Times New Roman"/>
          <w:sz w:val="24"/>
          <w:szCs w:val="20"/>
        </w:rPr>
        <w:t>Farmer makes use of internal knowledge sources (</w:t>
      </w:r>
      <w:r w:rsidR="004E6B72" w:rsidRPr="00E01652">
        <w:rPr>
          <w:rFonts w:ascii="Times New Roman" w:hAnsi="Times New Roman" w:cs="Times New Roman"/>
          <w:i/>
          <w:sz w:val="24"/>
          <w:szCs w:val="20"/>
        </w:rPr>
        <w:t>X</w:t>
      </w:r>
      <w:r w:rsidR="004E6B72">
        <w:rPr>
          <w:rFonts w:ascii="Times New Roman" w:hAnsi="Times New Roman" w:cs="Times New Roman"/>
          <w:sz w:val="24"/>
          <w:szCs w:val="20"/>
          <w:vertAlign w:val="superscript"/>
        </w:rPr>
        <w:t>2</w:t>
      </w:r>
      <w:r w:rsidR="004E6B72">
        <w:rPr>
          <w:rFonts w:ascii="Times New Roman" w:hAnsi="Times New Roman" w:cs="Times New Roman"/>
          <w:sz w:val="24"/>
          <w:szCs w:val="20"/>
        </w:rPr>
        <w:t>(2) = 1.79,</w:t>
      </w:r>
      <w:r w:rsidR="00E01652">
        <w:rPr>
          <w:rFonts w:ascii="Times New Roman" w:hAnsi="Times New Roman" w:cs="Times New Roman"/>
          <w:sz w:val="24"/>
          <w:szCs w:val="20"/>
        </w:rPr>
        <w:t xml:space="preserve"> </w:t>
      </w:r>
      <w:r w:rsidR="00E01652" w:rsidRPr="00E01652">
        <w:rPr>
          <w:rFonts w:ascii="Times New Roman" w:hAnsi="Times New Roman" w:cs="Times New Roman"/>
          <w:i/>
          <w:sz w:val="24"/>
          <w:szCs w:val="20"/>
        </w:rPr>
        <w:t>p</w:t>
      </w:r>
      <w:r w:rsidR="00E01652">
        <w:rPr>
          <w:rFonts w:ascii="Times New Roman" w:hAnsi="Times New Roman" w:cs="Times New Roman"/>
          <w:sz w:val="24"/>
          <w:szCs w:val="20"/>
        </w:rPr>
        <w:t xml:space="preserve"> = .508</w:t>
      </w:r>
      <w:r w:rsidRPr="0013752B">
        <w:rPr>
          <w:rFonts w:ascii="Times New Roman" w:hAnsi="Times New Roman" w:cs="Times New Roman"/>
          <w:sz w:val="24"/>
          <w:szCs w:val="20"/>
        </w:rPr>
        <w:t>)</w:t>
      </w:r>
    </w:p>
    <w:p w:rsidR="0013752B" w:rsidRPr="0013752B" w:rsidRDefault="0013752B" w:rsidP="0013752B">
      <w:pPr>
        <w:pStyle w:val="ListParagraph"/>
        <w:numPr>
          <w:ilvl w:val="0"/>
          <w:numId w:val="9"/>
        </w:numPr>
        <w:spacing w:after="160" w:line="259" w:lineRule="auto"/>
        <w:rPr>
          <w:rFonts w:ascii="Times New Roman" w:hAnsi="Times New Roman" w:cs="Times New Roman"/>
          <w:sz w:val="24"/>
          <w:szCs w:val="20"/>
        </w:rPr>
      </w:pPr>
      <w:r w:rsidRPr="0013752B">
        <w:rPr>
          <w:rFonts w:ascii="Times New Roman" w:hAnsi="Times New Roman" w:cs="Times New Roman"/>
          <w:sz w:val="24"/>
          <w:szCs w:val="20"/>
        </w:rPr>
        <w:t>Farmer has a successor working on the farm</w:t>
      </w:r>
      <w:r w:rsidR="00E01652">
        <w:rPr>
          <w:rFonts w:ascii="Times New Roman" w:hAnsi="Times New Roman" w:cs="Times New Roman"/>
          <w:sz w:val="24"/>
          <w:szCs w:val="20"/>
        </w:rPr>
        <w:t xml:space="preserve"> </w:t>
      </w:r>
      <w:r w:rsidRPr="0013752B">
        <w:rPr>
          <w:rFonts w:ascii="Times New Roman" w:hAnsi="Times New Roman" w:cs="Times New Roman"/>
          <w:sz w:val="24"/>
          <w:szCs w:val="20"/>
        </w:rPr>
        <w:t>(</w:t>
      </w:r>
      <w:r w:rsidR="004E6B72" w:rsidRPr="00E01652">
        <w:rPr>
          <w:rFonts w:ascii="Times New Roman" w:hAnsi="Times New Roman" w:cs="Times New Roman"/>
          <w:i/>
          <w:sz w:val="24"/>
          <w:szCs w:val="20"/>
        </w:rPr>
        <w:t>X</w:t>
      </w:r>
      <w:r w:rsidR="004E6B72">
        <w:rPr>
          <w:rFonts w:ascii="Times New Roman" w:hAnsi="Times New Roman" w:cs="Times New Roman"/>
          <w:sz w:val="24"/>
          <w:szCs w:val="20"/>
          <w:vertAlign w:val="superscript"/>
        </w:rPr>
        <w:t>2</w:t>
      </w:r>
      <w:r w:rsidR="004E6B72">
        <w:rPr>
          <w:rFonts w:ascii="Times New Roman" w:hAnsi="Times New Roman" w:cs="Times New Roman"/>
          <w:sz w:val="24"/>
          <w:szCs w:val="20"/>
        </w:rPr>
        <w:t>(2) = 0.28,</w:t>
      </w:r>
      <w:r w:rsidR="00E01652">
        <w:rPr>
          <w:rFonts w:ascii="Times New Roman" w:hAnsi="Times New Roman" w:cs="Times New Roman"/>
          <w:sz w:val="24"/>
          <w:szCs w:val="20"/>
        </w:rPr>
        <w:t xml:space="preserve"> </w:t>
      </w:r>
      <w:r w:rsidR="00E01652" w:rsidRPr="00E01652">
        <w:rPr>
          <w:rFonts w:ascii="Times New Roman" w:hAnsi="Times New Roman" w:cs="Times New Roman"/>
          <w:i/>
          <w:sz w:val="24"/>
          <w:szCs w:val="20"/>
        </w:rPr>
        <w:t>p</w:t>
      </w:r>
      <w:r w:rsidR="00E01652">
        <w:rPr>
          <w:rFonts w:ascii="Times New Roman" w:hAnsi="Times New Roman" w:cs="Times New Roman"/>
          <w:sz w:val="24"/>
          <w:szCs w:val="20"/>
        </w:rPr>
        <w:t xml:space="preserve"> = .931</w:t>
      </w:r>
      <w:r w:rsidRPr="0013752B">
        <w:rPr>
          <w:rFonts w:ascii="Times New Roman" w:hAnsi="Times New Roman" w:cs="Times New Roman"/>
          <w:sz w:val="24"/>
          <w:szCs w:val="20"/>
        </w:rPr>
        <w:t>)</w:t>
      </w:r>
    </w:p>
    <w:p w:rsidR="005F55B0" w:rsidRPr="0013752B" w:rsidRDefault="0013752B" w:rsidP="0013752B">
      <w:pPr>
        <w:pStyle w:val="ListParagraph"/>
        <w:numPr>
          <w:ilvl w:val="0"/>
          <w:numId w:val="9"/>
        </w:numPr>
        <w:spacing w:after="160" w:line="259" w:lineRule="auto"/>
        <w:rPr>
          <w:rFonts w:ascii="Times New Roman" w:hAnsi="Times New Roman" w:cs="Times New Roman"/>
          <w:sz w:val="24"/>
          <w:szCs w:val="20"/>
        </w:rPr>
      </w:pPr>
      <w:r w:rsidRPr="0013752B">
        <w:rPr>
          <w:rFonts w:ascii="Times New Roman" w:hAnsi="Times New Roman" w:cs="Times New Roman"/>
          <w:sz w:val="24"/>
          <w:szCs w:val="20"/>
        </w:rPr>
        <w:t>Farmer perspective on the future of the local sector is optimistic (</w:t>
      </w:r>
      <w:r w:rsidR="004E6B72" w:rsidRPr="00E01652">
        <w:rPr>
          <w:rFonts w:ascii="Times New Roman" w:hAnsi="Times New Roman" w:cs="Times New Roman"/>
          <w:i/>
          <w:sz w:val="24"/>
          <w:szCs w:val="20"/>
        </w:rPr>
        <w:t>X</w:t>
      </w:r>
      <w:r w:rsidR="004E6B72">
        <w:rPr>
          <w:rFonts w:ascii="Times New Roman" w:hAnsi="Times New Roman" w:cs="Times New Roman"/>
          <w:sz w:val="24"/>
          <w:szCs w:val="20"/>
          <w:vertAlign w:val="superscript"/>
        </w:rPr>
        <w:t>2</w:t>
      </w:r>
      <w:r w:rsidR="004E6B72">
        <w:rPr>
          <w:rFonts w:ascii="Times New Roman" w:hAnsi="Times New Roman" w:cs="Times New Roman"/>
          <w:sz w:val="24"/>
          <w:szCs w:val="20"/>
        </w:rPr>
        <w:t>(2) = 0.84,</w:t>
      </w:r>
      <w:r w:rsidR="00E01652">
        <w:rPr>
          <w:rFonts w:ascii="Times New Roman" w:hAnsi="Times New Roman" w:cs="Times New Roman"/>
          <w:sz w:val="24"/>
          <w:szCs w:val="20"/>
        </w:rPr>
        <w:t xml:space="preserve"> </w:t>
      </w:r>
      <w:r w:rsidR="00E01652" w:rsidRPr="00E01652">
        <w:rPr>
          <w:rFonts w:ascii="Times New Roman" w:hAnsi="Times New Roman" w:cs="Times New Roman"/>
          <w:i/>
          <w:sz w:val="24"/>
          <w:szCs w:val="20"/>
        </w:rPr>
        <w:t>p</w:t>
      </w:r>
      <w:r w:rsidR="00E01652">
        <w:rPr>
          <w:rFonts w:ascii="Times New Roman" w:hAnsi="Times New Roman" w:cs="Times New Roman"/>
          <w:sz w:val="24"/>
          <w:szCs w:val="20"/>
        </w:rPr>
        <w:t xml:space="preserve"> = .698</w:t>
      </w:r>
      <w:r w:rsidRPr="0013752B">
        <w:rPr>
          <w:rFonts w:ascii="Times New Roman" w:hAnsi="Times New Roman" w:cs="Times New Roman"/>
          <w:sz w:val="24"/>
          <w:szCs w:val="20"/>
        </w:rPr>
        <w:t>)</w:t>
      </w:r>
      <w:r w:rsidR="005F55B0" w:rsidRPr="0013752B">
        <w:rPr>
          <w:rFonts w:ascii="Times New Roman" w:hAnsi="Times New Roman" w:cs="Times New Roman"/>
          <w:b/>
          <w:sz w:val="24"/>
          <w:szCs w:val="20"/>
        </w:rPr>
        <w:br w:type="page"/>
      </w:r>
    </w:p>
    <w:p w:rsidR="005F55B0" w:rsidRDefault="005F55B0" w:rsidP="005F55B0">
      <w:pPr>
        <w:pStyle w:val="ListParagraph"/>
        <w:numPr>
          <w:ilvl w:val="0"/>
          <w:numId w:val="5"/>
        </w:numPr>
        <w:rPr>
          <w:rFonts w:ascii="Times New Roman" w:hAnsi="Times New Roman" w:cs="Times New Roman"/>
          <w:b/>
          <w:sz w:val="24"/>
          <w:szCs w:val="20"/>
        </w:rPr>
      </w:pPr>
      <w:r w:rsidRPr="00EC4FBA">
        <w:rPr>
          <w:rFonts w:ascii="Times New Roman" w:hAnsi="Times New Roman" w:cs="Times New Roman"/>
          <w:b/>
          <w:sz w:val="24"/>
          <w:szCs w:val="20"/>
        </w:rPr>
        <w:lastRenderedPageBreak/>
        <w:t>Comprehensive r</w:t>
      </w:r>
      <w:r w:rsidRPr="00EC4FBA">
        <w:rPr>
          <w:rFonts w:ascii="Times New Roman" w:hAnsi="Times New Roman" w:cs="Times New Roman"/>
          <w:b/>
          <w:sz w:val="24"/>
        </w:rPr>
        <w:t>esults from Wilcoxon signed-rank test and analysis of preferred order scores from the landscape preferences survey</w:t>
      </w:r>
      <w:r w:rsidRPr="00EC4FBA">
        <w:rPr>
          <w:rFonts w:ascii="Times New Roman" w:hAnsi="Times New Roman" w:cs="Times New Roman"/>
          <w:b/>
          <w:sz w:val="24"/>
          <w:szCs w:val="20"/>
        </w:rPr>
        <w:t xml:space="preserve"> </w:t>
      </w:r>
    </w:p>
    <w:p w:rsidR="00EC4FBA" w:rsidRPr="00EC4FBA" w:rsidRDefault="00EC4FBA" w:rsidP="00581559">
      <w:pPr>
        <w:spacing w:after="0"/>
        <w:jc w:val="both"/>
        <w:rPr>
          <w:rFonts w:ascii="Times New Roman" w:hAnsi="Times New Roman" w:cs="Times New Roman"/>
          <w:i/>
          <w:sz w:val="24"/>
          <w:szCs w:val="20"/>
        </w:rPr>
      </w:pPr>
      <w:r>
        <w:rPr>
          <w:rFonts w:ascii="Times New Roman" w:hAnsi="Times New Roman" w:cs="Times New Roman"/>
          <w:i/>
          <w:sz w:val="24"/>
          <w:szCs w:val="20"/>
        </w:rPr>
        <w:t>Results from Wilcoxon signed-rank test (landscape preference survey)</w:t>
      </w:r>
      <w:r w:rsidR="00581559">
        <w:rPr>
          <w:rFonts w:ascii="Times New Roman" w:hAnsi="Times New Roman" w:cs="Times New Roman"/>
          <w:i/>
          <w:sz w:val="24"/>
          <w:szCs w:val="20"/>
        </w:rPr>
        <w:t>:</w:t>
      </w:r>
    </w:p>
    <w:p w:rsidR="00422192" w:rsidRDefault="00422192" w:rsidP="00581559">
      <w:pPr>
        <w:spacing w:after="0"/>
        <w:jc w:val="both"/>
        <w:rPr>
          <w:rFonts w:ascii="Times New Roman" w:hAnsi="Times New Roman" w:cs="Times New Roman"/>
          <w:sz w:val="24"/>
        </w:rPr>
      </w:pPr>
      <w:r w:rsidRPr="00466CA3">
        <w:rPr>
          <w:rFonts w:ascii="Times New Roman" w:hAnsi="Times New Roman" w:cs="Times New Roman"/>
          <w:sz w:val="24"/>
          <w:szCs w:val="20"/>
        </w:rPr>
        <w:t xml:space="preserve">Traditional plantations were ranked with significantly higher scores in the </w:t>
      </w:r>
      <w:r w:rsidR="00624146">
        <w:rPr>
          <w:rFonts w:ascii="Times New Roman" w:hAnsi="Times New Roman" w:cs="Times New Roman"/>
          <w:sz w:val="24"/>
          <w:szCs w:val="20"/>
        </w:rPr>
        <w:t>first</w:t>
      </w:r>
      <w:r w:rsidR="00624146" w:rsidRPr="00466CA3">
        <w:rPr>
          <w:rFonts w:ascii="Times New Roman" w:hAnsi="Times New Roman" w:cs="Times New Roman"/>
          <w:sz w:val="24"/>
          <w:szCs w:val="20"/>
        </w:rPr>
        <w:t xml:space="preserve"> </w:t>
      </w:r>
      <w:r w:rsidRPr="00466CA3">
        <w:rPr>
          <w:rFonts w:ascii="Times New Roman" w:hAnsi="Times New Roman" w:cs="Times New Roman"/>
          <w:sz w:val="24"/>
          <w:szCs w:val="20"/>
        </w:rPr>
        <w:t xml:space="preserve">set as opposed to the </w:t>
      </w:r>
      <w:r w:rsidR="00624146">
        <w:rPr>
          <w:rFonts w:ascii="Times New Roman" w:hAnsi="Times New Roman" w:cs="Times New Roman"/>
          <w:sz w:val="24"/>
          <w:szCs w:val="20"/>
        </w:rPr>
        <w:t>second</w:t>
      </w:r>
      <w:r w:rsidR="00624146" w:rsidRPr="00466CA3">
        <w:rPr>
          <w:rFonts w:ascii="Times New Roman" w:hAnsi="Times New Roman" w:cs="Times New Roman"/>
          <w:sz w:val="24"/>
          <w:szCs w:val="20"/>
        </w:rPr>
        <w:t xml:space="preserve"> </w:t>
      </w:r>
      <w:r w:rsidRPr="00466CA3">
        <w:rPr>
          <w:rFonts w:ascii="Times New Roman" w:hAnsi="Times New Roman" w:cs="Times New Roman"/>
          <w:sz w:val="24"/>
          <w:szCs w:val="20"/>
        </w:rPr>
        <w:t>(</w:t>
      </w:r>
      <w:r w:rsidRPr="00466CA3">
        <w:rPr>
          <w:rFonts w:ascii="Times New Roman" w:hAnsi="Times New Roman" w:cs="Times New Roman"/>
          <w:i/>
          <w:sz w:val="24"/>
          <w:szCs w:val="20"/>
        </w:rPr>
        <w:t>z</w:t>
      </w:r>
      <w:r w:rsidRPr="00466CA3">
        <w:rPr>
          <w:rFonts w:ascii="Times New Roman" w:hAnsi="Times New Roman" w:cs="Times New Roman"/>
          <w:sz w:val="24"/>
          <w:szCs w:val="20"/>
        </w:rPr>
        <w:t xml:space="preserve"> = -3.183, </w:t>
      </w:r>
      <w:r w:rsidRPr="00466CA3">
        <w:rPr>
          <w:rFonts w:ascii="Times New Roman" w:hAnsi="Times New Roman" w:cs="Times New Roman"/>
          <w:i/>
          <w:sz w:val="24"/>
          <w:szCs w:val="20"/>
        </w:rPr>
        <w:t>r</w:t>
      </w:r>
      <w:r w:rsidRPr="00466CA3">
        <w:rPr>
          <w:rFonts w:ascii="Times New Roman" w:hAnsi="Times New Roman" w:cs="Times New Roman"/>
          <w:sz w:val="24"/>
          <w:szCs w:val="20"/>
        </w:rPr>
        <w:t xml:space="preserve"> = -0.40), while intensive systems were scored higher in the second set (</w:t>
      </w:r>
      <w:r w:rsidRPr="00466CA3">
        <w:rPr>
          <w:rFonts w:ascii="Times New Roman" w:hAnsi="Times New Roman" w:cs="Times New Roman"/>
          <w:i/>
          <w:sz w:val="24"/>
          <w:szCs w:val="20"/>
        </w:rPr>
        <w:t>z</w:t>
      </w:r>
      <w:r w:rsidRPr="00466CA3">
        <w:rPr>
          <w:rFonts w:ascii="Times New Roman" w:hAnsi="Times New Roman" w:cs="Times New Roman"/>
          <w:sz w:val="24"/>
          <w:szCs w:val="20"/>
        </w:rPr>
        <w:t xml:space="preserve"> = -2.816, </w:t>
      </w:r>
      <w:r w:rsidRPr="00466CA3">
        <w:rPr>
          <w:rFonts w:ascii="Times New Roman" w:hAnsi="Times New Roman" w:cs="Times New Roman"/>
          <w:i/>
          <w:sz w:val="24"/>
          <w:szCs w:val="20"/>
        </w:rPr>
        <w:t>r</w:t>
      </w:r>
      <w:r w:rsidRPr="00466CA3">
        <w:rPr>
          <w:rFonts w:ascii="Times New Roman" w:hAnsi="Times New Roman" w:cs="Times New Roman"/>
          <w:sz w:val="24"/>
          <w:szCs w:val="20"/>
        </w:rPr>
        <w:t xml:space="preserve"> = -0.35)</w:t>
      </w:r>
      <w:r>
        <w:rPr>
          <w:rFonts w:ascii="Times New Roman" w:hAnsi="Times New Roman" w:cs="Times New Roman"/>
          <w:sz w:val="24"/>
          <w:szCs w:val="20"/>
        </w:rPr>
        <w:t xml:space="preserve"> (</w:t>
      </w:r>
      <w:r w:rsidRPr="00A336A0">
        <w:rPr>
          <w:rFonts w:ascii="Times New Roman" w:hAnsi="Times New Roman" w:cs="Times New Roman"/>
          <w:b/>
          <w:sz w:val="24"/>
          <w:szCs w:val="20"/>
        </w:rPr>
        <w:t xml:space="preserve">Table </w:t>
      </w:r>
      <w:r w:rsidR="009B58D5">
        <w:rPr>
          <w:rFonts w:ascii="Times New Roman" w:hAnsi="Times New Roman" w:cs="Times New Roman"/>
          <w:b/>
          <w:sz w:val="24"/>
          <w:szCs w:val="20"/>
        </w:rPr>
        <w:t>3</w:t>
      </w:r>
      <w:r>
        <w:rPr>
          <w:rFonts w:ascii="Times New Roman" w:hAnsi="Times New Roman" w:cs="Times New Roman"/>
          <w:sz w:val="24"/>
          <w:szCs w:val="20"/>
        </w:rPr>
        <w:t>)</w:t>
      </w:r>
      <w:r w:rsidRPr="00466CA3">
        <w:rPr>
          <w:rFonts w:ascii="Times New Roman" w:hAnsi="Times New Roman" w:cs="Times New Roman"/>
          <w:sz w:val="24"/>
          <w:szCs w:val="20"/>
        </w:rPr>
        <w:t>. For the sets illustrating housing sprawl</w:t>
      </w:r>
      <w:r>
        <w:rPr>
          <w:rFonts w:ascii="Times New Roman" w:hAnsi="Times New Roman" w:cs="Times New Roman"/>
          <w:sz w:val="24"/>
          <w:szCs w:val="20"/>
        </w:rPr>
        <w:t xml:space="preserve"> (sets 3 and 4, </w:t>
      </w:r>
      <w:r w:rsidRPr="00A336A0">
        <w:rPr>
          <w:rFonts w:ascii="Times New Roman" w:hAnsi="Times New Roman" w:cs="Times New Roman"/>
          <w:b/>
          <w:sz w:val="24"/>
          <w:szCs w:val="20"/>
        </w:rPr>
        <w:t xml:space="preserve">Table </w:t>
      </w:r>
      <w:r w:rsidR="009B58D5">
        <w:rPr>
          <w:rFonts w:ascii="Times New Roman" w:hAnsi="Times New Roman" w:cs="Times New Roman"/>
          <w:b/>
          <w:sz w:val="24"/>
          <w:szCs w:val="20"/>
        </w:rPr>
        <w:t>4</w:t>
      </w:r>
      <w:r>
        <w:rPr>
          <w:rFonts w:ascii="Times New Roman" w:hAnsi="Times New Roman" w:cs="Times New Roman"/>
          <w:sz w:val="24"/>
          <w:szCs w:val="20"/>
        </w:rPr>
        <w:t>)</w:t>
      </w:r>
      <w:r w:rsidRPr="00466CA3">
        <w:rPr>
          <w:rFonts w:ascii="Times New Roman" w:hAnsi="Times New Roman" w:cs="Times New Roman"/>
          <w:sz w:val="24"/>
          <w:szCs w:val="20"/>
        </w:rPr>
        <w:t xml:space="preserve">, </w:t>
      </w:r>
      <w:r w:rsidRPr="00466CA3">
        <w:rPr>
          <w:rFonts w:ascii="Times New Roman" w:hAnsi="Times New Roman" w:cs="Times New Roman"/>
          <w:sz w:val="24"/>
        </w:rPr>
        <w:t>the two forested systems with no built infrastructure were similarly ranked (</w:t>
      </w:r>
      <w:r w:rsidRPr="00466CA3">
        <w:rPr>
          <w:rFonts w:ascii="Times New Roman" w:hAnsi="Times New Roman" w:cs="Times New Roman"/>
          <w:i/>
          <w:sz w:val="24"/>
        </w:rPr>
        <w:t>r</w:t>
      </w:r>
      <w:r w:rsidRPr="00466CA3">
        <w:rPr>
          <w:rFonts w:ascii="Times New Roman" w:hAnsi="Times New Roman" w:cs="Times New Roman"/>
          <w:sz w:val="24"/>
        </w:rPr>
        <w:t xml:space="preserve"> = -0.17 and -0.22 respectively for mixed and olive forests). Statistically significant differences were found for scattered housing and densely built village / city (</w:t>
      </w:r>
      <w:r w:rsidRPr="00466CA3">
        <w:rPr>
          <w:rFonts w:ascii="Times New Roman" w:hAnsi="Times New Roman" w:cs="Times New Roman"/>
          <w:i/>
          <w:sz w:val="24"/>
        </w:rPr>
        <w:t>z</w:t>
      </w:r>
      <w:r w:rsidRPr="00466CA3">
        <w:rPr>
          <w:rFonts w:ascii="Times New Roman" w:hAnsi="Times New Roman" w:cs="Times New Roman"/>
          <w:sz w:val="24"/>
        </w:rPr>
        <w:t xml:space="preserve"> = -3.987 and -5.015, </w:t>
      </w:r>
      <w:r w:rsidRPr="00466CA3">
        <w:rPr>
          <w:rFonts w:ascii="Times New Roman" w:hAnsi="Times New Roman" w:cs="Times New Roman"/>
          <w:i/>
          <w:sz w:val="24"/>
        </w:rPr>
        <w:t>r</w:t>
      </w:r>
      <w:r w:rsidRPr="00466CA3">
        <w:rPr>
          <w:rFonts w:ascii="Times New Roman" w:hAnsi="Times New Roman" w:cs="Times New Roman"/>
          <w:sz w:val="24"/>
        </w:rPr>
        <w:t xml:space="preserve"> = -0.50 and -0.63 respectively</w:t>
      </w:r>
      <w:r>
        <w:rPr>
          <w:rFonts w:ascii="Times New Roman" w:hAnsi="Times New Roman" w:cs="Times New Roman"/>
          <w:sz w:val="24"/>
        </w:rPr>
        <w:t>.</w:t>
      </w:r>
    </w:p>
    <w:p w:rsidR="00581559" w:rsidRDefault="00581559" w:rsidP="00581559">
      <w:pPr>
        <w:spacing w:after="0"/>
        <w:jc w:val="both"/>
        <w:rPr>
          <w:rFonts w:ascii="Times New Roman" w:eastAsiaTheme="minorEastAsia" w:hAnsi="Times New Roman" w:cs="Times New Roman"/>
        </w:rPr>
      </w:pPr>
    </w:p>
    <w:p w:rsidR="00422192" w:rsidRPr="00CC08C0" w:rsidRDefault="00422192" w:rsidP="00422192">
      <w:pPr>
        <w:spacing w:after="0"/>
        <w:rPr>
          <w:rFonts w:ascii="Times New Roman" w:hAnsi="Times New Roman" w:cs="Times New Roman"/>
          <w:sz w:val="24"/>
        </w:rPr>
      </w:pPr>
      <w:r w:rsidRPr="00CC08C0">
        <w:rPr>
          <w:rFonts w:ascii="Times New Roman" w:hAnsi="Times New Roman" w:cs="Times New Roman"/>
          <w:b/>
          <w:sz w:val="24"/>
        </w:rPr>
        <w:t xml:space="preserve">Table </w:t>
      </w:r>
      <w:r w:rsidR="00713504">
        <w:rPr>
          <w:rFonts w:ascii="Times New Roman" w:hAnsi="Times New Roman" w:cs="Times New Roman"/>
          <w:b/>
          <w:sz w:val="24"/>
        </w:rPr>
        <w:t>3</w:t>
      </w:r>
      <w:r w:rsidRPr="00CC08C0">
        <w:rPr>
          <w:rFonts w:ascii="Times New Roman" w:hAnsi="Times New Roman" w:cs="Times New Roman"/>
          <w:sz w:val="24"/>
        </w:rPr>
        <w:t xml:space="preserve"> Analysis of means for set 1 and set 2</w:t>
      </w:r>
    </w:p>
    <w:tbl>
      <w:tblPr>
        <w:tblStyle w:val="TableGrid"/>
        <w:tblW w:w="936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7"/>
        <w:gridCol w:w="1617"/>
        <w:gridCol w:w="1567"/>
        <w:gridCol w:w="1584"/>
        <w:gridCol w:w="786"/>
        <w:gridCol w:w="667"/>
        <w:gridCol w:w="700"/>
      </w:tblGrid>
      <w:tr w:rsidR="00422192" w:rsidRPr="00A07789" w:rsidTr="00713504">
        <w:tc>
          <w:tcPr>
            <w:tcW w:w="2447" w:type="dxa"/>
            <w:tcBorders>
              <w:top w:val="single" w:sz="4" w:space="0" w:color="auto"/>
              <w:bottom w:val="single" w:sz="4" w:space="0" w:color="auto"/>
            </w:tcBorders>
            <w:vAlign w:val="center"/>
          </w:tcPr>
          <w:p w:rsidR="00422192" w:rsidRPr="00A07789" w:rsidRDefault="00422192" w:rsidP="00713504">
            <w:pPr>
              <w:jc w:val="center"/>
              <w:rPr>
                <w:rFonts w:ascii="Times New Roman" w:eastAsia="Times New Roman" w:hAnsi="Times New Roman" w:cs="Times New Roman"/>
                <w:b/>
                <w:color w:val="000000"/>
                <w:sz w:val="18"/>
                <w:szCs w:val="18"/>
              </w:rPr>
            </w:pPr>
            <w:r w:rsidRPr="00A07789">
              <w:rPr>
                <w:rFonts w:ascii="Times New Roman" w:eastAsia="Times New Roman" w:hAnsi="Times New Roman" w:cs="Times New Roman"/>
                <w:b/>
                <w:color w:val="000000"/>
                <w:sz w:val="18"/>
                <w:szCs w:val="18"/>
              </w:rPr>
              <w:t>Photo ID and description</w:t>
            </w:r>
          </w:p>
        </w:tc>
        <w:tc>
          <w:tcPr>
            <w:tcW w:w="1617"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b/>
                <w:sz w:val="18"/>
                <w:szCs w:val="18"/>
              </w:rPr>
            </w:pPr>
            <w:r w:rsidRPr="00A07789">
              <w:rPr>
                <w:rFonts w:ascii="Times New Roman" w:hAnsi="Times New Roman" w:cs="Times New Roman"/>
                <w:b/>
                <w:sz w:val="18"/>
                <w:szCs w:val="18"/>
              </w:rPr>
              <w:t>Count negative</w:t>
            </w:r>
          </w:p>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Set 1 &gt; Set 2</w:t>
            </w:r>
          </w:p>
        </w:tc>
        <w:tc>
          <w:tcPr>
            <w:tcW w:w="1567"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b/>
                <w:sz w:val="18"/>
                <w:szCs w:val="18"/>
              </w:rPr>
            </w:pPr>
            <w:r w:rsidRPr="00A07789">
              <w:rPr>
                <w:rFonts w:ascii="Times New Roman" w:hAnsi="Times New Roman" w:cs="Times New Roman"/>
                <w:b/>
                <w:sz w:val="18"/>
                <w:szCs w:val="18"/>
              </w:rPr>
              <w:t>Count positive</w:t>
            </w:r>
          </w:p>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Set 1 &lt; Set 2</w:t>
            </w:r>
          </w:p>
        </w:tc>
        <w:tc>
          <w:tcPr>
            <w:tcW w:w="1584"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b/>
                <w:sz w:val="18"/>
                <w:szCs w:val="18"/>
              </w:rPr>
            </w:pPr>
            <w:r w:rsidRPr="00A07789">
              <w:rPr>
                <w:rFonts w:ascii="Times New Roman" w:hAnsi="Times New Roman" w:cs="Times New Roman"/>
                <w:b/>
                <w:sz w:val="18"/>
                <w:szCs w:val="18"/>
              </w:rPr>
              <w:t>Count neutral</w:t>
            </w:r>
          </w:p>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Set 1 = Set 2</w:t>
            </w:r>
          </w:p>
        </w:tc>
        <w:tc>
          <w:tcPr>
            <w:tcW w:w="786"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i/>
                <w:sz w:val="18"/>
                <w:szCs w:val="18"/>
              </w:rPr>
            </w:pPr>
            <w:r w:rsidRPr="00A07789">
              <w:rPr>
                <w:rFonts w:ascii="Times New Roman" w:hAnsi="Times New Roman" w:cs="Times New Roman"/>
                <w:i/>
                <w:sz w:val="18"/>
                <w:szCs w:val="18"/>
              </w:rPr>
              <w:t>z</w:t>
            </w:r>
          </w:p>
        </w:tc>
        <w:tc>
          <w:tcPr>
            <w:tcW w:w="667"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i/>
                <w:sz w:val="18"/>
                <w:szCs w:val="18"/>
              </w:rPr>
            </w:pPr>
            <w:r w:rsidRPr="00A07789">
              <w:rPr>
                <w:rFonts w:ascii="Times New Roman" w:hAnsi="Times New Roman" w:cs="Times New Roman"/>
                <w:i/>
                <w:sz w:val="18"/>
                <w:szCs w:val="18"/>
              </w:rPr>
              <w:t>p</w:t>
            </w:r>
          </w:p>
        </w:tc>
        <w:tc>
          <w:tcPr>
            <w:tcW w:w="700" w:type="dxa"/>
            <w:tcBorders>
              <w:top w:val="single" w:sz="4" w:space="0" w:color="auto"/>
              <w:bottom w:val="single" w:sz="4" w:space="0" w:color="auto"/>
            </w:tcBorders>
            <w:vAlign w:val="center"/>
          </w:tcPr>
          <w:p w:rsidR="00422192" w:rsidRPr="00A07789" w:rsidRDefault="00422192" w:rsidP="00713504">
            <w:pPr>
              <w:tabs>
                <w:tab w:val="center" w:pos="242"/>
              </w:tabs>
              <w:jc w:val="center"/>
              <w:rPr>
                <w:rFonts w:ascii="Times New Roman" w:hAnsi="Times New Roman" w:cs="Times New Roman"/>
                <w:i/>
                <w:sz w:val="18"/>
                <w:szCs w:val="18"/>
              </w:rPr>
            </w:pPr>
            <w:r w:rsidRPr="00A07789">
              <w:rPr>
                <w:rFonts w:ascii="Times New Roman" w:hAnsi="Times New Roman" w:cs="Times New Roman"/>
                <w:i/>
                <w:sz w:val="18"/>
                <w:szCs w:val="18"/>
              </w:rPr>
              <w:t>r</w:t>
            </w:r>
          </w:p>
        </w:tc>
      </w:tr>
      <w:tr w:rsidR="00422192" w:rsidRPr="00A07789" w:rsidTr="00713504">
        <w:tc>
          <w:tcPr>
            <w:tcW w:w="2447" w:type="dxa"/>
            <w:tcBorders>
              <w:top w:val="single" w:sz="4" w:space="0" w:color="auto"/>
            </w:tcBorders>
            <w:shd w:val="clear" w:color="auto" w:fill="auto"/>
            <w:vAlign w:val="center"/>
          </w:tcPr>
          <w:p w:rsidR="00422192" w:rsidRPr="00A07789" w:rsidRDefault="00422192" w:rsidP="00713504">
            <w:pPr>
              <w:rPr>
                <w:rFonts w:ascii="Times New Roman" w:eastAsia="Times New Roman" w:hAnsi="Times New Roman" w:cs="Times New Roman"/>
                <w:i/>
                <w:color w:val="000000"/>
                <w:sz w:val="18"/>
                <w:szCs w:val="18"/>
              </w:rPr>
            </w:pPr>
            <w:r w:rsidRPr="00A07789">
              <w:rPr>
                <w:rFonts w:ascii="Times New Roman" w:eastAsia="Times New Roman" w:hAnsi="Times New Roman" w:cs="Times New Roman"/>
                <w:i/>
                <w:color w:val="000000"/>
                <w:sz w:val="18"/>
                <w:szCs w:val="18"/>
              </w:rPr>
              <w:t>(A/E) Traditional</w:t>
            </w:r>
          </w:p>
        </w:tc>
        <w:tc>
          <w:tcPr>
            <w:tcW w:w="1617"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35</w:t>
            </w:r>
          </w:p>
        </w:tc>
        <w:tc>
          <w:tcPr>
            <w:tcW w:w="1567"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11</w:t>
            </w:r>
          </w:p>
        </w:tc>
        <w:tc>
          <w:tcPr>
            <w:tcW w:w="1584"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17</w:t>
            </w:r>
          </w:p>
        </w:tc>
        <w:tc>
          <w:tcPr>
            <w:tcW w:w="786"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-3.183</w:t>
            </w:r>
          </w:p>
        </w:tc>
        <w:tc>
          <w:tcPr>
            <w:tcW w:w="667"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0.001</w:t>
            </w:r>
          </w:p>
        </w:tc>
        <w:tc>
          <w:tcPr>
            <w:tcW w:w="700"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-0.40</w:t>
            </w:r>
          </w:p>
        </w:tc>
      </w:tr>
      <w:tr w:rsidR="00422192" w:rsidRPr="00A07789" w:rsidTr="00713504">
        <w:tc>
          <w:tcPr>
            <w:tcW w:w="2447" w:type="dxa"/>
            <w:shd w:val="clear" w:color="auto" w:fill="auto"/>
            <w:vAlign w:val="center"/>
          </w:tcPr>
          <w:p w:rsidR="00422192" w:rsidRPr="00A07789" w:rsidRDefault="00422192" w:rsidP="00713504">
            <w:pPr>
              <w:rPr>
                <w:rFonts w:ascii="Times New Roman" w:eastAsia="Times New Roman" w:hAnsi="Times New Roman" w:cs="Times New Roman"/>
                <w:i/>
                <w:color w:val="000000"/>
                <w:sz w:val="18"/>
                <w:szCs w:val="18"/>
              </w:rPr>
            </w:pPr>
            <w:r w:rsidRPr="00A07789">
              <w:rPr>
                <w:rFonts w:ascii="Times New Roman" w:eastAsia="Times New Roman" w:hAnsi="Times New Roman" w:cs="Times New Roman"/>
                <w:i/>
                <w:color w:val="000000"/>
                <w:sz w:val="18"/>
                <w:szCs w:val="18"/>
              </w:rPr>
              <w:t>(B/F) Intensive</w:t>
            </w:r>
          </w:p>
        </w:tc>
        <w:tc>
          <w:tcPr>
            <w:tcW w:w="161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18</w:t>
            </w:r>
          </w:p>
        </w:tc>
        <w:tc>
          <w:tcPr>
            <w:tcW w:w="15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32</w:t>
            </w:r>
          </w:p>
        </w:tc>
        <w:tc>
          <w:tcPr>
            <w:tcW w:w="1584"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13</w:t>
            </w:r>
          </w:p>
        </w:tc>
        <w:tc>
          <w:tcPr>
            <w:tcW w:w="786"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-2.816</w:t>
            </w:r>
          </w:p>
        </w:tc>
        <w:tc>
          <w:tcPr>
            <w:tcW w:w="6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0.005</w:t>
            </w:r>
          </w:p>
        </w:tc>
        <w:tc>
          <w:tcPr>
            <w:tcW w:w="700"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-0.35</w:t>
            </w:r>
          </w:p>
        </w:tc>
      </w:tr>
      <w:tr w:rsidR="00422192" w:rsidRPr="00A07789" w:rsidTr="00713504">
        <w:tc>
          <w:tcPr>
            <w:tcW w:w="2447" w:type="dxa"/>
            <w:shd w:val="clear" w:color="auto" w:fill="auto"/>
            <w:vAlign w:val="center"/>
          </w:tcPr>
          <w:p w:rsidR="00422192" w:rsidRPr="00A07789" w:rsidRDefault="00422192" w:rsidP="00713504">
            <w:pPr>
              <w:rPr>
                <w:rFonts w:ascii="Times New Roman" w:eastAsia="Times New Roman" w:hAnsi="Times New Roman" w:cs="Times New Roman"/>
                <w:i/>
                <w:color w:val="000000"/>
                <w:sz w:val="18"/>
                <w:szCs w:val="18"/>
              </w:rPr>
            </w:pPr>
            <w:r w:rsidRPr="00A07789">
              <w:rPr>
                <w:rFonts w:ascii="Times New Roman" w:eastAsia="Times New Roman" w:hAnsi="Times New Roman" w:cs="Times New Roman"/>
                <w:i/>
                <w:color w:val="000000"/>
                <w:sz w:val="18"/>
                <w:szCs w:val="18"/>
              </w:rPr>
              <w:t>(C/G) Neglected</w:t>
            </w:r>
          </w:p>
        </w:tc>
        <w:tc>
          <w:tcPr>
            <w:tcW w:w="161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22</w:t>
            </w:r>
          </w:p>
        </w:tc>
        <w:tc>
          <w:tcPr>
            <w:tcW w:w="15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13</w:t>
            </w:r>
          </w:p>
        </w:tc>
        <w:tc>
          <w:tcPr>
            <w:tcW w:w="1584"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22</w:t>
            </w:r>
          </w:p>
        </w:tc>
        <w:tc>
          <w:tcPr>
            <w:tcW w:w="786"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-0.261</w:t>
            </w:r>
          </w:p>
        </w:tc>
        <w:tc>
          <w:tcPr>
            <w:tcW w:w="6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0.794</w:t>
            </w:r>
          </w:p>
        </w:tc>
        <w:tc>
          <w:tcPr>
            <w:tcW w:w="700"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-0.03</w:t>
            </w:r>
          </w:p>
        </w:tc>
      </w:tr>
      <w:tr w:rsidR="00422192" w:rsidRPr="00A07789" w:rsidTr="00713504">
        <w:tc>
          <w:tcPr>
            <w:tcW w:w="2447" w:type="dxa"/>
            <w:shd w:val="clear" w:color="auto" w:fill="auto"/>
            <w:vAlign w:val="center"/>
          </w:tcPr>
          <w:p w:rsidR="00422192" w:rsidRPr="00A07789" w:rsidRDefault="00422192" w:rsidP="00713504">
            <w:pPr>
              <w:rPr>
                <w:rFonts w:ascii="Times New Roman" w:eastAsia="Times New Roman" w:hAnsi="Times New Roman" w:cs="Times New Roman"/>
                <w:i/>
                <w:color w:val="000000"/>
                <w:sz w:val="18"/>
                <w:szCs w:val="18"/>
              </w:rPr>
            </w:pPr>
            <w:r w:rsidRPr="00A07789">
              <w:rPr>
                <w:rFonts w:ascii="Times New Roman" w:eastAsia="Times New Roman" w:hAnsi="Times New Roman" w:cs="Times New Roman"/>
                <w:i/>
                <w:color w:val="000000"/>
                <w:sz w:val="18"/>
                <w:szCs w:val="18"/>
              </w:rPr>
              <w:t>(D/H) Abandoned</w:t>
            </w:r>
          </w:p>
        </w:tc>
        <w:tc>
          <w:tcPr>
            <w:tcW w:w="161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19</w:t>
            </w:r>
          </w:p>
        </w:tc>
        <w:tc>
          <w:tcPr>
            <w:tcW w:w="15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17</w:t>
            </w:r>
          </w:p>
        </w:tc>
        <w:tc>
          <w:tcPr>
            <w:tcW w:w="1584"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27</w:t>
            </w:r>
          </w:p>
        </w:tc>
        <w:tc>
          <w:tcPr>
            <w:tcW w:w="786"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-0.780</w:t>
            </w:r>
          </w:p>
        </w:tc>
        <w:tc>
          <w:tcPr>
            <w:tcW w:w="6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0.436</w:t>
            </w:r>
          </w:p>
        </w:tc>
        <w:tc>
          <w:tcPr>
            <w:tcW w:w="700"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-0.10</w:t>
            </w:r>
          </w:p>
        </w:tc>
      </w:tr>
    </w:tbl>
    <w:p w:rsidR="00422192" w:rsidRPr="00A07789" w:rsidRDefault="00422192" w:rsidP="00422192">
      <w:pPr>
        <w:spacing w:after="0"/>
        <w:rPr>
          <w:rFonts w:ascii="Times New Roman" w:hAnsi="Times New Roman" w:cs="Times New Roman"/>
          <w:sz w:val="18"/>
        </w:rPr>
      </w:pPr>
      <w:r w:rsidRPr="00A07789">
        <w:rPr>
          <w:rFonts w:ascii="Times New Roman" w:hAnsi="Times New Roman" w:cs="Times New Roman"/>
          <w:sz w:val="18"/>
        </w:rPr>
        <w:t>*</w:t>
      </w:r>
      <w:r w:rsidRPr="00633138">
        <w:rPr>
          <w:rFonts w:ascii="Times New Roman" w:hAnsi="Times New Roman" w:cs="Times New Roman"/>
          <w:i/>
          <w:sz w:val="18"/>
        </w:rPr>
        <w:t>p</w:t>
      </w:r>
      <w:r w:rsidRPr="00A07789">
        <w:rPr>
          <w:rFonts w:ascii="Times New Roman" w:hAnsi="Times New Roman" w:cs="Times New Roman"/>
          <w:sz w:val="18"/>
        </w:rPr>
        <w:t xml:space="preserve"> (Asymp. Sig. (2-tailed)) &lt; 0.05 signifies the same system was ranked significantly differently in the two sets</w:t>
      </w:r>
    </w:p>
    <w:p w:rsidR="00422192" w:rsidRPr="00A07789" w:rsidRDefault="00422192" w:rsidP="00422192">
      <w:pPr>
        <w:spacing w:after="0"/>
        <w:rPr>
          <w:rFonts w:ascii="Times New Roman" w:hAnsi="Times New Roman" w:cs="Times New Roman"/>
          <w:sz w:val="18"/>
        </w:rPr>
      </w:pPr>
      <w:r w:rsidRPr="00A07789">
        <w:rPr>
          <w:rFonts w:ascii="Times New Roman" w:hAnsi="Times New Roman" w:cs="Times New Roman"/>
          <w:sz w:val="18"/>
        </w:rPr>
        <w:t xml:space="preserve">** </w:t>
      </w:r>
      <w:r w:rsidRPr="00633138">
        <w:rPr>
          <w:rFonts w:ascii="Times New Roman" w:hAnsi="Times New Roman" w:cs="Times New Roman"/>
          <w:i/>
          <w:sz w:val="18"/>
        </w:rPr>
        <w:t>r</w:t>
      </w:r>
      <w:r w:rsidRPr="00A07789">
        <w:rPr>
          <w:rFonts w:ascii="Times New Roman" w:hAnsi="Times New Roman" w:cs="Times New Roman"/>
          <w:sz w:val="18"/>
        </w:rPr>
        <w:t xml:space="preserve"> &gt;/= to 0.5 signifies a large change between the two rankings of the same system; an</w:t>
      </w:r>
      <w:r w:rsidRPr="00633138">
        <w:rPr>
          <w:rFonts w:ascii="Times New Roman" w:hAnsi="Times New Roman" w:cs="Times New Roman"/>
          <w:i/>
          <w:sz w:val="18"/>
        </w:rPr>
        <w:t xml:space="preserve"> r</w:t>
      </w:r>
      <w:r w:rsidRPr="00A07789">
        <w:rPr>
          <w:rFonts w:ascii="Times New Roman" w:hAnsi="Times New Roman" w:cs="Times New Roman"/>
          <w:sz w:val="18"/>
        </w:rPr>
        <w:t xml:space="preserve">-value closer to 0.3 signifies a medium change and a value &lt; 0.3 a small change. </w:t>
      </w:r>
    </w:p>
    <w:p w:rsidR="00422192" w:rsidRDefault="00422192" w:rsidP="00422192">
      <w:pPr>
        <w:spacing w:after="0"/>
        <w:rPr>
          <w:rFonts w:ascii="Times New Roman" w:hAnsi="Times New Roman" w:cs="Times New Roman"/>
          <w:b/>
          <w:sz w:val="18"/>
        </w:rPr>
      </w:pPr>
    </w:p>
    <w:p w:rsidR="00422192" w:rsidRPr="00CC08C0" w:rsidRDefault="00422192" w:rsidP="00422192">
      <w:pPr>
        <w:spacing w:after="0"/>
        <w:rPr>
          <w:rFonts w:ascii="Times New Roman" w:hAnsi="Times New Roman" w:cs="Times New Roman"/>
          <w:sz w:val="24"/>
        </w:rPr>
      </w:pPr>
      <w:r w:rsidRPr="00CC08C0">
        <w:rPr>
          <w:rFonts w:ascii="Times New Roman" w:hAnsi="Times New Roman" w:cs="Times New Roman"/>
          <w:b/>
          <w:sz w:val="24"/>
        </w:rPr>
        <w:t xml:space="preserve">Table </w:t>
      </w:r>
      <w:r w:rsidR="00713504">
        <w:rPr>
          <w:rFonts w:ascii="Times New Roman" w:hAnsi="Times New Roman" w:cs="Times New Roman"/>
          <w:b/>
          <w:sz w:val="24"/>
        </w:rPr>
        <w:t>4</w:t>
      </w:r>
      <w:r w:rsidRPr="00CC08C0">
        <w:rPr>
          <w:rFonts w:ascii="Times New Roman" w:hAnsi="Times New Roman" w:cs="Times New Roman"/>
          <w:sz w:val="24"/>
        </w:rPr>
        <w:t xml:space="preserve"> Analysis of means for set 3 and set 4</w:t>
      </w:r>
    </w:p>
    <w:tbl>
      <w:tblPr>
        <w:tblStyle w:val="TableGrid"/>
        <w:tblW w:w="932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2"/>
        <w:gridCol w:w="1555"/>
        <w:gridCol w:w="1505"/>
        <w:gridCol w:w="1621"/>
        <w:gridCol w:w="748"/>
        <w:gridCol w:w="667"/>
        <w:gridCol w:w="874"/>
      </w:tblGrid>
      <w:tr w:rsidR="00422192" w:rsidRPr="00A07789" w:rsidTr="00713504">
        <w:tc>
          <w:tcPr>
            <w:tcW w:w="2352" w:type="dxa"/>
            <w:tcBorders>
              <w:top w:val="single" w:sz="4" w:space="0" w:color="auto"/>
              <w:bottom w:val="single" w:sz="4" w:space="0" w:color="auto"/>
            </w:tcBorders>
            <w:vAlign w:val="center"/>
          </w:tcPr>
          <w:p w:rsidR="00422192" w:rsidRPr="00A07789" w:rsidRDefault="00422192" w:rsidP="00713504">
            <w:pPr>
              <w:jc w:val="center"/>
              <w:rPr>
                <w:rFonts w:ascii="Times New Roman" w:eastAsia="Times New Roman" w:hAnsi="Times New Roman" w:cs="Times New Roman"/>
                <w:b/>
                <w:color w:val="000000"/>
                <w:sz w:val="18"/>
                <w:szCs w:val="18"/>
              </w:rPr>
            </w:pPr>
            <w:r w:rsidRPr="00A07789">
              <w:rPr>
                <w:rFonts w:ascii="Times New Roman" w:eastAsia="Times New Roman" w:hAnsi="Times New Roman" w:cs="Times New Roman"/>
                <w:b/>
                <w:color w:val="000000"/>
                <w:sz w:val="18"/>
                <w:szCs w:val="18"/>
              </w:rPr>
              <w:t>Photo ID and description</w:t>
            </w:r>
          </w:p>
        </w:tc>
        <w:tc>
          <w:tcPr>
            <w:tcW w:w="1555"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b/>
                <w:sz w:val="18"/>
                <w:szCs w:val="18"/>
              </w:rPr>
            </w:pPr>
            <w:r w:rsidRPr="00A07789">
              <w:rPr>
                <w:rFonts w:ascii="Times New Roman" w:hAnsi="Times New Roman" w:cs="Times New Roman"/>
                <w:b/>
                <w:sz w:val="18"/>
                <w:szCs w:val="18"/>
              </w:rPr>
              <w:t>Count negative</w:t>
            </w:r>
          </w:p>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Set 3 &gt; Set 4</w:t>
            </w:r>
          </w:p>
        </w:tc>
        <w:tc>
          <w:tcPr>
            <w:tcW w:w="1505"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b/>
                <w:sz w:val="18"/>
                <w:szCs w:val="18"/>
              </w:rPr>
            </w:pPr>
            <w:r w:rsidRPr="00A07789">
              <w:rPr>
                <w:rFonts w:ascii="Times New Roman" w:hAnsi="Times New Roman" w:cs="Times New Roman"/>
                <w:b/>
                <w:sz w:val="18"/>
                <w:szCs w:val="18"/>
              </w:rPr>
              <w:t>Count positive</w:t>
            </w:r>
          </w:p>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Set 3 &lt; Set 4</w:t>
            </w:r>
          </w:p>
        </w:tc>
        <w:tc>
          <w:tcPr>
            <w:tcW w:w="1621"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b/>
                <w:sz w:val="18"/>
                <w:szCs w:val="18"/>
              </w:rPr>
            </w:pPr>
            <w:r w:rsidRPr="00A07789">
              <w:rPr>
                <w:rFonts w:ascii="Times New Roman" w:hAnsi="Times New Roman" w:cs="Times New Roman"/>
                <w:b/>
                <w:sz w:val="18"/>
                <w:szCs w:val="18"/>
              </w:rPr>
              <w:t>Count neutral</w:t>
            </w:r>
          </w:p>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Set 3 = Set 4</w:t>
            </w:r>
          </w:p>
        </w:tc>
        <w:tc>
          <w:tcPr>
            <w:tcW w:w="748"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i/>
                <w:sz w:val="18"/>
                <w:szCs w:val="18"/>
              </w:rPr>
            </w:pPr>
            <w:r w:rsidRPr="00A07789">
              <w:rPr>
                <w:rFonts w:ascii="Times New Roman" w:hAnsi="Times New Roman" w:cs="Times New Roman"/>
                <w:i/>
                <w:sz w:val="18"/>
                <w:szCs w:val="18"/>
              </w:rPr>
              <w:t>z</w:t>
            </w:r>
          </w:p>
        </w:tc>
        <w:tc>
          <w:tcPr>
            <w:tcW w:w="667"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i/>
                <w:sz w:val="18"/>
                <w:szCs w:val="18"/>
              </w:rPr>
            </w:pPr>
            <w:r w:rsidRPr="00A07789">
              <w:rPr>
                <w:rFonts w:ascii="Times New Roman" w:hAnsi="Times New Roman" w:cs="Times New Roman"/>
                <w:i/>
                <w:sz w:val="18"/>
                <w:szCs w:val="18"/>
              </w:rPr>
              <w:t>p</w:t>
            </w:r>
          </w:p>
        </w:tc>
        <w:tc>
          <w:tcPr>
            <w:tcW w:w="874" w:type="dxa"/>
            <w:tcBorders>
              <w:top w:val="single" w:sz="4" w:space="0" w:color="auto"/>
              <w:bottom w:val="single" w:sz="4" w:space="0" w:color="auto"/>
            </w:tcBorders>
            <w:vAlign w:val="center"/>
          </w:tcPr>
          <w:p w:rsidR="00422192" w:rsidRPr="00A07789" w:rsidRDefault="00422192" w:rsidP="00713504">
            <w:pPr>
              <w:jc w:val="center"/>
              <w:rPr>
                <w:rFonts w:ascii="Times New Roman" w:hAnsi="Times New Roman" w:cs="Times New Roman"/>
                <w:i/>
                <w:sz w:val="18"/>
                <w:szCs w:val="18"/>
              </w:rPr>
            </w:pPr>
            <w:r w:rsidRPr="00A07789">
              <w:rPr>
                <w:rFonts w:ascii="Times New Roman" w:hAnsi="Times New Roman" w:cs="Times New Roman"/>
                <w:i/>
                <w:sz w:val="18"/>
                <w:szCs w:val="18"/>
              </w:rPr>
              <w:t>r</w:t>
            </w:r>
          </w:p>
        </w:tc>
      </w:tr>
      <w:tr w:rsidR="00422192" w:rsidRPr="00A07789" w:rsidTr="00713504">
        <w:tc>
          <w:tcPr>
            <w:tcW w:w="2352" w:type="dxa"/>
            <w:tcBorders>
              <w:top w:val="single" w:sz="4" w:space="0" w:color="auto"/>
            </w:tcBorders>
            <w:shd w:val="clear" w:color="auto" w:fill="auto"/>
            <w:vAlign w:val="center"/>
          </w:tcPr>
          <w:p w:rsidR="00422192" w:rsidRPr="00A07789" w:rsidRDefault="00422192" w:rsidP="00713504">
            <w:pPr>
              <w:rPr>
                <w:rFonts w:ascii="Times New Roman" w:eastAsia="Times New Roman" w:hAnsi="Times New Roman" w:cs="Times New Roman"/>
                <w:i/>
                <w:color w:val="000000"/>
                <w:sz w:val="18"/>
                <w:szCs w:val="18"/>
              </w:rPr>
            </w:pPr>
            <w:r w:rsidRPr="00A07789">
              <w:rPr>
                <w:rFonts w:ascii="Times New Roman" w:eastAsia="Times New Roman" w:hAnsi="Times New Roman" w:cs="Times New Roman"/>
                <w:i/>
                <w:color w:val="000000"/>
                <w:sz w:val="18"/>
                <w:szCs w:val="18"/>
              </w:rPr>
              <w:t>(I/N) Mixed forest</w:t>
            </w:r>
          </w:p>
        </w:tc>
        <w:tc>
          <w:tcPr>
            <w:tcW w:w="1555"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26</w:t>
            </w:r>
          </w:p>
        </w:tc>
        <w:tc>
          <w:tcPr>
            <w:tcW w:w="1505"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17</w:t>
            </w:r>
          </w:p>
        </w:tc>
        <w:tc>
          <w:tcPr>
            <w:tcW w:w="1621"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20</w:t>
            </w:r>
          </w:p>
        </w:tc>
        <w:tc>
          <w:tcPr>
            <w:tcW w:w="748"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-1.363</w:t>
            </w:r>
          </w:p>
        </w:tc>
        <w:tc>
          <w:tcPr>
            <w:tcW w:w="667"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0.173</w:t>
            </w:r>
          </w:p>
        </w:tc>
        <w:tc>
          <w:tcPr>
            <w:tcW w:w="874" w:type="dxa"/>
            <w:tcBorders>
              <w:top w:val="single" w:sz="4" w:space="0" w:color="auto"/>
            </w:tcBorders>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-0.17</w:t>
            </w:r>
          </w:p>
        </w:tc>
      </w:tr>
      <w:tr w:rsidR="00422192" w:rsidRPr="00A07789" w:rsidTr="00713504">
        <w:tc>
          <w:tcPr>
            <w:tcW w:w="2352" w:type="dxa"/>
            <w:shd w:val="clear" w:color="auto" w:fill="auto"/>
            <w:vAlign w:val="center"/>
          </w:tcPr>
          <w:p w:rsidR="00422192" w:rsidRPr="00A07789" w:rsidRDefault="00422192" w:rsidP="00713504">
            <w:pPr>
              <w:rPr>
                <w:rFonts w:ascii="Times New Roman" w:eastAsia="Times New Roman" w:hAnsi="Times New Roman" w:cs="Times New Roman"/>
                <w:i/>
                <w:color w:val="000000"/>
                <w:sz w:val="18"/>
                <w:szCs w:val="18"/>
              </w:rPr>
            </w:pPr>
            <w:r w:rsidRPr="00A07789">
              <w:rPr>
                <w:rFonts w:ascii="Times New Roman" w:eastAsia="Times New Roman" w:hAnsi="Times New Roman" w:cs="Times New Roman"/>
                <w:i/>
                <w:color w:val="000000"/>
                <w:sz w:val="18"/>
                <w:szCs w:val="18"/>
              </w:rPr>
              <w:t>(J/O) Olive forest</w:t>
            </w:r>
          </w:p>
        </w:tc>
        <w:tc>
          <w:tcPr>
            <w:tcW w:w="1555"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28</w:t>
            </w:r>
          </w:p>
        </w:tc>
        <w:tc>
          <w:tcPr>
            <w:tcW w:w="1505"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18</w:t>
            </w:r>
          </w:p>
        </w:tc>
        <w:tc>
          <w:tcPr>
            <w:tcW w:w="1621"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17</w:t>
            </w:r>
          </w:p>
        </w:tc>
        <w:tc>
          <w:tcPr>
            <w:tcW w:w="748"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-1.740</w:t>
            </w:r>
          </w:p>
        </w:tc>
        <w:tc>
          <w:tcPr>
            <w:tcW w:w="6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0.082</w:t>
            </w:r>
          </w:p>
        </w:tc>
        <w:tc>
          <w:tcPr>
            <w:tcW w:w="874"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-0.22</w:t>
            </w:r>
          </w:p>
        </w:tc>
      </w:tr>
      <w:tr w:rsidR="00422192" w:rsidRPr="00A07789" w:rsidTr="00713504">
        <w:tc>
          <w:tcPr>
            <w:tcW w:w="2352" w:type="dxa"/>
            <w:shd w:val="clear" w:color="auto" w:fill="auto"/>
            <w:vAlign w:val="center"/>
          </w:tcPr>
          <w:p w:rsidR="00422192" w:rsidRPr="00A07789" w:rsidRDefault="00422192" w:rsidP="00713504">
            <w:pPr>
              <w:rPr>
                <w:rFonts w:ascii="Times New Roman" w:eastAsia="Times New Roman" w:hAnsi="Times New Roman" w:cs="Times New Roman"/>
                <w:i/>
                <w:color w:val="000000"/>
                <w:sz w:val="18"/>
                <w:szCs w:val="18"/>
              </w:rPr>
            </w:pPr>
            <w:r w:rsidRPr="00A07789">
              <w:rPr>
                <w:rFonts w:ascii="Times New Roman" w:eastAsia="Times New Roman" w:hAnsi="Times New Roman" w:cs="Times New Roman"/>
                <w:i/>
                <w:color w:val="000000"/>
                <w:sz w:val="18"/>
                <w:szCs w:val="18"/>
              </w:rPr>
              <w:t>(K/P) Scattered housing</w:t>
            </w:r>
          </w:p>
        </w:tc>
        <w:tc>
          <w:tcPr>
            <w:tcW w:w="1555"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38</w:t>
            </w:r>
          </w:p>
        </w:tc>
        <w:tc>
          <w:tcPr>
            <w:tcW w:w="1505"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14</w:t>
            </w:r>
          </w:p>
        </w:tc>
        <w:tc>
          <w:tcPr>
            <w:tcW w:w="1621"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w:t>
            </w:r>
          </w:p>
        </w:tc>
        <w:tc>
          <w:tcPr>
            <w:tcW w:w="748"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-3.987</w:t>
            </w:r>
          </w:p>
        </w:tc>
        <w:tc>
          <w:tcPr>
            <w:tcW w:w="6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0.000</w:t>
            </w:r>
          </w:p>
        </w:tc>
        <w:tc>
          <w:tcPr>
            <w:tcW w:w="874"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-0.50</w:t>
            </w:r>
          </w:p>
        </w:tc>
      </w:tr>
      <w:tr w:rsidR="00422192" w:rsidRPr="00A07789" w:rsidTr="00713504">
        <w:tc>
          <w:tcPr>
            <w:tcW w:w="2352" w:type="dxa"/>
            <w:shd w:val="clear" w:color="auto" w:fill="auto"/>
            <w:vAlign w:val="center"/>
          </w:tcPr>
          <w:p w:rsidR="00422192" w:rsidRPr="00A07789" w:rsidRDefault="00422192" w:rsidP="00713504">
            <w:pPr>
              <w:rPr>
                <w:rFonts w:ascii="Times New Roman" w:eastAsia="Times New Roman" w:hAnsi="Times New Roman" w:cs="Times New Roman"/>
                <w:i/>
                <w:color w:val="000000"/>
                <w:sz w:val="18"/>
                <w:szCs w:val="18"/>
              </w:rPr>
            </w:pPr>
            <w:r w:rsidRPr="00A07789">
              <w:rPr>
                <w:rFonts w:ascii="Times New Roman" w:eastAsia="Times New Roman" w:hAnsi="Times New Roman" w:cs="Times New Roman"/>
                <w:i/>
                <w:color w:val="000000"/>
                <w:sz w:val="18"/>
                <w:szCs w:val="18"/>
              </w:rPr>
              <w:t>(L/Q) Sparsely built villages/suburb</w:t>
            </w:r>
          </w:p>
        </w:tc>
        <w:tc>
          <w:tcPr>
            <w:tcW w:w="1555"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25</w:t>
            </w:r>
          </w:p>
        </w:tc>
        <w:tc>
          <w:tcPr>
            <w:tcW w:w="1505"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19</w:t>
            </w:r>
          </w:p>
        </w:tc>
        <w:tc>
          <w:tcPr>
            <w:tcW w:w="1621"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19</w:t>
            </w:r>
          </w:p>
        </w:tc>
        <w:tc>
          <w:tcPr>
            <w:tcW w:w="748"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-0.042</w:t>
            </w:r>
          </w:p>
        </w:tc>
        <w:tc>
          <w:tcPr>
            <w:tcW w:w="6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0.967</w:t>
            </w:r>
          </w:p>
        </w:tc>
        <w:tc>
          <w:tcPr>
            <w:tcW w:w="874"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-0.01</w:t>
            </w:r>
          </w:p>
        </w:tc>
      </w:tr>
      <w:tr w:rsidR="00422192" w:rsidRPr="00A07789" w:rsidTr="00713504">
        <w:tc>
          <w:tcPr>
            <w:tcW w:w="2352" w:type="dxa"/>
            <w:shd w:val="clear" w:color="auto" w:fill="auto"/>
            <w:vAlign w:val="center"/>
          </w:tcPr>
          <w:p w:rsidR="00422192" w:rsidRPr="00A07789" w:rsidRDefault="00422192" w:rsidP="00713504">
            <w:pPr>
              <w:rPr>
                <w:rFonts w:ascii="Times New Roman" w:eastAsia="Times New Roman" w:hAnsi="Times New Roman" w:cs="Times New Roman"/>
                <w:i/>
                <w:color w:val="000000"/>
                <w:sz w:val="18"/>
                <w:szCs w:val="18"/>
              </w:rPr>
            </w:pPr>
            <w:r w:rsidRPr="00A07789">
              <w:rPr>
                <w:rFonts w:ascii="Times New Roman" w:eastAsia="Times New Roman" w:hAnsi="Times New Roman" w:cs="Times New Roman"/>
                <w:i/>
                <w:color w:val="000000"/>
                <w:sz w:val="18"/>
                <w:szCs w:val="18"/>
              </w:rPr>
              <w:t>(M/R) Densely built villages/ city</w:t>
            </w:r>
          </w:p>
        </w:tc>
        <w:tc>
          <w:tcPr>
            <w:tcW w:w="1555"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5</w:t>
            </w:r>
          </w:p>
        </w:tc>
        <w:tc>
          <w:tcPr>
            <w:tcW w:w="1505"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37</w:t>
            </w:r>
          </w:p>
        </w:tc>
        <w:tc>
          <w:tcPr>
            <w:tcW w:w="1621"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21</w:t>
            </w:r>
          </w:p>
        </w:tc>
        <w:tc>
          <w:tcPr>
            <w:tcW w:w="748"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-5.015</w:t>
            </w:r>
          </w:p>
        </w:tc>
        <w:tc>
          <w:tcPr>
            <w:tcW w:w="667"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0.000</w:t>
            </w:r>
          </w:p>
        </w:tc>
        <w:tc>
          <w:tcPr>
            <w:tcW w:w="874" w:type="dxa"/>
            <w:shd w:val="clear" w:color="auto" w:fill="auto"/>
            <w:vAlign w:val="center"/>
          </w:tcPr>
          <w:p w:rsidR="00422192" w:rsidRPr="00A07789" w:rsidRDefault="00422192" w:rsidP="00713504">
            <w:pPr>
              <w:jc w:val="center"/>
              <w:rPr>
                <w:rFonts w:ascii="Times New Roman" w:hAnsi="Times New Roman" w:cs="Times New Roman"/>
                <w:sz w:val="18"/>
                <w:szCs w:val="18"/>
              </w:rPr>
            </w:pPr>
            <w:r w:rsidRPr="00A07789">
              <w:rPr>
                <w:rFonts w:ascii="Times New Roman" w:hAnsi="Times New Roman" w:cs="Times New Roman"/>
                <w:sz w:val="18"/>
                <w:szCs w:val="18"/>
              </w:rPr>
              <w:t>-0.63</w:t>
            </w:r>
          </w:p>
        </w:tc>
      </w:tr>
    </w:tbl>
    <w:p w:rsidR="00422192" w:rsidRPr="00A07789" w:rsidRDefault="00422192" w:rsidP="00422192">
      <w:pPr>
        <w:spacing w:after="0"/>
        <w:rPr>
          <w:rFonts w:ascii="Times New Roman" w:hAnsi="Times New Roman" w:cs="Times New Roman"/>
          <w:sz w:val="18"/>
        </w:rPr>
      </w:pPr>
      <w:r w:rsidRPr="00A07789">
        <w:rPr>
          <w:rFonts w:ascii="Times New Roman" w:hAnsi="Times New Roman" w:cs="Times New Roman"/>
          <w:sz w:val="18"/>
        </w:rPr>
        <w:t>*</w:t>
      </w:r>
      <w:r w:rsidRPr="00633138">
        <w:rPr>
          <w:rFonts w:ascii="Times New Roman" w:hAnsi="Times New Roman" w:cs="Times New Roman"/>
          <w:i/>
          <w:sz w:val="18"/>
        </w:rPr>
        <w:t>p</w:t>
      </w:r>
      <w:r w:rsidRPr="00A07789">
        <w:rPr>
          <w:rFonts w:ascii="Times New Roman" w:hAnsi="Times New Roman" w:cs="Times New Roman"/>
          <w:sz w:val="18"/>
        </w:rPr>
        <w:t xml:space="preserve"> (Asymp. Sig. (2-tailed)) &lt; 0.05 signifies the same system was ranked significantly differently in the two sets</w:t>
      </w:r>
    </w:p>
    <w:p w:rsidR="00422192" w:rsidRPr="00A07789" w:rsidRDefault="00422192" w:rsidP="00422192">
      <w:pPr>
        <w:spacing w:after="0"/>
        <w:rPr>
          <w:rFonts w:ascii="Times New Roman" w:hAnsi="Times New Roman" w:cs="Times New Roman"/>
          <w:sz w:val="18"/>
        </w:rPr>
      </w:pPr>
      <w:r w:rsidRPr="00A07789">
        <w:rPr>
          <w:rFonts w:ascii="Times New Roman" w:hAnsi="Times New Roman" w:cs="Times New Roman"/>
          <w:sz w:val="18"/>
        </w:rPr>
        <w:t xml:space="preserve">** </w:t>
      </w:r>
      <w:r w:rsidRPr="00633138">
        <w:rPr>
          <w:rFonts w:ascii="Times New Roman" w:hAnsi="Times New Roman" w:cs="Times New Roman"/>
          <w:i/>
          <w:sz w:val="18"/>
        </w:rPr>
        <w:t>r</w:t>
      </w:r>
      <w:r w:rsidRPr="00A07789">
        <w:rPr>
          <w:rFonts w:ascii="Times New Roman" w:hAnsi="Times New Roman" w:cs="Times New Roman"/>
          <w:sz w:val="18"/>
        </w:rPr>
        <w:t xml:space="preserve"> &gt;/= to 0.5 signifies a large change between the two rankings of the same system; an </w:t>
      </w:r>
      <w:r w:rsidRPr="00633138">
        <w:rPr>
          <w:rFonts w:ascii="Times New Roman" w:hAnsi="Times New Roman" w:cs="Times New Roman"/>
          <w:i/>
          <w:sz w:val="18"/>
        </w:rPr>
        <w:t>r</w:t>
      </w:r>
      <w:r w:rsidRPr="00A07789">
        <w:rPr>
          <w:rFonts w:ascii="Times New Roman" w:hAnsi="Times New Roman" w:cs="Times New Roman"/>
          <w:sz w:val="18"/>
        </w:rPr>
        <w:t xml:space="preserve">-value closer to 0.3 signifies a medium change and a value &lt; 0.3 a small change. </w:t>
      </w:r>
    </w:p>
    <w:p w:rsidR="00422192" w:rsidRPr="00CA1A9A" w:rsidRDefault="00422192" w:rsidP="00422192">
      <w:pPr>
        <w:spacing w:line="360" w:lineRule="auto"/>
        <w:jc w:val="both"/>
        <w:rPr>
          <w:rFonts w:ascii="Times New Roman" w:hAnsi="Times New Roman" w:cs="Times New Roman"/>
          <w:sz w:val="24"/>
        </w:rPr>
      </w:pPr>
    </w:p>
    <w:p w:rsidR="00422192" w:rsidRPr="00466CA3" w:rsidRDefault="00581559" w:rsidP="00422192">
      <w:pPr>
        <w:spacing w:after="0" w:line="360" w:lineRule="auto"/>
        <w:rPr>
          <w:rFonts w:ascii="Times New Roman" w:hAnsi="Times New Roman" w:cs="Times New Roman"/>
          <w:sz w:val="28"/>
        </w:rPr>
      </w:pPr>
      <w:r>
        <w:rPr>
          <w:rFonts w:ascii="Times New Roman" w:hAnsi="Times New Roman" w:cs="Times New Roman"/>
          <w:i/>
          <w:sz w:val="24"/>
          <w:szCs w:val="20"/>
        </w:rPr>
        <w:lastRenderedPageBreak/>
        <w:t>Frequency of</w:t>
      </w:r>
      <w:r w:rsidR="00EC4FBA">
        <w:rPr>
          <w:rFonts w:ascii="Times New Roman" w:hAnsi="Times New Roman" w:cs="Times New Roman"/>
          <w:i/>
          <w:sz w:val="24"/>
          <w:szCs w:val="20"/>
        </w:rPr>
        <w:t xml:space="preserve"> preference order scores (landscape preference survey)</w:t>
      </w:r>
      <w:r>
        <w:rPr>
          <w:rFonts w:ascii="Times New Roman" w:hAnsi="Times New Roman" w:cs="Times New Roman"/>
          <w:i/>
          <w:sz w:val="24"/>
          <w:szCs w:val="20"/>
        </w:rPr>
        <w:t>:</w:t>
      </w:r>
    </w:p>
    <w:p w:rsidR="00422192" w:rsidRDefault="00422192" w:rsidP="00422192">
      <w:pPr>
        <w:rPr>
          <w:rFonts w:ascii="Times New Roman" w:hAnsi="Times New Roman" w:cs="Times New Roman"/>
          <w:b/>
          <w:sz w:val="18"/>
        </w:rPr>
      </w:pPr>
      <w:r>
        <w:rPr>
          <w:noProof/>
        </w:rPr>
        <w:drawing>
          <wp:anchor distT="0" distB="0" distL="114300" distR="114300" simplePos="0" relativeHeight="251660288" behindDoc="1" locked="0" layoutInCell="1" allowOverlap="1" wp14:anchorId="2AFDCFD1" wp14:editId="661A40CB">
            <wp:simplePos x="0" y="0"/>
            <wp:positionH relativeFrom="column">
              <wp:posOffset>-177165</wp:posOffset>
            </wp:positionH>
            <wp:positionV relativeFrom="paragraph">
              <wp:posOffset>234950</wp:posOffset>
            </wp:positionV>
            <wp:extent cx="6591300" cy="2800350"/>
            <wp:effectExtent l="0" t="0" r="0" b="0"/>
            <wp:wrapTight wrapText="bothSides">
              <wp:wrapPolygon edited="0">
                <wp:start x="499" y="735"/>
                <wp:lineTo x="499" y="3380"/>
                <wp:lineTo x="0" y="5731"/>
                <wp:lineTo x="62" y="11020"/>
                <wp:lineTo x="437" y="12784"/>
                <wp:lineTo x="687" y="15135"/>
                <wp:lineTo x="687" y="16016"/>
                <wp:lineTo x="5057" y="17486"/>
                <wp:lineTo x="7429" y="17486"/>
                <wp:lineTo x="6555" y="18514"/>
                <wp:lineTo x="6555" y="18955"/>
                <wp:lineTo x="7679" y="19837"/>
                <wp:lineTo x="7679" y="20424"/>
                <wp:lineTo x="9239" y="20718"/>
                <wp:lineTo x="14109" y="20718"/>
                <wp:lineTo x="14296" y="19984"/>
                <wp:lineTo x="16044" y="19102"/>
                <wp:lineTo x="15669" y="17486"/>
                <wp:lineTo x="21163" y="16604"/>
                <wp:lineTo x="21038" y="15722"/>
                <wp:lineTo x="1124" y="15135"/>
                <wp:lineTo x="1124" y="735"/>
                <wp:lineTo x="499" y="735"/>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422192" w:rsidRDefault="00422192" w:rsidP="00422192">
      <w:pPr>
        <w:rPr>
          <w:rFonts w:ascii="Times New Roman" w:hAnsi="Times New Roman" w:cs="Times New Roman"/>
          <w:b/>
          <w:sz w:val="18"/>
        </w:rPr>
      </w:pPr>
    </w:p>
    <w:p w:rsidR="00422192" w:rsidRDefault="00422192" w:rsidP="00422192">
      <w:pPr>
        <w:rPr>
          <w:rFonts w:ascii="Times New Roman" w:hAnsi="Times New Roman" w:cs="Times New Roman"/>
          <w:b/>
          <w:sz w:val="18"/>
        </w:rPr>
      </w:pPr>
    </w:p>
    <w:p w:rsidR="00422192" w:rsidRDefault="00422192" w:rsidP="00422192">
      <w:pPr>
        <w:rPr>
          <w:rFonts w:ascii="Times New Roman" w:hAnsi="Times New Roman" w:cs="Times New Roman"/>
          <w:b/>
          <w:sz w:val="18"/>
        </w:rPr>
      </w:pPr>
    </w:p>
    <w:p w:rsidR="00422192" w:rsidRDefault="00422192" w:rsidP="00422192">
      <w:pPr>
        <w:rPr>
          <w:rFonts w:ascii="Times New Roman" w:hAnsi="Times New Roman" w:cs="Times New Roman"/>
          <w:b/>
          <w:sz w:val="18"/>
        </w:rPr>
      </w:pPr>
    </w:p>
    <w:p w:rsidR="00422192" w:rsidRDefault="00422192" w:rsidP="00422192">
      <w:pPr>
        <w:jc w:val="both"/>
        <w:rPr>
          <w:rFonts w:ascii="Times New Roman" w:hAnsi="Times New Roman" w:cs="Times New Roman"/>
          <w:b/>
          <w:sz w:val="24"/>
        </w:rPr>
      </w:pPr>
    </w:p>
    <w:p w:rsidR="00422192" w:rsidRDefault="00422192" w:rsidP="00422192">
      <w:pPr>
        <w:jc w:val="both"/>
        <w:rPr>
          <w:rFonts w:ascii="Times New Roman" w:hAnsi="Times New Roman" w:cs="Times New Roman"/>
          <w:b/>
          <w:sz w:val="24"/>
        </w:rPr>
      </w:pPr>
    </w:p>
    <w:p w:rsidR="00422192" w:rsidRDefault="00422192" w:rsidP="00422192">
      <w:pPr>
        <w:jc w:val="both"/>
        <w:rPr>
          <w:rFonts w:ascii="Times New Roman" w:hAnsi="Times New Roman" w:cs="Times New Roman"/>
          <w:b/>
          <w:sz w:val="24"/>
        </w:rPr>
      </w:pPr>
    </w:p>
    <w:p w:rsidR="00422192" w:rsidRDefault="00422192" w:rsidP="00422192">
      <w:pPr>
        <w:jc w:val="both"/>
        <w:rPr>
          <w:rFonts w:ascii="Times New Roman" w:hAnsi="Times New Roman" w:cs="Times New Roman"/>
          <w:b/>
          <w:sz w:val="24"/>
        </w:rPr>
      </w:pPr>
    </w:p>
    <w:p w:rsidR="00422192" w:rsidRDefault="00422192" w:rsidP="00422192">
      <w:pPr>
        <w:jc w:val="both"/>
        <w:rPr>
          <w:rFonts w:ascii="Times New Roman" w:hAnsi="Times New Roman" w:cs="Times New Roman"/>
          <w:b/>
          <w:sz w:val="24"/>
        </w:rPr>
      </w:pPr>
    </w:p>
    <w:p w:rsidR="00422192" w:rsidRDefault="00422192" w:rsidP="00422192">
      <w:pPr>
        <w:jc w:val="both"/>
        <w:rPr>
          <w:rFonts w:ascii="Times New Roman" w:hAnsi="Times New Roman" w:cs="Times New Roman"/>
          <w:sz w:val="24"/>
        </w:rPr>
      </w:pPr>
      <w:r w:rsidRPr="00A17A3F">
        <w:rPr>
          <w:rFonts w:ascii="Times New Roman" w:hAnsi="Times New Roman" w:cs="Times New Roman"/>
          <w:b/>
          <w:sz w:val="24"/>
        </w:rPr>
        <w:t xml:space="preserve">Figure </w:t>
      </w:r>
      <w:r w:rsidR="00713504">
        <w:rPr>
          <w:rFonts w:ascii="Times New Roman" w:hAnsi="Times New Roman" w:cs="Times New Roman"/>
          <w:b/>
          <w:sz w:val="24"/>
        </w:rPr>
        <w:t>2</w:t>
      </w:r>
      <w:r w:rsidRPr="00A17A3F">
        <w:rPr>
          <w:rFonts w:ascii="Times New Roman" w:hAnsi="Times New Roman" w:cs="Times New Roman"/>
          <w:sz w:val="24"/>
        </w:rPr>
        <w:t xml:space="preserve"> Frequency (%) of classified ranked sequence scores for abandonment sets 1 and 2; scores were derived for each respondent based on the order in which they ranked landscapes, assessing whether this followed the abandonment gradient illustrated</w:t>
      </w:r>
      <w:r>
        <w:rPr>
          <w:rFonts w:ascii="Times New Roman" w:hAnsi="Times New Roman" w:cs="Times New Roman"/>
          <w:sz w:val="24"/>
        </w:rPr>
        <w:t xml:space="preserve"> (see Online R</w:t>
      </w:r>
      <w:r w:rsidR="002B25B9">
        <w:rPr>
          <w:rFonts w:ascii="Times New Roman" w:hAnsi="Times New Roman" w:cs="Times New Roman"/>
          <w:sz w:val="24"/>
        </w:rPr>
        <w:t xml:space="preserve">esource </w:t>
      </w:r>
      <w:r w:rsidR="00A35299">
        <w:rPr>
          <w:rFonts w:ascii="Times New Roman" w:hAnsi="Times New Roman" w:cs="Times New Roman"/>
          <w:sz w:val="24"/>
        </w:rPr>
        <w:t>C</w:t>
      </w:r>
      <w:r>
        <w:rPr>
          <w:rFonts w:ascii="Times New Roman" w:hAnsi="Times New Roman" w:cs="Times New Roman"/>
          <w:sz w:val="24"/>
        </w:rPr>
        <w:t xml:space="preserve"> for details on calculation of ranked sequence/order preference scores)</w:t>
      </w:r>
    </w:p>
    <w:p w:rsidR="00FE276F" w:rsidRDefault="00FE276F">
      <w:pPr>
        <w:spacing w:after="160" w:line="259" w:lineRule="auto"/>
        <w:rPr>
          <w:rFonts w:ascii="Times New Roman" w:eastAsiaTheme="minorEastAsia" w:hAnsi="Times New Roman" w:cs="Times New Roman"/>
          <w:b/>
        </w:rPr>
      </w:pPr>
      <w:r>
        <w:rPr>
          <w:rFonts w:ascii="Times New Roman" w:eastAsiaTheme="minorEastAsia" w:hAnsi="Times New Roman" w:cs="Times New Roman"/>
          <w:b/>
        </w:rPr>
        <w:br w:type="page"/>
      </w:r>
    </w:p>
    <w:p w:rsidR="00422192" w:rsidRDefault="00FE276F" w:rsidP="00422192">
      <w:pPr>
        <w:rPr>
          <w:rFonts w:ascii="Times New Roman" w:eastAsiaTheme="minorEastAsia" w:hAnsi="Times New Roman" w:cs="Times New Roman"/>
          <w:b/>
        </w:rPr>
      </w:pPr>
      <w:r>
        <w:rPr>
          <w:rFonts w:ascii="Times New Roman" w:eastAsiaTheme="minorEastAsia" w:hAnsi="Times New Roman" w:cs="Times New Roman"/>
          <w:b/>
        </w:rPr>
        <w:lastRenderedPageBreak/>
        <w:t>Reference list to Online Resources</w:t>
      </w:r>
      <w:r w:rsidR="003362E6">
        <w:rPr>
          <w:rFonts w:ascii="Times New Roman" w:eastAsiaTheme="minorEastAsia" w:hAnsi="Times New Roman" w:cs="Times New Roman"/>
          <w:b/>
        </w:rPr>
        <w:t xml:space="preserve"> </w:t>
      </w:r>
      <w:r w:rsidR="00A35299">
        <w:rPr>
          <w:rFonts w:ascii="Times New Roman" w:eastAsiaTheme="minorEastAsia" w:hAnsi="Times New Roman" w:cs="Times New Roman"/>
          <w:b/>
        </w:rPr>
        <w:t>1</w:t>
      </w:r>
    </w:p>
    <w:p w:rsidR="0077756E" w:rsidRPr="0077756E" w:rsidRDefault="0077756E" w:rsidP="0077756E">
      <w:pPr>
        <w:widowControl w:val="0"/>
        <w:autoSpaceDE w:val="0"/>
        <w:autoSpaceDN w:val="0"/>
        <w:adjustRightInd w:val="0"/>
        <w:spacing w:line="240" w:lineRule="auto"/>
        <w:ind w:left="480" w:hanging="480"/>
        <w:rPr>
          <w:rFonts w:ascii="Times New Roman" w:hAnsi="Times New Roman" w:cs="Times New Roman"/>
          <w:noProof/>
          <w:szCs w:val="24"/>
        </w:rPr>
      </w:pPr>
      <w:r>
        <w:rPr>
          <w:rFonts w:ascii="Times New Roman" w:eastAsiaTheme="minorEastAsia" w:hAnsi="Times New Roman" w:cs="Times New Roman"/>
          <w:b/>
        </w:rPr>
        <w:fldChar w:fldCharType="begin" w:fldLock="1"/>
      </w:r>
      <w:r>
        <w:rPr>
          <w:rFonts w:ascii="Times New Roman" w:eastAsiaTheme="minorEastAsia" w:hAnsi="Times New Roman" w:cs="Times New Roman"/>
          <w:b/>
        </w:rPr>
        <w:instrText xml:space="preserve">ADDIN Mendeley Bibliography CSL_BIBLIOGRAPHY </w:instrText>
      </w:r>
      <w:r>
        <w:rPr>
          <w:rFonts w:ascii="Times New Roman" w:eastAsiaTheme="minorEastAsia" w:hAnsi="Times New Roman" w:cs="Times New Roman"/>
          <w:b/>
        </w:rPr>
        <w:fldChar w:fldCharType="separate"/>
      </w:r>
      <w:r w:rsidRPr="0077756E">
        <w:rPr>
          <w:rFonts w:ascii="Times New Roman" w:hAnsi="Times New Roman" w:cs="Times New Roman"/>
          <w:noProof/>
          <w:szCs w:val="24"/>
        </w:rPr>
        <w:t xml:space="preserve">Beaufoy, G. (2001). The Environmental Impact of Olive oil Production in the European Union: Practical Options for Improving the Environmental Impact, </w:t>
      </w:r>
      <w:r w:rsidRPr="0077756E">
        <w:rPr>
          <w:rFonts w:ascii="Times New Roman" w:hAnsi="Times New Roman" w:cs="Times New Roman"/>
          <w:i/>
          <w:iCs/>
          <w:noProof/>
          <w:szCs w:val="24"/>
        </w:rPr>
        <w:t>5210</w:t>
      </w:r>
      <w:r w:rsidRPr="0077756E">
        <w:rPr>
          <w:rFonts w:ascii="Times New Roman" w:hAnsi="Times New Roman" w:cs="Times New Roman"/>
          <w:noProof/>
          <w:szCs w:val="24"/>
        </w:rPr>
        <w:t>, 0–73. Retrieved from http://ec.europa.eu/environment/agriculture/pdf/oliveoil.pdf</w:t>
      </w:r>
    </w:p>
    <w:p w:rsidR="0077756E" w:rsidRPr="0077756E" w:rsidRDefault="0077756E" w:rsidP="0077756E">
      <w:pPr>
        <w:widowControl w:val="0"/>
        <w:autoSpaceDE w:val="0"/>
        <w:autoSpaceDN w:val="0"/>
        <w:adjustRightInd w:val="0"/>
        <w:spacing w:line="240" w:lineRule="auto"/>
        <w:ind w:left="480" w:hanging="480"/>
        <w:rPr>
          <w:rFonts w:ascii="Times New Roman" w:hAnsi="Times New Roman" w:cs="Times New Roman"/>
          <w:noProof/>
          <w:szCs w:val="24"/>
        </w:rPr>
      </w:pPr>
      <w:r w:rsidRPr="0077756E">
        <w:rPr>
          <w:rFonts w:ascii="Times New Roman" w:hAnsi="Times New Roman" w:cs="Times New Roman"/>
          <w:noProof/>
          <w:szCs w:val="24"/>
        </w:rPr>
        <w:t xml:space="preserve">Bieling, C., &amp; Bürgi, M. (2014). </w:t>
      </w:r>
      <w:r w:rsidRPr="0077756E">
        <w:rPr>
          <w:rFonts w:ascii="Times New Roman" w:hAnsi="Times New Roman" w:cs="Times New Roman"/>
          <w:i/>
          <w:iCs/>
          <w:noProof/>
          <w:szCs w:val="24"/>
        </w:rPr>
        <w:t>D3.1 List and documentation of case study landscapes selected for HERCULES</w:t>
      </w:r>
      <w:r w:rsidRPr="0077756E">
        <w:rPr>
          <w:rFonts w:ascii="Times New Roman" w:hAnsi="Times New Roman" w:cs="Times New Roman"/>
          <w:noProof/>
          <w:szCs w:val="24"/>
        </w:rPr>
        <w:t>. Retrieved from http://www.hercules-landscapes.eu/tartalom/HERCULES_WP3_D3_1_ALUFR_final.pdf</w:t>
      </w:r>
    </w:p>
    <w:p w:rsidR="0077756E" w:rsidRPr="0077756E" w:rsidRDefault="0077756E" w:rsidP="0077756E">
      <w:pPr>
        <w:widowControl w:val="0"/>
        <w:autoSpaceDE w:val="0"/>
        <w:autoSpaceDN w:val="0"/>
        <w:adjustRightInd w:val="0"/>
        <w:spacing w:line="240" w:lineRule="auto"/>
        <w:ind w:left="480" w:hanging="480"/>
        <w:rPr>
          <w:rFonts w:ascii="Times New Roman" w:hAnsi="Times New Roman" w:cs="Times New Roman"/>
          <w:noProof/>
          <w:szCs w:val="24"/>
        </w:rPr>
      </w:pPr>
      <w:r w:rsidRPr="0077756E">
        <w:rPr>
          <w:rFonts w:ascii="Times New Roman" w:hAnsi="Times New Roman" w:cs="Times New Roman"/>
          <w:noProof/>
          <w:szCs w:val="24"/>
        </w:rPr>
        <w:t>ELSTAT. (2011). Hellenic Statistical Authority. Retrieved from www.statistics.gr</w:t>
      </w:r>
    </w:p>
    <w:p w:rsidR="0077756E" w:rsidRPr="0077756E" w:rsidRDefault="0077756E" w:rsidP="0077756E">
      <w:pPr>
        <w:widowControl w:val="0"/>
        <w:autoSpaceDE w:val="0"/>
        <w:autoSpaceDN w:val="0"/>
        <w:adjustRightInd w:val="0"/>
        <w:spacing w:line="240" w:lineRule="auto"/>
        <w:ind w:left="480" w:hanging="480"/>
        <w:rPr>
          <w:rFonts w:ascii="Times New Roman" w:hAnsi="Times New Roman" w:cs="Times New Roman"/>
          <w:noProof/>
          <w:szCs w:val="24"/>
        </w:rPr>
      </w:pPr>
      <w:r w:rsidRPr="0077756E">
        <w:rPr>
          <w:rFonts w:ascii="Times New Roman" w:hAnsi="Times New Roman" w:cs="Times New Roman"/>
          <w:noProof/>
          <w:szCs w:val="24"/>
        </w:rPr>
        <w:t xml:space="preserve">Fleskens, L. (2008). A typology of sloping and mountainous olive plantation systems to address natural resources management. </w:t>
      </w:r>
      <w:r w:rsidRPr="0077756E">
        <w:rPr>
          <w:rFonts w:ascii="Times New Roman" w:hAnsi="Times New Roman" w:cs="Times New Roman"/>
          <w:i/>
          <w:iCs/>
          <w:noProof/>
          <w:szCs w:val="24"/>
        </w:rPr>
        <w:t>Annals of Applied Biology</w:t>
      </w:r>
      <w:r w:rsidRPr="0077756E">
        <w:rPr>
          <w:rFonts w:ascii="Times New Roman" w:hAnsi="Times New Roman" w:cs="Times New Roman"/>
          <w:noProof/>
          <w:szCs w:val="24"/>
        </w:rPr>
        <w:t xml:space="preserve">, </w:t>
      </w:r>
      <w:r w:rsidRPr="0077756E">
        <w:rPr>
          <w:rFonts w:ascii="Times New Roman" w:hAnsi="Times New Roman" w:cs="Times New Roman"/>
          <w:i/>
          <w:iCs/>
          <w:noProof/>
          <w:szCs w:val="24"/>
        </w:rPr>
        <w:t>153</w:t>
      </w:r>
      <w:r w:rsidRPr="0077756E">
        <w:rPr>
          <w:rFonts w:ascii="Times New Roman" w:hAnsi="Times New Roman" w:cs="Times New Roman"/>
          <w:noProof/>
          <w:szCs w:val="24"/>
        </w:rPr>
        <w:t>(3), 283–297. https://doi.org/10.1111/j.1744-7348.2008.00260.x</w:t>
      </w:r>
    </w:p>
    <w:p w:rsidR="0077756E" w:rsidRPr="0077756E" w:rsidRDefault="0077756E" w:rsidP="0077756E">
      <w:pPr>
        <w:widowControl w:val="0"/>
        <w:autoSpaceDE w:val="0"/>
        <w:autoSpaceDN w:val="0"/>
        <w:adjustRightInd w:val="0"/>
        <w:spacing w:line="240" w:lineRule="auto"/>
        <w:ind w:left="480" w:hanging="480"/>
        <w:rPr>
          <w:rFonts w:ascii="Times New Roman" w:hAnsi="Times New Roman" w:cs="Times New Roman"/>
          <w:noProof/>
          <w:szCs w:val="24"/>
        </w:rPr>
      </w:pPr>
      <w:r w:rsidRPr="0077756E">
        <w:rPr>
          <w:rFonts w:ascii="Times New Roman" w:hAnsi="Times New Roman" w:cs="Times New Roman"/>
          <w:noProof/>
          <w:szCs w:val="24"/>
        </w:rPr>
        <w:t xml:space="preserve">Giourga, C., Loumou, A., Tsevreni, I., &amp; Vergou, A. (2008). Assessing the sustainability factors of traditional olive groves on Lesvos Island, Greece (Sustainability and traditional cultivation). </w:t>
      </w:r>
      <w:r w:rsidRPr="0077756E">
        <w:rPr>
          <w:rFonts w:ascii="Times New Roman" w:hAnsi="Times New Roman" w:cs="Times New Roman"/>
          <w:i/>
          <w:iCs/>
          <w:noProof/>
          <w:szCs w:val="24"/>
        </w:rPr>
        <w:t>GeoJournal</w:t>
      </w:r>
      <w:r w:rsidRPr="0077756E">
        <w:rPr>
          <w:rFonts w:ascii="Times New Roman" w:hAnsi="Times New Roman" w:cs="Times New Roman"/>
          <w:noProof/>
          <w:szCs w:val="24"/>
        </w:rPr>
        <w:t xml:space="preserve">, </w:t>
      </w:r>
      <w:r w:rsidRPr="0077756E">
        <w:rPr>
          <w:rFonts w:ascii="Times New Roman" w:hAnsi="Times New Roman" w:cs="Times New Roman"/>
          <w:i/>
          <w:iCs/>
          <w:noProof/>
          <w:szCs w:val="24"/>
        </w:rPr>
        <w:t>73</w:t>
      </w:r>
      <w:r w:rsidRPr="0077756E">
        <w:rPr>
          <w:rFonts w:ascii="Times New Roman" w:hAnsi="Times New Roman" w:cs="Times New Roman"/>
          <w:noProof/>
          <w:szCs w:val="24"/>
        </w:rPr>
        <w:t>(2), 149–159. https://doi.org/10.1007/s10708-008-9195-z</w:t>
      </w:r>
    </w:p>
    <w:p w:rsidR="0077756E" w:rsidRPr="0077756E" w:rsidRDefault="0077756E" w:rsidP="0077756E">
      <w:pPr>
        <w:widowControl w:val="0"/>
        <w:autoSpaceDE w:val="0"/>
        <w:autoSpaceDN w:val="0"/>
        <w:adjustRightInd w:val="0"/>
        <w:spacing w:line="240" w:lineRule="auto"/>
        <w:ind w:left="480" w:hanging="480"/>
        <w:rPr>
          <w:rFonts w:ascii="Times New Roman" w:hAnsi="Times New Roman" w:cs="Times New Roman"/>
          <w:noProof/>
          <w:szCs w:val="24"/>
        </w:rPr>
      </w:pPr>
      <w:r w:rsidRPr="0077756E">
        <w:rPr>
          <w:rFonts w:ascii="Times New Roman" w:hAnsi="Times New Roman" w:cs="Times New Roman"/>
          <w:noProof/>
          <w:szCs w:val="24"/>
        </w:rPr>
        <w:t xml:space="preserve">Kizos, T., Dalaka, A., &amp; Petanidou, T. (2010). Farmers’ attitudes and landscape change: evidence from the abandonment of terraced cultivations on Lesvos, Greece. </w:t>
      </w:r>
      <w:r w:rsidRPr="0077756E">
        <w:rPr>
          <w:rFonts w:ascii="Times New Roman" w:hAnsi="Times New Roman" w:cs="Times New Roman"/>
          <w:i/>
          <w:iCs/>
          <w:noProof/>
          <w:szCs w:val="24"/>
        </w:rPr>
        <w:t>Agriculture and Human Values</w:t>
      </w:r>
      <w:r w:rsidRPr="0077756E">
        <w:rPr>
          <w:rFonts w:ascii="Times New Roman" w:hAnsi="Times New Roman" w:cs="Times New Roman"/>
          <w:noProof/>
          <w:szCs w:val="24"/>
        </w:rPr>
        <w:t xml:space="preserve">, </w:t>
      </w:r>
      <w:r w:rsidRPr="0077756E">
        <w:rPr>
          <w:rFonts w:ascii="Times New Roman" w:hAnsi="Times New Roman" w:cs="Times New Roman"/>
          <w:i/>
          <w:iCs/>
          <w:noProof/>
          <w:szCs w:val="24"/>
        </w:rPr>
        <w:t>27</w:t>
      </w:r>
      <w:r w:rsidRPr="0077756E">
        <w:rPr>
          <w:rFonts w:ascii="Times New Roman" w:hAnsi="Times New Roman" w:cs="Times New Roman"/>
          <w:noProof/>
          <w:szCs w:val="24"/>
        </w:rPr>
        <w:t>(2), 199–212. https://doi.org/10.1007/s10460-009-9206-9</w:t>
      </w:r>
    </w:p>
    <w:p w:rsidR="0077756E" w:rsidRPr="0077756E" w:rsidRDefault="0077756E" w:rsidP="0077756E">
      <w:pPr>
        <w:widowControl w:val="0"/>
        <w:autoSpaceDE w:val="0"/>
        <w:autoSpaceDN w:val="0"/>
        <w:adjustRightInd w:val="0"/>
        <w:spacing w:line="240" w:lineRule="auto"/>
        <w:ind w:left="480" w:hanging="480"/>
        <w:rPr>
          <w:rFonts w:ascii="Times New Roman" w:hAnsi="Times New Roman" w:cs="Times New Roman"/>
          <w:noProof/>
          <w:szCs w:val="24"/>
        </w:rPr>
      </w:pPr>
      <w:r w:rsidRPr="0077756E">
        <w:rPr>
          <w:rFonts w:ascii="Times New Roman" w:hAnsi="Times New Roman" w:cs="Times New Roman"/>
          <w:noProof/>
          <w:szCs w:val="24"/>
        </w:rPr>
        <w:t xml:space="preserve">Kizos, T., &amp; Koulouri, M. (2010). Same Land Cover, Same Land Use at the Large Scale, Different Landscapes at the Small Scale: Landscape Change in Olive Plantations on Lesvos Island, Greece. </w:t>
      </w:r>
      <w:r w:rsidRPr="0077756E">
        <w:rPr>
          <w:rFonts w:ascii="Times New Roman" w:hAnsi="Times New Roman" w:cs="Times New Roman"/>
          <w:i/>
          <w:iCs/>
          <w:noProof/>
          <w:szCs w:val="24"/>
        </w:rPr>
        <w:t>Landscape Research</w:t>
      </w:r>
      <w:r w:rsidRPr="0077756E">
        <w:rPr>
          <w:rFonts w:ascii="Times New Roman" w:hAnsi="Times New Roman" w:cs="Times New Roman"/>
          <w:noProof/>
          <w:szCs w:val="24"/>
        </w:rPr>
        <w:t xml:space="preserve">, </w:t>
      </w:r>
      <w:r w:rsidRPr="0077756E">
        <w:rPr>
          <w:rFonts w:ascii="Times New Roman" w:hAnsi="Times New Roman" w:cs="Times New Roman"/>
          <w:i/>
          <w:iCs/>
          <w:noProof/>
          <w:szCs w:val="24"/>
        </w:rPr>
        <w:t>35</w:t>
      </w:r>
      <w:r w:rsidRPr="0077756E">
        <w:rPr>
          <w:rFonts w:ascii="Times New Roman" w:hAnsi="Times New Roman" w:cs="Times New Roman"/>
          <w:noProof/>
          <w:szCs w:val="24"/>
        </w:rPr>
        <w:t>(4), 449–467. https://doi.org/10.1080/01426390802048297</w:t>
      </w:r>
    </w:p>
    <w:p w:rsidR="0077756E" w:rsidRPr="0077756E" w:rsidRDefault="0077756E" w:rsidP="0077756E">
      <w:pPr>
        <w:widowControl w:val="0"/>
        <w:autoSpaceDE w:val="0"/>
        <w:autoSpaceDN w:val="0"/>
        <w:adjustRightInd w:val="0"/>
        <w:spacing w:line="240" w:lineRule="auto"/>
        <w:ind w:left="480" w:hanging="480"/>
        <w:rPr>
          <w:rFonts w:ascii="Times New Roman" w:hAnsi="Times New Roman" w:cs="Times New Roman"/>
          <w:noProof/>
          <w:szCs w:val="24"/>
        </w:rPr>
      </w:pPr>
      <w:r w:rsidRPr="0077756E">
        <w:rPr>
          <w:rFonts w:ascii="Times New Roman" w:hAnsi="Times New Roman" w:cs="Times New Roman"/>
          <w:noProof/>
          <w:szCs w:val="24"/>
        </w:rPr>
        <w:t>Kizos, T., &amp; Plieninger, T. (n.d.). Agroforestry systems change in the Mediterranean: Some evidence from Greek and Spanish examples. JOUR. Retrieved from http://www.geo.aegean.gr/earth-conference2008/papers/papers/A08ID185.pdf</w:t>
      </w:r>
    </w:p>
    <w:p w:rsidR="0077756E" w:rsidRPr="0077756E" w:rsidRDefault="0077756E" w:rsidP="0077756E">
      <w:pPr>
        <w:widowControl w:val="0"/>
        <w:autoSpaceDE w:val="0"/>
        <w:autoSpaceDN w:val="0"/>
        <w:adjustRightInd w:val="0"/>
        <w:spacing w:line="240" w:lineRule="auto"/>
        <w:ind w:left="480" w:hanging="480"/>
        <w:rPr>
          <w:rFonts w:ascii="Times New Roman" w:hAnsi="Times New Roman" w:cs="Times New Roman"/>
          <w:noProof/>
        </w:rPr>
      </w:pPr>
      <w:r w:rsidRPr="0077756E">
        <w:rPr>
          <w:rFonts w:ascii="Times New Roman" w:hAnsi="Times New Roman" w:cs="Times New Roman"/>
          <w:noProof/>
          <w:szCs w:val="24"/>
        </w:rPr>
        <w:t xml:space="preserve">Rontos, K., Papanis, E., &amp; Kitrinou, E. (2011). Analysing tourist’s profile, holidays’ characteristics and perceived tourist cost at Lesvos Island, Greece. </w:t>
      </w:r>
      <w:r w:rsidRPr="0077756E">
        <w:rPr>
          <w:rFonts w:ascii="Times New Roman" w:hAnsi="Times New Roman" w:cs="Times New Roman"/>
          <w:i/>
          <w:iCs/>
          <w:noProof/>
          <w:szCs w:val="24"/>
        </w:rPr>
        <w:t>Journal of Management Sciences and Regional Development</w:t>
      </w:r>
      <w:r w:rsidRPr="0077756E">
        <w:rPr>
          <w:rFonts w:ascii="Times New Roman" w:hAnsi="Times New Roman" w:cs="Times New Roman"/>
          <w:noProof/>
          <w:szCs w:val="24"/>
        </w:rPr>
        <w:t>, (7). Retrieved from http://www.stt.aegean.gr/geopolab/GEOPOL PROFILE.htm</w:t>
      </w:r>
    </w:p>
    <w:p w:rsidR="00D911C5" w:rsidRPr="00E94F6C" w:rsidRDefault="0077756E" w:rsidP="00422192">
      <w:pPr>
        <w:rPr>
          <w:rFonts w:ascii="Times New Roman" w:eastAsiaTheme="minorEastAsia" w:hAnsi="Times New Roman" w:cs="Times New Roman"/>
          <w:b/>
        </w:rPr>
      </w:pPr>
      <w:r>
        <w:rPr>
          <w:rFonts w:ascii="Times New Roman" w:eastAsiaTheme="minorEastAsia" w:hAnsi="Times New Roman" w:cs="Times New Roman"/>
          <w:b/>
        </w:rPr>
        <w:fldChar w:fldCharType="end"/>
      </w:r>
    </w:p>
    <w:p w:rsidR="00992142" w:rsidRDefault="00992142"/>
    <w:sectPr w:rsidR="00992142" w:rsidSect="00713504">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05F" w:rsidRDefault="002E205F" w:rsidP="00713504">
      <w:pPr>
        <w:spacing w:after="0" w:line="240" w:lineRule="auto"/>
      </w:pPr>
      <w:r>
        <w:separator/>
      </w:r>
    </w:p>
  </w:endnote>
  <w:endnote w:type="continuationSeparator" w:id="0">
    <w:p w:rsidR="002E205F" w:rsidRDefault="002E205F" w:rsidP="00713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3762225"/>
      <w:docPartObj>
        <w:docPartGallery w:val="Page Numbers (Bottom of Page)"/>
        <w:docPartUnique/>
      </w:docPartObj>
    </w:sdtPr>
    <w:sdtEndPr>
      <w:rPr>
        <w:noProof/>
      </w:rPr>
    </w:sdtEndPr>
    <w:sdtContent>
      <w:p w:rsidR="00FE276F" w:rsidRDefault="00FE276F">
        <w:pPr>
          <w:pStyle w:val="Footer"/>
          <w:jc w:val="right"/>
        </w:pPr>
        <w:r>
          <w:fldChar w:fldCharType="begin"/>
        </w:r>
        <w:r>
          <w:instrText xml:space="preserve"> PAGE   \* MERGEFORMAT </w:instrText>
        </w:r>
        <w:r>
          <w:fldChar w:fldCharType="separate"/>
        </w:r>
        <w:r w:rsidR="00A35299">
          <w:rPr>
            <w:noProof/>
          </w:rPr>
          <w:t>2</w:t>
        </w:r>
        <w:r>
          <w:rPr>
            <w:noProof/>
          </w:rPr>
          <w:fldChar w:fldCharType="end"/>
        </w:r>
      </w:p>
    </w:sdtContent>
  </w:sdt>
  <w:p w:rsidR="00713504" w:rsidRPr="00F14345" w:rsidRDefault="00713504" w:rsidP="00713504">
    <w:pPr>
      <w:pStyle w:val="Footer"/>
      <w:jc w:val="right"/>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05F" w:rsidRDefault="002E205F" w:rsidP="00713504">
      <w:pPr>
        <w:spacing w:after="0" w:line="240" w:lineRule="auto"/>
      </w:pPr>
      <w:r>
        <w:separator/>
      </w:r>
    </w:p>
  </w:footnote>
  <w:footnote w:type="continuationSeparator" w:id="0">
    <w:p w:rsidR="002E205F" w:rsidRDefault="002E205F" w:rsidP="007135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72E3E"/>
    <w:multiLevelType w:val="hybridMultilevel"/>
    <w:tmpl w:val="C9041E0E"/>
    <w:lvl w:ilvl="0" w:tplc="45C4CE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B814D33"/>
    <w:multiLevelType w:val="hybridMultilevel"/>
    <w:tmpl w:val="F830E1C4"/>
    <w:lvl w:ilvl="0" w:tplc="45C4CE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8DE7E3F"/>
    <w:multiLevelType w:val="hybridMultilevel"/>
    <w:tmpl w:val="98F8D954"/>
    <w:lvl w:ilvl="0" w:tplc="59B4DB8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D83697"/>
    <w:multiLevelType w:val="hybridMultilevel"/>
    <w:tmpl w:val="74B4A194"/>
    <w:lvl w:ilvl="0" w:tplc="7BFCE8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3BE0E79"/>
    <w:multiLevelType w:val="hybridMultilevel"/>
    <w:tmpl w:val="76980638"/>
    <w:lvl w:ilvl="0" w:tplc="E78691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7156014"/>
    <w:multiLevelType w:val="hybridMultilevel"/>
    <w:tmpl w:val="478E652C"/>
    <w:lvl w:ilvl="0" w:tplc="08090015">
      <w:start w:val="1"/>
      <w:numFmt w:val="upperLetter"/>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nsid w:val="6F3221CE"/>
    <w:multiLevelType w:val="hybridMultilevel"/>
    <w:tmpl w:val="4A24DB9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D1F7005"/>
    <w:multiLevelType w:val="multilevel"/>
    <w:tmpl w:val="3DDC95CC"/>
    <w:lvl w:ilvl="0">
      <w:start w:val="1"/>
      <w:numFmt w:val="decimal"/>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8">
    <w:nsid w:val="7FE67A45"/>
    <w:multiLevelType w:val="hybridMultilevel"/>
    <w:tmpl w:val="D17E6F9A"/>
    <w:lvl w:ilvl="0" w:tplc="3B8E33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4"/>
  </w:num>
  <w:num w:numId="4">
    <w:abstractNumId w:val="8"/>
  </w:num>
  <w:num w:numId="5">
    <w:abstractNumId w:val="1"/>
  </w:num>
  <w:num w:numId="6">
    <w:abstractNumId w:val="6"/>
  </w:num>
  <w:num w:numId="7">
    <w:abstractNumId w:val="5"/>
  </w:num>
  <w:num w:numId="8">
    <w:abstractNumId w:val="0"/>
  </w:num>
  <w:num w:numId="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E5E"/>
    <w:rsid w:val="000A53DF"/>
    <w:rsid w:val="000F394E"/>
    <w:rsid w:val="0013752B"/>
    <w:rsid w:val="001B42B9"/>
    <w:rsid w:val="001D6D0A"/>
    <w:rsid w:val="002B25B9"/>
    <w:rsid w:val="002E205F"/>
    <w:rsid w:val="00315827"/>
    <w:rsid w:val="003362E6"/>
    <w:rsid w:val="00422192"/>
    <w:rsid w:val="00435EC5"/>
    <w:rsid w:val="00483833"/>
    <w:rsid w:val="004E6B72"/>
    <w:rsid w:val="0056228F"/>
    <w:rsid w:val="00581559"/>
    <w:rsid w:val="0059240A"/>
    <w:rsid w:val="005F55B0"/>
    <w:rsid w:val="00624146"/>
    <w:rsid w:val="00713504"/>
    <w:rsid w:val="00750A82"/>
    <w:rsid w:val="0077756E"/>
    <w:rsid w:val="008541A6"/>
    <w:rsid w:val="008B4E5E"/>
    <w:rsid w:val="00992142"/>
    <w:rsid w:val="009B58D5"/>
    <w:rsid w:val="00A35299"/>
    <w:rsid w:val="00CB6E09"/>
    <w:rsid w:val="00D40E0A"/>
    <w:rsid w:val="00D911C5"/>
    <w:rsid w:val="00DA7BD3"/>
    <w:rsid w:val="00E01652"/>
    <w:rsid w:val="00EC4FBA"/>
    <w:rsid w:val="00F00E40"/>
    <w:rsid w:val="00F82193"/>
    <w:rsid w:val="00FA3E4C"/>
    <w:rsid w:val="00FB0CC5"/>
    <w:rsid w:val="00FD08E0"/>
    <w:rsid w:val="00FE2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192"/>
    <w:pPr>
      <w:spacing w:after="200" w:line="276" w:lineRule="auto"/>
    </w:pPr>
    <w:rPr>
      <w:lang w:val="en-US"/>
    </w:rPr>
  </w:style>
  <w:style w:type="paragraph" w:styleId="Heading1">
    <w:name w:val="heading 1"/>
    <w:basedOn w:val="Normal"/>
    <w:next w:val="Normal"/>
    <w:link w:val="Heading1Char"/>
    <w:uiPriority w:val="9"/>
    <w:qFormat/>
    <w:rsid w:val="00422192"/>
    <w:pPr>
      <w:keepNext/>
      <w:keepLines/>
      <w:numPr>
        <w:numId w:val="1"/>
      </w:numPr>
      <w:spacing w:before="480" w:after="0"/>
      <w:jc w:val="both"/>
      <w:outlineLvl w:val="0"/>
    </w:pPr>
    <w:rPr>
      <w:rFonts w:ascii="Arial" w:eastAsiaTheme="majorEastAsia" w:hAnsi="Arial" w:cstheme="majorBidi"/>
      <w:b/>
      <w:bCs/>
      <w:sz w:val="24"/>
      <w:szCs w:val="28"/>
    </w:rPr>
  </w:style>
  <w:style w:type="paragraph" w:styleId="Heading2">
    <w:name w:val="heading 2"/>
    <w:basedOn w:val="Normal"/>
    <w:next w:val="Normal"/>
    <w:link w:val="Heading2Char"/>
    <w:uiPriority w:val="9"/>
    <w:unhideWhenUsed/>
    <w:qFormat/>
    <w:rsid w:val="00422192"/>
    <w:pPr>
      <w:keepNext/>
      <w:keepLines/>
      <w:numPr>
        <w:ilvl w:val="1"/>
        <w:numId w:val="1"/>
      </w:numPr>
      <w:spacing w:before="200" w:after="0"/>
      <w:jc w:val="both"/>
      <w:outlineLvl w:val="1"/>
    </w:pPr>
    <w:rPr>
      <w:rFonts w:ascii="Arial" w:eastAsiaTheme="majorEastAsia" w:hAnsi="Arial" w:cstheme="majorBidi"/>
      <w:b/>
      <w:bCs/>
      <w:sz w:val="20"/>
      <w:szCs w:val="26"/>
    </w:rPr>
  </w:style>
  <w:style w:type="paragraph" w:styleId="Heading3">
    <w:name w:val="heading 3"/>
    <w:basedOn w:val="Normal"/>
    <w:next w:val="Normal"/>
    <w:link w:val="Heading3Char"/>
    <w:uiPriority w:val="9"/>
    <w:unhideWhenUsed/>
    <w:qFormat/>
    <w:rsid w:val="00422192"/>
    <w:pPr>
      <w:keepNext/>
      <w:keepLines/>
      <w:numPr>
        <w:ilvl w:val="2"/>
        <w:numId w:val="1"/>
      </w:numPr>
      <w:spacing w:before="200" w:after="0"/>
      <w:jc w:val="both"/>
      <w:outlineLvl w:val="2"/>
    </w:pPr>
    <w:rPr>
      <w:rFonts w:ascii="Arial" w:eastAsiaTheme="majorEastAsia" w:hAnsi="Arial" w:cstheme="majorBidi"/>
      <w:b/>
      <w:bCs/>
      <w:sz w:val="20"/>
    </w:rPr>
  </w:style>
  <w:style w:type="paragraph" w:styleId="Heading4">
    <w:name w:val="heading 4"/>
    <w:basedOn w:val="Normal"/>
    <w:next w:val="Normal"/>
    <w:link w:val="Heading4Char"/>
    <w:uiPriority w:val="9"/>
    <w:unhideWhenUsed/>
    <w:qFormat/>
    <w:rsid w:val="00422192"/>
    <w:pPr>
      <w:keepNext/>
      <w:keepLines/>
      <w:numPr>
        <w:ilvl w:val="3"/>
        <w:numId w:val="1"/>
      </w:numPr>
      <w:spacing w:before="200" w:after="0"/>
      <w:jc w:val="both"/>
      <w:outlineLvl w:val="3"/>
    </w:pPr>
    <w:rPr>
      <w:rFonts w:asciiTheme="majorHAnsi" w:eastAsiaTheme="majorEastAsia" w:hAnsiTheme="majorHAnsi" w:cstheme="majorBidi"/>
      <w:b/>
      <w:bCs/>
      <w:i/>
      <w:iCs/>
      <w:color w:val="5B9BD5" w:themeColor="accent1"/>
      <w:sz w:val="20"/>
    </w:rPr>
  </w:style>
  <w:style w:type="paragraph" w:styleId="Heading5">
    <w:name w:val="heading 5"/>
    <w:basedOn w:val="Normal"/>
    <w:next w:val="Normal"/>
    <w:link w:val="Heading5Char"/>
    <w:uiPriority w:val="9"/>
    <w:unhideWhenUsed/>
    <w:qFormat/>
    <w:rsid w:val="00422192"/>
    <w:pPr>
      <w:keepNext/>
      <w:keepLines/>
      <w:numPr>
        <w:ilvl w:val="4"/>
        <w:numId w:val="1"/>
      </w:numPr>
      <w:spacing w:before="200" w:after="0"/>
      <w:jc w:val="both"/>
      <w:outlineLvl w:val="4"/>
    </w:pPr>
    <w:rPr>
      <w:rFonts w:asciiTheme="majorHAnsi" w:eastAsiaTheme="majorEastAsia" w:hAnsiTheme="majorHAnsi" w:cstheme="majorBidi"/>
      <w:color w:val="1F4D78" w:themeColor="accent1" w:themeShade="7F"/>
      <w:sz w:val="20"/>
    </w:rPr>
  </w:style>
  <w:style w:type="paragraph" w:styleId="Heading6">
    <w:name w:val="heading 6"/>
    <w:basedOn w:val="Normal"/>
    <w:next w:val="Normal"/>
    <w:link w:val="Heading6Char"/>
    <w:uiPriority w:val="9"/>
    <w:unhideWhenUsed/>
    <w:qFormat/>
    <w:rsid w:val="00422192"/>
    <w:pPr>
      <w:keepNext/>
      <w:keepLines/>
      <w:numPr>
        <w:ilvl w:val="5"/>
        <w:numId w:val="1"/>
      </w:numPr>
      <w:spacing w:before="200" w:after="0"/>
      <w:jc w:val="both"/>
      <w:outlineLvl w:val="5"/>
    </w:pPr>
    <w:rPr>
      <w:rFonts w:asciiTheme="majorHAnsi" w:eastAsiaTheme="majorEastAsia" w:hAnsiTheme="majorHAnsi" w:cstheme="majorBidi"/>
      <w:i/>
      <w:iCs/>
      <w:color w:val="1F4D78" w:themeColor="accent1" w:themeShade="7F"/>
      <w:sz w:val="20"/>
    </w:rPr>
  </w:style>
  <w:style w:type="paragraph" w:styleId="Heading7">
    <w:name w:val="heading 7"/>
    <w:basedOn w:val="Normal"/>
    <w:next w:val="Normal"/>
    <w:link w:val="Heading7Char"/>
    <w:uiPriority w:val="9"/>
    <w:unhideWhenUsed/>
    <w:qFormat/>
    <w:rsid w:val="00422192"/>
    <w:pPr>
      <w:keepNext/>
      <w:keepLines/>
      <w:numPr>
        <w:ilvl w:val="6"/>
        <w:numId w:val="1"/>
      </w:numPr>
      <w:spacing w:before="200" w:after="0"/>
      <w:jc w:val="both"/>
      <w:outlineLvl w:val="6"/>
    </w:pPr>
    <w:rPr>
      <w:rFonts w:asciiTheme="majorHAnsi" w:eastAsiaTheme="majorEastAsia" w:hAnsiTheme="majorHAnsi" w:cstheme="majorBidi"/>
      <w:i/>
      <w:iCs/>
      <w:color w:val="404040" w:themeColor="text1" w:themeTint="BF"/>
      <w:sz w:val="20"/>
    </w:rPr>
  </w:style>
  <w:style w:type="paragraph" w:styleId="Heading8">
    <w:name w:val="heading 8"/>
    <w:basedOn w:val="Normal"/>
    <w:next w:val="Normal"/>
    <w:link w:val="Heading8Char"/>
    <w:uiPriority w:val="9"/>
    <w:unhideWhenUsed/>
    <w:qFormat/>
    <w:rsid w:val="00422192"/>
    <w:pPr>
      <w:keepNext/>
      <w:keepLines/>
      <w:numPr>
        <w:ilvl w:val="7"/>
        <w:numId w:val="1"/>
      </w:numPr>
      <w:spacing w:before="200" w:after="0"/>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22192"/>
    <w:pPr>
      <w:keepNext/>
      <w:keepLines/>
      <w:numPr>
        <w:ilvl w:val="8"/>
        <w:numId w:val="1"/>
      </w:numPr>
      <w:spacing w:before="200" w:after="0"/>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192"/>
    <w:rPr>
      <w:rFonts w:ascii="Arial" w:eastAsiaTheme="majorEastAsia" w:hAnsi="Arial" w:cstheme="majorBidi"/>
      <w:b/>
      <w:bCs/>
      <w:sz w:val="24"/>
      <w:szCs w:val="28"/>
      <w:lang w:val="en-US"/>
    </w:rPr>
  </w:style>
  <w:style w:type="character" w:customStyle="1" w:styleId="Heading2Char">
    <w:name w:val="Heading 2 Char"/>
    <w:basedOn w:val="DefaultParagraphFont"/>
    <w:link w:val="Heading2"/>
    <w:uiPriority w:val="9"/>
    <w:rsid w:val="00422192"/>
    <w:rPr>
      <w:rFonts w:ascii="Arial" w:eastAsiaTheme="majorEastAsia" w:hAnsi="Arial" w:cstheme="majorBidi"/>
      <w:b/>
      <w:bCs/>
      <w:sz w:val="20"/>
      <w:szCs w:val="26"/>
      <w:lang w:val="en-US"/>
    </w:rPr>
  </w:style>
  <w:style w:type="character" w:customStyle="1" w:styleId="Heading3Char">
    <w:name w:val="Heading 3 Char"/>
    <w:basedOn w:val="DefaultParagraphFont"/>
    <w:link w:val="Heading3"/>
    <w:uiPriority w:val="9"/>
    <w:rsid w:val="00422192"/>
    <w:rPr>
      <w:rFonts w:ascii="Arial" w:eastAsiaTheme="majorEastAsia" w:hAnsi="Arial" w:cstheme="majorBidi"/>
      <w:b/>
      <w:bCs/>
      <w:sz w:val="20"/>
      <w:lang w:val="en-US"/>
    </w:rPr>
  </w:style>
  <w:style w:type="character" w:customStyle="1" w:styleId="Heading4Char">
    <w:name w:val="Heading 4 Char"/>
    <w:basedOn w:val="DefaultParagraphFont"/>
    <w:link w:val="Heading4"/>
    <w:uiPriority w:val="9"/>
    <w:rsid w:val="00422192"/>
    <w:rPr>
      <w:rFonts w:asciiTheme="majorHAnsi" w:eastAsiaTheme="majorEastAsia" w:hAnsiTheme="majorHAnsi" w:cstheme="majorBidi"/>
      <w:b/>
      <w:bCs/>
      <w:i/>
      <w:iCs/>
      <w:color w:val="5B9BD5" w:themeColor="accent1"/>
      <w:sz w:val="20"/>
      <w:lang w:val="en-US"/>
    </w:rPr>
  </w:style>
  <w:style w:type="character" w:customStyle="1" w:styleId="Heading5Char">
    <w:name w:val="Heading 5 Char"/>
    <w:basedOn w:val="DefaultParagraphFont"/>
    <w:link w:val="Heading5"/>
    <w:uiPriority w:val="9"/>
    <w:rsid w:val="00422192"/>
    <w:rPr>
      <w:rFonts w:asciiTheme="majorHAnsi" w:eastAsiaTheme="majorEastAsia" w:hAnsiTheme="majorHAnsi" w:cstheme="majorBidi"/>
      <w:color w:val="1F4D78" w:themeColor="accent1" w:themeShade="7F"/>
      <w:sz w:val="20"/>
      <w:lang w:val="en-US"/>
    </w:rPr>
  </w:style>
  <w:style w:type="character" w:customStyle="1" w:styleId="Heading6Char">
    <w:name w:val="Heading 6 Char"/>
    <w:basedOn w:val="DefaultParagraphFont"/>
    <w:link w:val="Heading6"/>
    <w:uiPriority w:val="9"/>
    <w:rsid w:val="00422192"/>
    <w:rPr>
      <w:rFonts w:asciiTheme="majorHAnsi" w:eastAsiaTheme="majorEastAsia" w:hAnsiTheme="majorHAnsi" w:cstheme="majorBidi"/>
      <w:i/>
      <w:iCs/>
      <w:color w:val="1F4D78" w:themeColor="accent1" w:themeShade="7F"/>
      <w:sz w:val="20"/>
      <w:lang w:val="en-US"/>
    </w:rPr>
  </w:style>
  <w:style w:type="character" w:customStyle="1" w:styleId="Heading7Char">
    <w:name w:val="Heading 7 Char"/>
    <w:basedOn w:val="DefaultParagraphFont"/>
    <w:link w:val="Heading7"/>
    <w:uiPriority w:val="9"/>
    <w:rsid w:val="00422192"/>
    <w:rPr>
      <w:rFonts w:asciiTheme="majorHAnsi" w:eastAsiaTheme="majorEastAsia" w:hAnsiTheme="majorHAnsi" w:cstheme="majorBidi"/>
      <w:i/>
      <w:iCs/>
      <w:color w:val="404040" w:themeColor="text1" w:themeTint="BF"/>
      <w:sz w:val="20"/>
      <w:lang w:val="en-US"/>
    </w:rPr>
  </w:style>
  <w:style w:type="character" w:customStyle="1" w:styleId="Heading8Char">
    <w:name w:val="Heading 8 Char"/>
    <w:basedOn w:val="DefaultParagraphFont"/>
    <w:link w:val="Heading8"/>
    <w:uiPriority w:val="9"/>
    <w:rsid w:val="00422192"/>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422192"/>
    <w:rPr>
      <w:rFonts w:asciiTheme="majorHAnsi" w:eastAsiaTheme="majorEastAsia" w:hAnsiTheme="majorHAnsi" w:cstheme="majorBidi"/>
      <w:i/>
      <w:iCs/>
      <w:color w:val="404040" w:themeColor="text1" w:themeTint="BF"/>
      <w:sz w:val="20"/>
      <w:szCs w:val="20"/>
      <w:lang w:val="en-US"/>
    </w:rPr>
  </w:style>
  <w:style w:type="paragraph" w:styleId="ListParagraph">
    <w:name w:val="List Paragraph"/>
    <w:basedOn w:val="Normal"/>
    <w:uiPriority w:val="34"/>
    <w:qFormat/>
    <w:rsid w:val="00422192"/>
    <w:pPr>
      <w:ind w:left="720"/>
      <w:contextualSpacing/>
      <w:jc w:val="both"/>
    </w:pPr>
    <w:rPr>
      <w:rFonts w:ascii="Arial" w:hAnsi="Arial"/>
      <w:sz w:val="20"/>
    </w:rPr>
  </w:style>
  <w:style w:type="paragraph" w:styleId="Header">
    <w:name w:val="header"/>
    <w:basedOn w:val="Normal"/>
    <w:link w:val="HeaderChar"/>
    <w:uiPriority w:val="99"/>
    <w:unhideWhenUsed/>
    <w:rsid w:val="004221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2192"/>
    <w:rPr>
      <w:lang w:val="en-US"/>
    </w:rPr>
  </w:style>
  <w:style w:type="paragraph" w:styleId="Footer">
    <w:name w:val="footer"/>
    <w:basedOn w:val="Normal"/>
    <w:link w:val="FooterChar"/>
    <w:uiPriority w:val="99"/>
    <w:unhideWhenUsed/>
    <w:rsid w:val="004221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2192"/>
    <w:rPr>
      <w:lang w:val="en-US"/>
    </w:rPr>
  </w:style>
  <w:style w:type="paragraph" w:styleId="NormalWeb">
    <w:name w:val="Normal (Web)"/>
    <w:basedOn w:val="Normal"/>
    <w:uiPriority w:val="99"/>
    <w:unhideWhenUsed/>
    <w:rsid w:val="00422192"/>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59"/>
    <w:rsid w:val="0042219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21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192"/>
    <w:rPr>
      <w:rFonts w:ascii="Tahoma" w:hAnsi="Tahoma" w:cs="Tahoma"/>
      <w:sz w:val="16"/>
      <w:szCs w:val="16"/>
      <w:lang w:val="en-US"/>
    </w:rPr>
  </w:style>
  <w:style w:type="paragraph" w:styleId="Caption">
    <w:name w:val="caption"/>
    <w:basedOn w:val="Normal"/>
    <w:next w:val="Normal"/>
    <w:uiPriority w:val="35"/>
    <w:unhideWhenUsed/>
    <w:qFormat/>
    <w:rsid w:val="00422192"/>
    <w:pPr>
      <w:spacing w:line="240" w:lineRule="auto"/>
      <w:jc w:val="both"/>
    </w:pPr>
    <w:rPr>
      <w:rFonts w:ascii="Arial" w:hAnsi="Arial"/>
      <w:b/>
      <w:bCs/>
      <w:color w:val="5B9BD5" w:themeColor="accent1"/>
      <w:sz w:val="18"/>
      <w:szCs w:val="18"/>
    </w:rPr>
  </w:style>
  <w:style w:type="paragraph" w:styleId="FootnoteText">
    <w:name w:val="footnote text"/>
    <w:basedOn w:val="Normal"/>
    <w:link w:val="FootnoteTextChar"/>
    <w:uiPriority w:val="99"/>
    <w:semiHidden/>
    <w:unhideWhenUsed/>
    <w:rsid w:val="004221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2192"/>
    <w:rPr>
      <w:sz w:val="20"/>
      <w:szCs w:val="20"/>
      <w:lang w:val="en-US"/>
    </w:rPr>
  </w:style>
  <w:style w:type="character" w:styleId="Hyperlink">
    <w:name w:val="Hyperlink"/>
    <w:basedOn w:val="DefaultParagraphFont"/>
    <w:uiPriority w:val="99"/>
    <w:unhideWhenUsed/>
    <w:rsid w:val="00422192"/>
    <w:rPr>
      <w:color w:val="0563C1" w:themeColor="hyperlink"/>
      <w:u w:val="single"/>
    </w:rPr>
  </w:style>
  <w:style w:type="character" w:styleId="Strong">
    <w:name w:val="Strong"/>
    <w:basedOn w:val="DefaultParagraphFont"/>
    <w:uiPriority w:val="22"/>
    <w:qFormat/>
    <w:rsid w:val="00422192"/>
    <w:rPr>
      <w:b/>
      <w:bCs/>
      <w:sz w:val="24"/>
      <w:szCs w:val="24"/>
      <w:bdr w:val="none" w:sz="0" w:space="0" w:color="auto" w:frame="1"/>
      <w:vertAlign w:val="baseline"/>
    </w:rPr>
  </w:style>
  <w:style w:type="paragraph" w:customStyle="1" w:styleId="font8">
    <w:name w:val="font_8"/>
    <w:basedOn w:val="Normal"/>
    <w:rsid w:val="004221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20">
    <w:name w:val="color_20"/>
    <w:basedOn w:val="DefaultParagraphFont"/>
    <w:rsid w:val="00422192"/>
  </w:style>
  <w:style w:type="paragraph" w:styleId="EndnoteText">
    <w:name w:val="endnote text"/>
    <w:basedOn w:val="Normal"/>
    <w:link w:val="EndnoteTextChar"/>
    <w:uiPriority w:val="99"/>
    <w:semiHidden/>
    <w:unhideWhenUsed/>
    <w:rsid w:val="004221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2192"/>
    <w:rPr>
      <w:sz w:val="20"/>
      <w:szCs w:val="20"/>
      <w:lang w:val="en-US"/>
    </w:rPr>
  </w:style>
  <w:style w:type="character" w:customStyle="1" w:styleId="BodyTextChar">
    <w:name w:val="Body Text Char"/>
    <w:aliases w:val="Σώμα κείμενου Char"/>
    <w:basedOn w:val="DefaultParagraphFont"/>
    <w:link w:val="BodyText"/>
    <w:locked/>
    <w:rsid w:val="00422192"/>
    <w:rPr>
      <w:sz w:val="24"/>
      <w:szCs w:val="24"/>
    </w:rPr>
  </w:style>
  <w:style w:type="paragraph" w:styleId="BodyText">
    <w:name w:val="Body Text"/>
    <w:aliases w:val="Σώμα κείμενου"/>
    <w:basedOn w:val="Normal"/>
    <w:link w:val="BodyTextChar"/>
    <w:rsid w:val="00422192"/>
    <w:pPr>
      <w:spacing w:after="120" w:line="240" w:lineRule="auto"/>
    </w:pPr>
    <w:rPr>
      <w:sz w:val="24"/>
      <w:szCs w:val="24"/>
      <w:lang w:val="en-GB"/>
    </w:rPr>
  </w:style>
  <w:style w:type="character" w:customStyle="1" w:styleId="BodyTextChar1">
    <w:name w:val="Body Text Char1"/>
    <w:basedOn w:val="DefaultParagraphFont"/>
    <w:uiPriority w:val="99"/>
    <w:semiHidden/>
    <w:rsid w:val="00422192"/>
    <w:rPr>
      <w:lang w:val="en-US"/>
    </w:rPr>
  </w:style>
  <w:style w:type="character" w:styleId="CommentReference">
    <w:name w:val="annotation reference"/>
    <w:basedOn w:val="DefaultParagraphFont"/>
    <w:uiPriority w:val="99"/>
    <w:semiHidden/>
    <w:unhideWhenUsed/>
    <w:rsid w:val="00422192"/>
    <w:rPr>
      <w:sz w:val="16"/>
      <w:szCs w:val="16"/>
    </w:rPr>
  </w:style>
  <w:style w:type="paragraph" w:styleId="CommentText">
    <w:name w:val="annotation text"/>
    <w:basedOn w:val="Normal"/>
    <w:link w:val="CommentTextChar"/>
    <w:uiPriority w:val="99"/>
    <w:semiHidden/>
    <w:unhideWhenUsed/>
    <w:rsid w:val="00422192"/>
    <w:pPr>
      <w:spacing w:line="240" w:lineRule="auto"/>
    </w:pPr>
    <w:rPr>
      <w:sz w:val="20"/>
      <w:szCs w:val="20"/>
    </w:rPr>
  </w:style>
  <w:style w:type="character" w:customStyle="1" w:styleId="CommentTextChar">
    <w:name w:val="Comment Text Char"/>
    <w:basedOn w:val="DefaultParagraphFont"/>
    <w:link w:val="CommentText"/>
    <w:uiPriority w:val="99"/>
    <w:semiHidden/>
    <w:rsid w:val="00422192"/>
    <w:rPr>
      <w:sz w:val="20"/>
      <w:szCs w:val="20"/>
      <w:lang w:val="en-US"/>
    </w:rPr>
  </w:style>
  <w:style w:type="paragraph" w:styleId="CommentSubject">
    <w:name w:val="annotation subject"/>
    <w:basedOn w:val="CommentText"/>
    <w:next w:val="CommentText"/>
    <w:link w:val="CommentSubjectChar"/>
    <w:uiPriority w:val="99"/>
    <w:semiHidden/>
    <w:unhideWhenUsed/>
    <w:rsid w:val="00422192"/>
    <w:rPr>
      <w:b/>
      <w:bCs/>
    </w:rPr>
  </w:style>
  <w:style w:type="character" w:customStyle="1" w:styleId="CommentSubjectChar">
    <w:name w:val="Comment Subject Char"/>
    <w:basedOn w:val="CommentTextChar"/>
    <w:link w:val="CommentSubject"/>
    <w:uiPriority w:val="99"/>
    <w:semiHidden/>
    <w:rsid w:val="00422192"/>
    <w:rPr>
      <w:b/>
      <w:bCs/>
      <w:sz w:val="20"/>
      <w:szCs w:val="20"/>
      <w:lang w:val="en-US"/>
    </w:rPr>
  </w:style>
  <w:style w:type="character" w:styleId="Emphasis">
    <w:name w:val="Emphasis"/>
    <w:basedOn w:val="DefaultParagraphFont"/>
    <w:uiPriority w:val="20"/>
    <w:qFormat/>
    <w:rsid w:val="00422192"/>
    <w:rPr>
      <w:i/>
      <w:iCs/>
      <w:sz w:val="24"/>
      <w:szCs w:val="24"/>
      <w:bdr w:val="none" w:sz="0" w:space="0" w:color="auto" w:frame="1"/>
      <w:vertAlign w:val="baseline"/>
    </w:rPr>
  </w:style>
  <w:style w:type="paragraph" w:styleId="Revision">
    <w:name w:val="Revision"/>
    <w:hidden/>
    <w:uiPriority w:val="99"/>
    <w:semiHidden/>
    <w:rsid w:val="00422192"/>
    <w:pPr>
      <w:spacing w:after="0" w:line="240" w:lineRule="auto"/>
    </w:pPr>
    <w:rPr>
      <w:lang w:val="en-US"/>
    </w:rPr>
  </w:style>
  <w:style w:type="paragraph" w:customStyle="1" w:styleId="TableContents">
    <w:name w:val="Table Contents"/>
    <w:basedOn w:val="Normal"/>
    <w:rsid w:val="00422192"/>
    <w:pPr>
      <w:suppressAutoHyphens/>
    </w:pPr>
    <w:rPr>
      <w:rFonts w:ascii="Calibri" w:eastAsia="SimSun"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192"/>
    <w:pPr>
      <w:spacing w:after="200" w:line="276" w:lineRule="auto"/>
    </w:pPr>
    <w:rPr>
      <w:lang w:val="en-US"/>
    </w:rPr>
  </w:style>
  <w:style w:type="paragraph" w:styleId="Heading1">
    <w:name w:val="heading 1"/>
    <w:basedOn w:val="Normal"/>
    <w:next w:val="Normal"/>
    <w:link w:val="Heading1Char"/>
    <w:uiPriority w:val="9"/>
    <w:qFormat/>
    <w:rsid w:val="00422192"/>
    <w:pPr>
      <w:keepNext/>
      <w:keepLines/>
      <w:numPr>
        <w:numId w:val="1"/>
      </w:numPr>
      <w:spacing w:before="480" w:after="0"/>
      <w:jc w:val="both"/>
      <w:outlineLvl w:val="0"/>
    </w:pPr>
    <w:rPr>
      <w:rFonts w:ascii="Arial" w:eastAsiaTheme="majorEastAsia" w:hAnsi="Arial" w:cstheme="majorBidi"/>
      <w:b/>
      <w:bCs/>
      <w:sz w:val="24"/>
      <w:szCs w:val="28"/>
    </w:rPr>
  </w:style>
  <w:style w:type="paragraph" w:styleId="Heading2">
    <w:name w:val="heading 2"/>
    <w:basedOn w:val="Normal"/>
    <w:next w:val="Normal"/>
    <w:link w:val="Heading2Char"/>
    <w:uiPriority w:val="9"/>
    <w:unhideWhenUsed/>
    <w:qFormat/>
    <w:rsid w:val="00422192"/>
    <w:pPr>
      <w:keepNext/>
      <w:keepLines/>
      <w:numPr>
        <w:ilvl w:val="1"/>
        <w:numId w:val="1"/>
      </w:numPr>
      <w:spacing w:before="200" w:after="0"/>
      <w:jc w:val="both"/>
      <w:outlineLvl w:val="1"/>
    </w:pPr>
    <w:rPr>
      <w:rFonts w:ascii="Arial" w:eastAsiaTheme="majorEastAsia" w:hAnsi="Arial" w:cstheme="majorBidi"/>
      <w:b/>
      <w:bCs/>
      <w:sz w:val="20"/>
      <w:szCs w:val="26"/>
    </w:rPr>
  </w:style>
  <w:style w:type="paragraph" w:styleId="Heading3">
    <w:name w:val="heading 3"/>
    <w:basedOn w:val="Normal"/>
    <w:next w:val="Normal"/>
    <w:link w:val="Heading3Char"/>
    <w:uiPriority w:val="9"/>
    <w:unhideWhenUsed/>
    <w:qFormat/>
    <w:rsid w:val="00422192"/>
    <w:pPr>
      <w:keepNext/>
      <w:keepLines/>
      <w:numPr>
        <w:ilvl w:val="2"/>
        <w:numId w:val="1"/>
      </w:numPr>
      <w:spacing w:before="200" w:after="0"/>
      <w:jc w:val="both"/>
      <w:outlineLvl w:val="2"/>
    </w:pPr>
    <w:rPr>
      <w:rFonts w:ascii="Arial" w:eastAsiaTheme="majorEastAsia" w:hAnsi="Arial" w:cstheme="majorBidi"/>
      <w:b/>
      <w:bCs/>
      <w:sz w:val="20"/>
    </w:rPr>
  </w:style>
  <w:style w:type="paragraph" w:styleId="Heading4">
    <w:name w:val="heading 4"/>
    <w:basedOn w:val="Normal"/>
    <w:next w:val="Normal"/>
    <w:link w:val="Heading4Char"/>
    <w:uiPriority w:val="9"/>
    <w:unhideWhenUsed/>
    <w:qFormat/>
    <w:rsid w:val="00422192"/>
    <w:pPr>
      <w:keepNext/>
      <w:keepLines/>
      <w:numPr>
        <w:ilvl w:val="3"/>
        <w:numId w:val="1"/>
      </w:numPr>
      <w:spacing w:before="200" w:after="0"/>
      <w:jc w:val="both"/>
      <w:outlineLvl w:val="3"/>
    </w:pPr>
    <w:rPr>
      <w:rFonts w:asciiTheme="majorHAnsi" w:eastAsiaTheme="majorEastAsia" w:hAnsiTheme="majorHAnsi" w:cstheme="majorBidi"/>
      <w:b/>
      <w:bCs/>
      <w:i/>
      <w:iCs/>
      <w:color w:val="5B9BD5" w:themeColor="accent1"/>
      <w:sz w:val="20"/>
    </w:rPr>
  </w:style>
  <w:style w:type="paragraph" w:styleId="Heading5">
    <w:name w:val="heading 5"/>
    <w:basedOn w:val="Normal"/>
    <w:next w:val="Normal"/>
    <w:link w:val="Heading5Char"/>
    <w:uiPriority w:val="9"/>
    <w:unhideWhenUsed/>
    <w:qFormat/>
    <w:rsid w:val="00422192"/>
    <w:pPr>
      <w:keepNext/>
      <w:keepLines/>
      <w:numPr>
        <w:ilvl w:val="4"/>
        <w:numId w:val="1"/>
      </w:numPr>
      <w:spacing w:before="200" w:after="0"/>
      <w:jc w:val="both"/>
      <w:outlineLvl w:val="4"/>
    </w:pPr>
    <w:rPr>
      <w:rFonts w:asciiTheme="majorHAnsi" w:eastAsiaTheme="majorEastAsia" w:hAnsiTheme="majorHAnsi" w:cstheme="majorBidi"/>
      <w:color w:val="1F4D78" w:themeColor="accent1" w:themeShade="7F"/>
      <w:sz w:val="20"/>
    </w:rPr>
  </w:style>
  <w:style w:type="paragraph" w:styleId="Heading6">
    <w:name w:val="heading 6"/>
    <w:basedOn w:val="Normal"/>
    <w:next w:val="Normal"/>
    <w:link w:val="Heading6Char"/>
    <w:uiPriority w:val="9"/>
    <w:unhideWhenUsed/>
    <w:qFormat/>
    <w:rsid w:val="00422192"/>
    <w:pPr>
      <w:keepNext/>
      <w:keepLines/>
      <w:numPr>
        <w:ilvl w:val="5"/>
        <w:numId w:val="1"/>
      </w:numPr>
      <w:spacing w:before="200" w:after="0"/>
      <w:jc w:val="both"/>
      <w:outlineLvl w:val="5"/>
    </w:pPr>
    <w:rPr>
      <w:rFonts w:asciiTheme="majorHAnsi" w:eastAsiaTheme="majorEastAsia" w:hAnsiTheme="majorHAnsi" w:cstheme="majorBidi"/>
      <w:i/>
      <w:iCs/>
      <w:color w:val="1F4D78" w:themeColor="accent1" w:themeShade="7F"/>
      <w:sz w:val="20"/>
    </w:rPr>
  </w:style>
  <w:style w:type="paragraph" w:styleId="Heading7">
    <w:name w:val="heading 7"/>
    <w:basedOn w:val="Normal"/>
    <w:next w:val="Normal"/>
    <w:link w:val="Heading7Char"/>
    <w:uiPriority w:val="9"/>
    <w:unhideWhenUsed/>
    <w:qFormat/>
    <w:rsid w:val="00422192"/>
    <w:pPr>
      <w:keepNext/>
      <w:keepLines/>
      <w:numPr>
        <w:ilvl w:val="6"/>
        <w:numId w:val="1"/>
      </w:numPr>
      <w:spacing w:before="200" w:after="0"/>
      <w:jc w:val="both"/>
      <w:outlineLvl w:val="6"/>
    </w:pPr>
    <w:rPr>
      <w:rFonts w:asciiTheme="majorHAnsi" w:eastAsiaTheme="majorEastAsia" w:hAnsiTheme="majorHAnsi" w:cstheme="majorBidi"/>
      <w:i/>
      <w:iCs/>
      <w:color w:val="404040" w:themeColor="text1" w:themeTint="BF"/>
      <w:sz w:val="20"/>
    </w:rPr>
  </w:style>
  <w:style w:type="paragraph" w:styleId="Heading8">
    <w:name w:val="heading 8"/>
    <w:basedOn w:val="Normal"/>
    <w:next w:val="Normal"/>
    <w:link w:val="Heading8Char"/>
    <w:uiPriority w:val="9"/>
    <w:unhideWhenUsed/>
    <w:qFormat/>
    <w:rsid w:val="00422192"/>
    <w:pPr>
      <w:keepNext/>
      <w:keepLines/>
      <w:numPr>
        <w:ilvl w:val="7"/>
        <w:numId w:val="1"/>
      </w:numPr>
      <w:spacing w:before="200" w:after="0"/>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22192"/>
    <w:pPr>
      <w:keepNext/>
      <w:keepLines/>
      <w:numPr>
        <w:ilvl w:val="8"/>
        <w:numId w:val="1"/>
      </w:numPr>
      <w:spacing w:before="200" w:after="0"/>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192"/>
    <w:rPr>
      <w:rFonts w:ascii="Arial" w:eastAsiaTheme="majorEastAsia" w:hAnsi="Arial" w:cstheme="majorBidi"/>
      <w:b/>
      <w:bCs/>
      <w:sz w:val="24"/>
      <w:szCs w:val="28"/>
      <w:lang w:val="en-US"/>
    </w:rPr>
  </w:style>
  <w:style w:type="character" w:customStyle="1" w:styleId="Heading2Char">
    <w:name w:val="Heading 2 Char"/>
    <w:basedOn w:val="DefaultParagraphFont"/>
    <w:link w:val="Heading2"/>
    <w:uiPriority w:val="9"/>
    <w:rsid w:val="00422192"/>
    <w:rPr>
      <w:rFonts w:ascii="Arial" w:eastAsiaTheme="majorEastAsia" w:hAnsi="Arial" w:cstheme="majorBidi"/>
      <w:b/>
      <w:bCs/>
      <w:sz w:val="20"/>
      <w:szCs w:val="26"/>
      <w:lang w:val="en-US"/>
    </w:rPr>
  </w:style>
  <w:style w:type="character" w:customStyle="1" w:styleId="Heading3Char">
    <w:name w:val="Heading 3 Char"/>
    <w:basedOn w:val="DefaultParagraphFont"/>
    <w:link w:val="Heading3"/>
    <w:uiPriority w:val="9"/>
    <w:rsid w:val="00422192"/>
    <w:rPr>
      <w:rFonts w:ascii="Arial" w:eastAsiaTheme="majorEastAsia" w:hAnsi="Arial" w:cstheme="majorBidi"/>
      <w:b/>
      <w:bCs/>
      <w:sz w:val="20"/>
      <w:lang w:val="en-US"/>
    </w:rPr>
  </w:style>
  <w:style w:type="character" w:customStyle="1" w:styleId="Heading4Char">
    <w:name w:val="Heading 4 Char"/>
    <w:basedOn w:val="DefaultParagraphFont"/>
    <w:link w:val="Heading4"/>
    <w:uiPriority w:val="9"/>
    <w:rsid w:val="00422192"/>
    <w:rPr>
      <w:rFonts w:asciiTheme="majorHAnsi" w:eastAsiaTheme="majorEastAsia" w:hAnsiTheme="majorHAnsi" w:cstheme="majorBidi"/>
      <w:b/>
      <w:bCs/>
      <w:i/>
      <w:iCs/>
      <w:color w:val="5B9BD5" w:themeColor="accent1"/>
      <w:sz w:val="20"/>
      <w:lang w:val="en-US"/>
    </w:rPr>
  </w:style>
  <w:style w:type="character" w:customStyle="1" w:styleId="Heading5Char">
    <w:name w:val="Heading 5 Char"/>
    <w:basedOn w:val="DefaultParagraphFont"/>
    <w:link w:val="Heading5"/>
    <w:uiPriority w:val="9"/>
    <w:rsid w:val="00422192"/>
    <w:rPr>
      <w:rFonts w:asciiTheme="majorHAnsi" w:eastAsiaTheme="majorEastAsia" w:hAnsiTheme="majorHAnsi" w:cstheme="majorBidi"/>
      <w:color w:val="1F4D78" w:themeColor="accent1" w:themeShade="7F"/>
      <w:sz w:val="20"/>
      <w:lang w:val="en-US"/>
    </w:rPr>
  </w:style>
  <w:style w:type="character" w:customStyle="1" w:styleId="Heading6Char">
    <w:name w:val="Heading 6 Char"/>
    <w:basedOn w:val="DefaultParagraphFont"/>
    <w:link w:val="Heading6"/>
    <w:uiPriority w:val="9"/>
    <w:rsid w:val="00422192"/>
    <w:rPr>
      <w:rFonts w:asciiTheme="majorHAnsi" w:eastAsiaTheme="majorEastAsia" w:hAnsiTheme="majorHAnsi" w:cstheme="majorBidi"/>
      <w:i/>
      <w:iCs/>
      <w:color w:val="1F4D78" w:themeColor="accent1" w:themeShade="7F"/>
      <w:sz w:val="20"/>
      <w:lang w:val="en-US"/>
    </w:rPr>
  </w:style>
  <w:style w:type="character" w:customStyle="1" w:styleId="Heading7Char">
    <w:name w:val="Heading 7 Char"/>
    <w:basedOn w:val="DefaultParagraphFont"/>
    <w:link w:val="Heading7"/>
    <w:uiPriority w:val="9"/>
    <w:rsid w:val="00422192"/>
    <w:rPr>
      <w:rFonts w:asciiTheme="majorHAnsi" w:eastAsiaTheme="majorEastAsia" w:hAnsiTheme="majorHAnsi" w:cstheme="majorBidi"/>
      <w:i/>
      <w:iCs/>
      <w:color w:val="404040" w:themeColor="text1" w:themeTint="BF"/>
      <w:sz w:val="20"/>
      <w:lang w:val="en-US"/>
    </w:rPr>
  </w:style>
  <w:style w:type="character" w:customStyle="1" w:styleId="Heading8Char">
    <w:name w:val="Heading 8 Char"/>
    <w:basedOn w:val="DefaultParagraphFont"/>
    <w:link w:val="Heading8"/>
    <w:uiPriority w:val="9"/>
    <w:rsid w:val="00422192"/>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422192"/>
    <w:rPr>
      <w:rFonts w:asciiTheme="majorHAnsi" w:eastAsiaTheme="majorEastAsia" w:hAnsiTheme="majorHAnsi" w:cstheme="majorBidi"/>
      <w:i/>
      <w:iCs/>
      <w:color w:val="404040" w:themeColor="text1" w:themeTint="BF"/>
      <w:sz w:val="20"/>
      <w:szCs w:val="20"/>
      <w:lang w:val="en-US"/>
    </w:rPr>
  </w:style>
  <w:style w:type="paragraph" w:styleId="ListParagraph">
    <w:name w:val="List Paragraph"/>
    <w:basedOn w:val="Normal"/>
    <w:uiPriority w:val="34"/>
    <w:qFormat/>
    <w:rsid w:val="00422192"/>
    <w:pPr>
      <w:ind w:left="720"/>
      <w:contextualSpacing/>
      <w:jc w:val="both"/>
    </w:pPr>
    <w:rPr>
      <w:rFonts w:ascii="Arial" w:hAnsi="Arial"/>
      <w:sz w:val="20"/>
    </w:rPr>
  </w:style>
  <w:style w:type="paragraph" w:styleId="Header">
    <w:name w:val="header"/>
    <w:basedOn w:val="Normal"/>
    <w:link w:val="HeaderChar"/>
    <w:uiPriority w:val="99"/>
    <w:unhideWhenUsed/>
    <w:rsid w:val="004221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2192"/>
    <w:rPr>
      <w:lang w:val="en-US"/>
    </w:rPr>
  </w:style>
  <w:style w:type="paragraph" w:styleId="Footer">
    <w:name w:val="footer"/>
    <w:basedOn w:val="Normal"/>
    <w:link w:val="FooterChar"/>
    <w:uiPriority w:val="99"/>
    <w:unhideWhenUsed/>
    <w:rsid w:val="004221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2192"/>
    <w:rPr>
      <w:lang w:val="en-US"/>
    </w:rPr>
  </w:style>
  <w:style w:type="paragraph" w:styleId="NormalWeb">
    <w:name w:val="Normal (Web)"/>
    <w:basedOn w:val="Normal"/>
    <w:uiPriority w:val="99"/>
    <w:unhideWhenUsed/>
    <w:rsid w:val="00422192"/>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59"/>
    <w:rsid w:val="0042219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21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192"/>
    <w:rPr>
      <w:rFonts w:ascii="Tahoma" w:hAnsi="Tahoma" w:cs="Tahoma"/>
      <w:sz w:val="16"/>
      <w:szCs w:val="16"/>
      <w:lang w:val="en-US"/>
    </w:rPr>
  </w:style>
  <w:style w:type="paragraph" w:styleId="Caption">
    <w:name w:val="caption"/>
    <w:basedOn w:val="Normal"/>
    <w:next w:val="Normal"/>
    <w:uiPriority w:val="35"/>
    <w:unhideWhenUsed/>
    <w:qFormat/>
    <w:rsid w:val="00422192"/>
    <w:pPr>
      <w:spacing w:line="240" w:lineRule="auto"/>
      <w:jc w:val="both"/>
    </w:pPr>
    <w:rPr>
      <w:rFonts w:ascii="Arial" w:hAnsi="Arial"/>
      <w:b/>
      <w:bCs/>
      <w:color w:val="5B9BD5" w:themeColor="accent1"/>
      <w:sz w:val="18"/>
      <w:szCs w:val="18"/>
    </w:rPr>
  </w:style>
  <w:style w:type="paragraph" w:styleId="FootnoteText">
    <w:name w:val="footnote text"/>
    <w:basedOn w:val="Normal"/>
    <w:link w:val="FootnoteTextChar"/>
    <w:uiPriority w:val="99"/>
    <w:semiHidden/>
    <w:unhideWhenUsed/>
    <w:rsid w:val="004221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2192"/>
    <w:rPr>
      <w:sz w:val="20"/>
      <w:szCs w:val="20"/>
      <w:lang w:val="en-US"/>
    </w:rPr>
  </w:style>
  <w:style w:type="character" w:styleId="Hyperlink">
    <w:name w:val="Hyperlink"/>
    <w:basedOn w:val="DefaultParagraphFont"/>
    <w:uiPriority w:val="99"/>
    <w:unhideWhenUsed/>
    <w:rsid w:val="00422192"/>
    <w:rPr>
      <w:color w:val="0563C1" w:themeColor="hyperlink"/>
      <w:u w:val="single"/>
    </w:rPr>
  </w:style>
  <w:style w:type="character" w:styleId="Strong">
    <w:name w:val="Strong"/>
    <w:basedOn w:val="DefaultParagraphFont"/>
    <w:uiPriority w:val="22"/>
    <w:qFormat/>
    <w:rsid w:val="00422192"/>
    <w:rPr>
      <w:b/>
      <w:bCs/>
      <w:sz w:val="24"/>
      <w:szCs w:val="24"/>
      <w:bdr w:val="none" w:sz="0" w:space="0" w:color="auto" w:frame="1"/>
      <w:vertAlign w:val="baseline"/>
    </w:rPr>
  </w:style>
  <w:style w:type="paragraph" w:customStyle="1" w:styleId="font8">
    <w:name w:val="font_8"/>
    <w:basedOn w:val="Normal"/>
    <w:rsid w:val="004221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20">
    <w:name w:val="color_20"/>
    <w:basedOn w:val="DefaultParagraphFont"/>
    <w:rsid w:val="00422192"/>
  </w:style>
  <w:style w:type="paragraph" w:styleId="EndnoteText">
    <w:name w:val="endnote text"/>
    <w:basedOn w:val="Normal"/>
    <w:link w:val="EndnoteTextChar"/>
    <w:uiPriority w:val="99"/>
    <w:semiHidden/>
    <w:unhideWhenUsed/>
    <w:rsid w:val="004221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2192"/>
    <w:rPr>
      <w:sz w:val="20"/>
      <w:szCs w:val="20"/>
      <w:lang w:val="en-US"/>
    </w:rPr>
  </w:style>
  <w:style w:type="character" w:customStyle="1" w:styleId="BodyTextChar">
    <w:name w:val="Body Text Char"/>
    <w:aliases w:val="Σώμα κείμενου Char"/>
    <w:basedOn w:val="DefaultParagraphFont"/>
    <w:link w:val="BodyText"/>
    <w:locked/>
    <w:rsid w:val="00422192"/>
    <w:rPr>
      <w:sz w:val="24"/>
      <w:szCs w:val="24"/>
    </w:rPr>
  </w:style>
  <w:style w:type="paragraph" w:styleId="BodyText">
    <w:name w:val="Body Text"/>
    <w:aliases w:val="Σώμα κείμενου"/>
    <w:basedOn w:val="Normal"/>
    <w:link w:val="BodyTextChar"/>
    <w:rsid w:val="00422192"/>
    <w:pPr>
      <w:spacing w:after="120" w:line="240" w:lineRule="auto"/>
    </w:pPr>
    <w:rPr>
      <w:sz w:val="24"/>
      <w:szCs w:val="24"/>
      <w:lang w:val="en-GB"/>
    </w:rPr>
  </w:style>
  <w:style w:type="character" w:customStyle="1" w:styleId="BodyTextChar1">
    <w:name w:val="Body Text Char1"/>
    <w:basedOn w:val="DefaultParagraphFont"/>
    <w:uiPriority w:val="99"/>
    <w:semiHidden/>
    <w:rsid w:val="00422192"/>
    <w:rPr>
      <w:lang w:val="en-US"/>
    </w:rPr>
  </w:style>
  <w:style w:type="character" w:styleId="CommentReference">
    <w:name w:val="annotation reference"/>
    <w:basedOn w:val="DefaultParagraphFont"/>
    <w:uiPriority w:val="99"/>
    <w:semiHidden/>
    <w:unhideWhenUsed/>
    <w:rsid w:val="00422192"/>
    <w:rPr>
      <w:sz w:val="16"/>
      <w:szCs w:val="16"/>
    </w:rPr>
  </w:style>
  <w:style w:type="paragraph" w:styleId="CommentText">
    <w:name w:val="annotation text"/>
    <w:basedOn w:val="Normal"/>
    <w:link w:val="CommentTextChar"/>
    <w:uiPriority w:val="99"/>
    <w:semiHidden/>
    <w:unhideWhenUsed/>
    <w:rsid w:val="00422192"/>
    <w:pPr>
      <w:spacing w:line="240" w:lineRule="auto"/>
    </w:pPr>
    <w:rPr>
      <w:sz w:val="20"/>
      <w:szCs w:val="20"/>
    </w:rPr>
  </w:style>
  <w:style w:type="character" w:customStyle="1" w:styleId="CommentTextChar">
    <w:name w:val="Comment Text Char"/>
    <w:basedOn w:val="DefaultParagraphFont"/>
    <w:link w:val="CommentText"/>
    <w:uiPriority w:val="99"/>
    <w:semiHidden/>
    <w:rsid w:val="00422192"/>
    <w:rPr>
      <w:sz w:val="20"/>
      <w:szCs w:val="20"/>
      <w:lang w:val="en-US"/>
    </w:rPr>
  </w:style>
  <w:style w:type="paragraph" w:styleId="CommentSubject">
    <w:name w:val="annotation subject"/>
    <w:basedOn w:val="CommentText"/>
    <w:next w:val="CommentText"/>
    <w:link w:val="CommentSubjectChar"/>
    <w:uiPriority w:val="99"/>
    <w:semiHidden/>
    <w:unhideWhenUsed/>
    <w:rsid w:val="00422192"/>
    <w:rPr>
      <w:b/>
      <w:bCs/>
    </w:rPr>
  </w:style>
  <w:style w:type="character" w:customStyle="1" w:styleId="CommentSubjectChar">
    <w:name w:val="Comment Subject Char"/>
    <w:basedOn w:val="CommentTextChar"/>
    <w:link w:val="CommentSubject"/>
    <w:uiPriority w:val="99"/>
    <w:semiHidden/>
    <w:rsid w:val="00422192"/>
    <w:rPr>
      <w:b/>
      <w:bCs/>
      <w:sz w:val="20"/>
      <w:szCs w:val="20"/>
      <w:lang w:val="en-US"/>
    </w:rPr>
  </w:style>
  <w:style w:type="character" w:styleId="Emphasis">
    <w:name w:val="Emphasis"/>
    <w:basedOn w:val="DefaultParagraphFont"/>
    <w:uiPriority w:val="20"/>
    <w:qFormat/>
    <w:rsid w:val="00422192"/>
    <w:rPr>
      <w:i/>
      <w:iCs/>
      <w:sz w:val="24"/>
      <w:szCs w:val="24"/>
      <w:bdr w:val="none" w:sz="0" w:space="0" w:color="auto" w:frame="1"/>
      <w:vertAlign w:val="baseline"/>
    </w:rPr>
  </w:style>
  <w:style w:type="paragraph" w:styleId="Revision">
    <w:name w:val="Revision"/>
    <w:hidden/>
    <w:uiPriority w:val="99"/>
    <w:semiHidden/>
    <w:rsid w:val="00422192"/>
    <w:pPr>
      <w:spacing w:after="0" w:line="240" w:lineRule="auto"/>
    </w:pPr>
    <w:rPr>
      <w:lang w:val="en-US"/>
    </w:rPr>
  </w:style>
  <w:style w:type="paragraph" w:customStyle="1" w:styleId="TableContents">
    <w:name w:val="Table Contents"/>
    <w:basedOn w:val="Normal"/>
    <w:rsid w:val="00422192"/>
    <w:pPr>
      <w:suppressAutoHyphens/>
    </w:pPr>
    <w:rPr>
      <w:rFonts w:ascii="Calibri" w:eastAsia="SimSun"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c.zagaria@vu.nl"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vu.local\Home\cza250\Documents\Hercules_Lesvos\outcome_documents\LandscapePreference\LP_63_ord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manualLayout>
          <c:layoutTarget val="inner"/>
          <c:xMode val="edge"/>
          <c:yMode val="edge"/>
          <c:x val="6.3208471773398264E-2"/>
          <c:y val="6.2947067238912732E-2"/>
          <c:w val="0.92096839773641015"/>
          <c:h val="0.64137248938303315"/>
        </c:manualLayout>
      </c:layout>
      <c:barChart>
        <c:barDir val="col"/>
        <c:grouping val="clustered"/>
        <c:varyColors val="0"/>
        <c:ser>
          <c:idx val="0"/>
          <c:order val="0"/>
          <c:tx>
            <c:strRef>
              <c:f>figure_set1_2!$R$16</c:f>
              <c:strCache>
                <c:ptCount val="1"/>
                <c:pt idx="0">
                  <c:v>Set 1 Frequency</c:v>
                </c:pt>
              </c:strCache>
            </c:strRef>
          </c:tx>
          <c:invertIfNegative val="0"/>
          <c:cat>
            <c:strRef>
              <c:f>figure_set1_2!$Q$17:$Q$21</c:f>
              <c:strCache>
                <c:ptCount val="5"/>
                <c:pt idx="0">
                  <c:v>Cultivated [20 - 22]</c:v>
                </c:pt>
                <c:pt idx="1">
                  <c:v>Cultivated - weak [23 - 24]</c:v>
                </c:pt>
                <c:pt idx="2">
                  <c:v>Fuzzy [25]</c:v>
                </c:pt>
                <c:pt idx="3">
                  <c:v>Abandoned - weak [26 - 27]</c:v>
                </c:pt>
                <c:pt idx="4">
                  <c:v>Abandoned [28 - 30]</c:v>
                </c:pt>
              </c:strCache>
            </c:strRef>
          </c:cat>
          <c:val>
            <c:numRef>
              <c:f>figure_set1_2!$R$17:$R$21</c:f>
              <c:numCache>
                <c:formatCode>General</c:formatCode>
                <c:ptCount val="5"/>
                <c:pt idx="0">
                  <c:v>44.4</c:v>
                </c:pt>
                <c:pt idx="1">
                  <c:v>19.100000000000001</c:v>
                </c:pt>
                <c:pt idx="2">
                  <c:v>0</c:v>
                </c:pt>
                <c:pt idx="3">
                  <c:v>12.7</c:v>
                </c:pt>
                <c:pt idx="4" formatCode="0.0">
                  <c:v>23.9</c:v>
                </c:pt>
              </c:numCache>
            </c:numRef>
          </c:val>
        </c:ser>
        <c:ser>
          <c:idx val="1"/>
          <c:order val="1"/>
          <c:tx>
            <c:strRef>
              <c:f>figure_set1_2!$S$16</c:f>
              <c:strCache>
                <c:ptCount val="1"/>
                <c:pt idx="0">
                  <c:v>Set 2 Frequency </c:v>
                </c:pt>
              </c:strCache>
            </c:strRef>
          </c:tx>
          <c:invertIfNegative val="0"/>
          <c:cat>
            <c:strRef>
              <c:f>figure_set1_2!$Q$17:$Q$21</c:f>
              <c:strCache>
                <c:ptCount val="5"/>
                <c:pt idx="0">
                  <c:v>Cultivated [20 - 22]</c:v>
                </c:pt>
                <c:pt idx="1">
                  <c:v>Cultivated - weak [23 - 24]</c:v>
                </c:pt>
                <c:pt idx="2">
                  <c:v>Fuzzy [25]</c:v>
                </c:pt>
                <c:pt idx="3">
                  <c:v>Abandoned - weak [26 - 27]</c:v>
                </c:pt>
                <c:pt idx="4">
                  <c:v>Abandoned [28 - 30]</c:v>
                </c:pt>
              </c:strCache>
            </c:strRef>
          </c:cat>
          <c:val>
            <c:numRef>
              <c:f>figure_set1_2!$S$17:$S$21</c:f>
              <c:numCache>
                <c:formatCode>General</c:formatCode>
                <c:ptCount val="5"/>
                <c:pt idx="0">
                  <c:v>49.2</c:v>
                </c:pt>
                <c:pt idx="1">
                  <c:v>19</c:v>
                </c:pt>
                <c:pt idx="2">
                  <c:v>7.9</c:v>
                </c:pt>
                <c:pt idx="3">
                  <c:v>8</c:v>
                </c:pt>
                <c:pt idx="4">
                  <c:v>15.9</c:v>
                </c:pt>
              </c:numCache>
            </c:numRef>
          </c:val>
        </c:ser>
        <c:dLbls>
          <c:showLegendKey val="0"/>
          <c:showVal val="0"/>
          <c:showCatName val="0"/>
          <c:showSerName val="0"/>
          <c:showPercent val="0"/>
          <c:showBubbleSize val="0"/>
        </c:dLbls>
        <c:gapWidth val="150"/>
        <c:axId val="61565568"/>
        <c:axId val="61567744"/>
      </c:barChart>
      <c:catAx>
        <c:axId val="61565568"/>
        <c:scaling>
          <c:orientation val="minMax"/>
        </c:scaling>
        <c:delete val="0"/>
        <c:axPos val="b"/>
        <c:title>
          <c:tx>
            <c:rich>
              <a:bodyPr/>
              <a:lstStyle/>
              <a:p>
                <a:pPr>
                  <a:defRPr/>
                </a:pPr>
                <a:r>
                  <a:rPr lang="en-US"/>
                  <a:t>Classified</a:t>
                </a:r>
                <a:r>
                  <a:rPr lang="en-US" baseline="0"/>
                  <a:t> ranked sequence preference score</a:t>
                </a:r>
                <a:r>
                  <a:rPr lang="en-US"/>
                  <a:t> [20-30]</a:t>
                </a:r>
              </a:p>
            </c:rich>
          </c:tx>
          <c:layout>
            <c:manualLayout>
              <c:xMode val="edge"/>
              <c:yMode val="edge"/>
              <c:x val="0.29798483556029409"/>
              <c:y val="0.83959290802935349"/>
            </c:manualLayout>
          </c:layout>
          <c:overlay val="0"/>
        </c:title>
        <c:numFmt formatCode="General" sourceLinked="0"/>
        <c:majorTickMark val="out"/>
        <c:minorTickMark val="none"/>
        <c:tickLblPos val="nextTo"/>
        <c:crossAx val="61567744"/>
        <c:crosses val="autoZero"/>
        <c:auto val="1"/>
        <c:lblAlgn val="ctr"/>
        <c:lblOffset val="100"/>
        <c:noMultiLvlLbl val="0"/>
      </c:catAx>
      <c:valAx>
        <c:axId val="61567744"/>
        <c:scaling>
          <c:orientation val="minMax"/>
        </c:scaling>
        <c:delete val="0"/>
        <c:axPos val="l"/>
        <c:majorGridlines/>
        <c:title>
          <c:tx>
            <c:rich>
              <a:bodyPr rot="-5400000" vert="horz"/>
              <a:lstStyle/>
              <a:p>
                <a:pPr>
                  <a:defRPr/>
                </a:pPr>
                <a:r>
                  <a:rPr lang="en-US"/>
                  <a:t>Frequency (%)</a:t>
                </a:r>
              </a:p>
            </c:rich>
          </c:tx>
          <c:overlay val="0"/>
        </c:title>
        <c:numFmt formatCode="General" sourceLinked="1"/>
        <c:majorTickMark val="out"/>
        <c:minorTickMark val="none"/>
        <c:tickLblPos val="nextTo"/>
        <c:crossAx val="61565568"/>
        <c:crosses val="autoZero"/>
        <c:crossBetween val="between"/>
      </c:valAx>
    </c:plotArea>
    <c:legend>
      <c:legendPos val="b"/>
      <c:overlay val="0"/>
    </c:legend>
    <c:plotVisOnly val="1"/>
    <c:dispBlanksAs val="gap"/>
    <c:showDLblsOverMax val="0"/>
  </c:chart>
  <c:spPr>
    <a:ln>
      <a:noFill/>
    </a:ln>
  </c:spPr>
  <c:txPr>
    <a:bodyPr/>
    <a:lstStyle/>
    <a:p>
      <a:pPr>
        <a:defRPr sz="900">
          <a:latin typeface="Arial" panose="020B0604020202020204" pitchFamily="34" charset="0"/>
          <a:cs typeface="Arial" panose="020B0604020202020204" pitchFamily="34"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143C4-977F-4079-A4D6-948AE099A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7662</Words>
  <Characters>43678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Vrije Universiteit Amsterdam</Company>
  <LinksUpToDate>false</LinksUpToDate>
  <CharactersWithSpaces>51238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 Zagaria</dc:creator>
  <cp:lastModifiedBy>Zagaria, C.</cp:lastModifiedBy>
  <cp:revision>2</cp:revision>
  <dcterms:created xsi:type="dcterms:W3CDTF">2018-01-22T16:36:00Z</dcterms:created>
  <dcterms:modified xsi:type="dcterms:W3CDTF">2018-01-22T16:36:00Z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e61eeee4-58d7-31c6-ae11-291e9c7c8303</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