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300" w:rsidRPr="00312300" w:rsidRDefault="00312300" w:rsidP="00312300">
      <w:pPr>
        <w:pStyle w:val="ListParagraph"/>
        <w:ind w:left="360" w:hanging="360"/>
        <w:outlineLvl w:val="0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312300">
        <w:rPr>
          <w:rFonts w:ascii="Times New Roman" w:hAnsi="Times New Roman" w:cs="Times New Roman"/>
          <w:b/>
          <w:sz w:val="20"/>
          <w:szCs w:val="20"/>
          <w:lang w:val="en-GB"/>
        </w:rPr>
        <w:t>Supplementary Material</w:t>
      </w:r>
    </w:p>
    <w:p w:rsidR="00312300" w:rsidRPr="00312300" w:rsidRDefault="00312300" w:rsidP="00312300">
      <w:pPr>
        <w:pStyle w:val="Caption"/>
        <w:rPr>
          <w:rFonts w:ascii="Times New Roman" w:hAnsi="Times New Roman" w:cs="Times New Roman"/>
          <w:i w:val="0"/>
          <w:sz w:val="20"/>
          <w:szCs w:val="20"/>
          <w:lang w:val="en-GB"/>
        </w:rPr>
      </w:pPr>
      <w:r w:rsidRPr="00312300"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Information-link distribution among participants in </w:t>
      </w:r>
      <w:r>
        <w:rPr>
          <w:rFonts w:ascii="Times New Roman" w:hAnsi="Times New Roman" w:cs="Times New Roman"/>
          <w:i w:val="0"/>
          <w:sz w:val="20"/>
          <w:szCs w:val="20"/>
          <w:lang w:val="en-GB"/>
        </w:rPr>
        <w:t>intervention C</w:t>
      </w:r>
      <w:r w:rsidRPr="00312300"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 environmental training (red) and among the members of the control group (black). Kernel density curves were computed using Gaussian windows with 0.4 smoothing bandwidth.</w:t>
      </w:r>
    </w:p>
    <w:p w:rsidR="003C6C25" w:rsidRDefault="00312300">
      <w:bookmarkStart w:id="0" w:name="_GoBack"/>
      <w:r>
        <w:rPr>
          <w:noProof/>
        </w:rPr>
        <w:drawing>
          <wp:inline distT="0" distB="0" distL="0" distR="0" wp14:anchorId="2AAC0200" wp14:editId="0B1F6A40">
            <wp:extent cx="5731510" cy="418719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12300" w:rsidRPr="00312300" w:rsidRDefault="00312300" w:rsidP="00312300">
      <w:pPr>
        <w:outlineLvl w:val="0"/>
        <w:rPr>
          <w:rFonts w:ascii="Times New Roman" w:hAnsi="Times New Roman" w:cs="Times New Roman"/>
          <w:sz w:val="20"/>
          <w:szCs w:val="20"/>
          <w:lang w:val="en-GB"/>
        </w:rPr>
      </w:pPr>
      <w:r w:rsidRPr="00312300">
        <w:rPr>
          <w:rFonts w:ascii="Times New Roman" w:hAnsi="Times New Roman" w:cs="Times New Roman"/>
          <w:sz w:val="20"/>
          <w:szCs w:val="20"/>
          <w:lang w:val="en-GB"/>
        </w:rPr>
        <w:t xml:space="preserve">The intervention created some popular advisors with high indegrees, as depicted in red on the right-hand side of the indegree diagram. However, and remarkably, the intervention has also lifted the bottom of the distribution by decreasing the proportion of zero-indegree individuals on the left-hand side of the diagram. </w:t>
      </w:r>
    </w:p>
    <w:p w:rsidR="00312300" w:rsidRPr="00312300" w:rsidRDefault="00312300">
      <w:pPr>
        <w:rPr>
          <w:lang w:val="en-GB"/>
        </w:rPr>
      </w:pPr>
    </w:p>
    <w:sectPr w:rsidR="00312300" w:rsidRPr="003123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00"/>
    <w:rsid w:val="000C030C"/>
    <w:rsid w:val="001E5376"/>
    <w:rsid w:val="00312300"/>
    <w:rsid w:val="00C5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7CB1CE-1288-44E1-B587-7522F88B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123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2300"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2300"/>
    <w:rPr>
      <w:rFonts w:ascii="Tahoma" w:hAnsi="Tahoma" w:cs="Tahoma"/>
      <w:sz w:val="16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3123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30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2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Matous</dc:creator>
  <cp:keywords/>
  <dc:description/>
  <cp:lastModifiedBy>Petr Matous</cp:lastModifiedBy>
  <cp:revision>1</cp:revision>
  <dcterms:created xsi:type="dcterms:W3CDTF">2017-06-22T07:13:00Z</dcterms:created>
  <dcterms:modified xsi:type="dcterms:W3CDTF">2017-06-22T07:24:00Z</dcterms:modified>
</cp:coreProperties>
</file>