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15C44" w14:textId="5DE312F3" w:rsidR="00EA28C9" w:rsidRDefault="00A01A8E" w:rsidP="009C40C6">
      <w:pPr>
        <w:pStyle w:val="berschrift1"/>
        <w:rPr>
          <w:rFonts w:cstheme="majorHAnsi"/>
          <w:color w:val="000000" w:themeColor="text1"/>
          <w:lang w:val="en-GB" w:eastAsia="de-AT"/>
        </w:rPr>
      </w:pPr>
      <w:r w:rsidRPr="009C40C6">
        <w:rPr>
          <w:rFonts w:cstheme="majorHAnsi"/>
          <w:color w:val="000000" w:themeColor="text1"/>
          <w:lang w:val="en-GB" w:eastAsia="de-AT"/>
        </w:rPr>
        <w:t>Supplementary Material A</w:t>
      </w:r>
      <w:r w:rsidR="009C40C6">
        <w:rPr>
          <w:rFonts w:cstheme="majorHAnsi"/>
          <w:color w:val="000000" w:themeColor="text1"/>
          <w:lang w:val="en-GB" w:eastAsia="de-AT"/>
        </w:rPr>
        <w:t xml:space="preserve">: </w:t>
      </w:r>
      <w:r w:rsidR="004F30CC" w:rsidRPr="009C40C6">
        <w:rPr>
          <w:rFonts w:cstheme="majorHAnsi"/>
          <w:color w:val="000000" w:themeColor="text1"/>
          <w:lang w:val="en-GB" w:eastAsia="de-AT"/>
        </w:rPr>
        <w:t>The transformative climate governance capacities framework: c</w:t>
      </w:r>
      <w:r w:rsidR="005411F6" w:rsidRPr="009C40C6">
        <w:rPr>
          <w:rFonts w:cstheme="majorHAnsi"/>
          <w:color w:val="000000" w:themeColor="text1"/>
          <w:lang w:val="en-GB" w:eastAsia="de-AT"/>
        </w:rPr>
        <w:t>apacities, conditions and activities for transformative climate governance</w:t>
      </w:r>
    </w:p>
    <w:p w14:paraId="6B5AECAF" w14:textId="77777777" w:rsidR="009C40C6" w:rsidRPr="009C40C6" w:rsidRDefault="009C40C6" w:rsidP="009C40C6">
      <w:pPr>
        <w:rPr>
          <w:lang w:val="en-GB" w:eastAsia="de-AT"/>
        </w:rPr>
      </w:pPr>
    </w:p>
    <w:tbl>
      <w:tblPr>
        <w:tblStyle w:val="Tabellenraster"/>
        <w:tblW w:w="8818" w:type="dxa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05"/>
        <w:gridCol w:w="6095"/>
      </w:tblGrid>
      <w:tr w:rsidR="009F2F71" w:rsidRPr="009F2F71" w14:paraId="7A52B07F" w14:textId="77777777" w:rsidTr="00020B0A">
        <w:trPr>
          <w:trHeight w:val="503"/>
        </w:trPr>
        <w:tc>
          <w:tcPr>
            <w:tcW w:w="1418" w:type="dxa"/>
          </w:tcPr>
          <w:p w14:paraId="374FDB37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  <w:r w:rsidRPr="009F2F71"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  <w:t>Governance capacity</w:t>
            </w:r>
          </w:p>
        </w:tc>
        <w:tc>
          <w:tcPr>
            <w:tcW w:w="1305" w:type="dxa"/>
          </w:tcPr>
          <w:p w14:paraId="0D9998D0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  <w:r w:rsidRPr="009F2F71"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  <w:t>Condition</w:t>
            </w:r>
          </w:p>
        </w:tc>
        <w:tc>
          <w:tcPr>
            <w:tcW w:w="6095" w:type="dxa"/>
          </w:tcPr>
          <w:p w14:paraId="58882726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  <w:r w:rsidRPr="009F2F71"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  <w:t>Activities and supporting sources</w:t>
            </w:r>
          </w:p>
        </w:tc>
      </w:tr>
      <w:tr w:rsidR="009F2F71" w:rsidRPr="002502E7" w14:paraId="52C63EC5" w14:textId="77777777" w:rsidTr="00020B0A">
        <w:trPr>
          <w:trHeight w:val="206"/>
        </w:trPr>
        <w:tc>
          <w:tcPr>
            <w:tcW w:w="1418" w:type="dxa"/>
            <w:vMerge w:val="restart"/>
          </w:tcPr>
          <w:p w14:paraId="5149F438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  <w:r w:rsidRPr="009F2F71"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  <w:t>Stewarding capacity</w:t>
            </w:r>
          </w:p>
        </w:tc>
        <w:tc>
          <w:tcPr>
            <w:tcW w:w="1305" w:type="dxa"/>
          </w:tcPr>
          <w:p w14:paraId="1D2ADA65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Generating knowledge about system dynamics</w:t>
            </w:r>
          </w:p>
        </w:tc>
        <w:tc>
          <w:tcPr>
            <w:tcW w:w="6095" w:type="dxa"/>
            <w:vAlign w:val="center"/>
          </w:tcPr>
          <w:p w14:paraId="10090433" w14:textId="790C8A21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Developing models of feedback and how systems respond to change and disturbances across scales, sectors and time (Walker et al. 2009; Bettini et al. 2015; Chapin et al. 2010; Friend et al</w:t>
            </w:r>
            <w:r w:rsidR="001F67D0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. 2014; </w:t>
            </w:r>
            <w:proofErr w:type="spellStart"/>
            <w:r w:rsidR="001F67D0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Folke</w:t>
            </w:r>
            <w:proofErr w:type="spellEnd"/>
            <w:r w:rsidR="001F67D0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2003; 2005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44F2D226" w14:textId="52C0FACB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Integrating different forms/sources of knowledge and understanding (e.g. scientific and indigenous knowledge) (Chapin et al. 2010;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Folke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2003; 2005;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Tàbara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2017)</w:t>
            </w:r>
          </w:p>
          <w:p w14:paraId="1D90B040" w14:textId="7564963E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Identifying </w:t>
            </w:r>
            <w:r w:rsidR="00544AC9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and communicating 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sources of uncertainty/coping with informational uncertainty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Lebel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2006;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Folke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2003; 2005; Kates et al. 2012; Lonsdale et al. 2015)</w:t>
            </w:r>
          </w:p>
        </w:tc>
      </w:tr>
      <w:tr w:rsidR="009F2F71" w:rsidRPr="002502E7" w14:paraId="45E91410" w14:textId="77777777" w:rsidTr="00020B0A">
        <w:trPr>
          <w:trHeight w:val="75"/>
        </w:trPr>
        <w:tc>
          <w:tcPr>
            <w:tcW w:w="1418" w:type="dxa"/>
            <w:vMerge/>
          </w:tcPr>
          <w:p w14:paraId="1A62FC43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62745102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Strengthening self-organisation </w:t>
            </w:r>
          </w:p>
        </w:tc>
        <w:tc>
          <w:tcPr>
            <w:tcW w:w="6095" w:type="dxa"/>
            <w:vAlign w:val="center"/>
          </w:tcPr>
          <w:p w14:paraId="23549C2F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Creating decentralised and nested institutions and social networks across governance scales that fit to social and ecological contexts and have multiple centres of power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Lebel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2006; Gupta et al. 2010; Chaffin et al. 2014; Dietz et al. 2003)</w:t>
            </w:r>
          </w:p>
          <w:p w14:paraId="7FF88479" w14:textId="4F0F546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Creating open and simple institutions and rules (e.g. rules-of-thumb) </w:t>
            </w:r>
            <w:r w:rsidR="00826D63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that nurture diversity and </w:t>
            </w:r>
            <w:r w:rsidR="001F67D0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redundancy</w:t>
            </w:r>
            <w:r w:rsidR="00826D63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to enable flexible patterns of behaviours and adaptation of rul</w:t>
            </w:r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es if needed (Dietz et al. 2003;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Folke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2003</w:t>
            </w:r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Bettini et al. 2015; </w:t>
            </w:r>
            <w:proofErr w:type="spellStart"/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Torabi</w:t>
            </w:r>
            <w:proofErr w:type="spellEnd"/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376B4CB6" w14:textId="77777777" w:rsid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Ensure inclusive dialogue and participation</w:t>
            </w:r>
            <w:r w:rsidR="00826D63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enhance awareness of risks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, responsibility sharing power balance among in</w:t>
            </w:r>
            <w:r w:rsidR="002502E7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terest groups (</w:t>
            </w:r>
            <w:proofErr w:type="spellStart"/>
            <w:r w:rsidR="002502E7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Folke</w:t>
            </w:r>
            <w:proofErr w:type="spellEnd"/>
            <w:r w:rsidR="002502E7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2003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Dietz et al. 2003) </w:t>
            </w:r>
          </w:p>
          <w:p w14:paraId="5287FC5B" w14:textId="0C6401E7" w:rsidR="006F469C" w:rsidRPr="009F2F71" w:rsidRDefault="006F469C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Clarifying responsibilities and authorities across scales for cohesion and integration between administrative, legislative and regulative frameworks (Koop et al. 2017;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Keskitalo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2016;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Fidelman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2013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</w:tc>
      </w:tr>
      <w:tr w:rsidR="009F2F71" w:rsidRPr="002502E7" w14:paraId="61619DCB" w14:textId="77777777" w:rsidTr="00020B0A">
        <w:trPr>
          <w:trHeight w:val="262"/>
        </w:trPr>
        <w:tc>
          <w:tcPr>
            <w:tcW w:w="1418" w:type="dxa"/>
            <w:vMerge/>
          </w:tcPr>
          <w:p w14:paraId="19B37DF6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15F3F92C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Monitoring and continuous learning</w:t>
            </w:r>
          </w:p>
        </w:tc>
        <w:tc>
          <w:tcPr>
            <w:tcW w:w="6095" w:type="dxa"/>
          </w:tcPr>
          <w:p w14:paraId="4BAAC64E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Iteratively evaluating how the system responds to disturbances and the effects of management (Walker et al. 2009; Chapin et al. 2010;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Folke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2005; Gupta et al. 2010)</w:t>
            </w:r>
          </w:p>
          <w:p w14:paraId="71867673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Building a collective social memory of experience for linking past experiences with present and future, improving routines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Folke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2005; Walker et al. 2009; Gupta et al. 2010)</w:t>
            </w:r>
          </w:p>
          <w:p w14:paraId="4E7B0AFE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Systematically revisit and question underlying assumptions and objectives (Walker et al. 2009; Kates et al. 2012;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Lebel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2006)</w:t>
            </w:r>
          </w:p>
        </w:tc>
      </w:tr>
      <w:tr w:rsidR="009F2F71" w:rsidRPr="002502E7" w14:paraId="6CD20FA9" w14:textId="77777777" w:rsidTr="00020B0A">
        <w:trPr>
          <w:trHeight w:val="150"/>
        </w:trPr>
        <w:tc>
          <w:tcPr>
            <w:tcW w:w="1418" w:type="dxa"/>
            <w:vMerge w:val="restart"/>
          </w:tcPr>
          <w:p w14:paraId="78EF67AF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  <w:r w:rsidRPr="009F2F71"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  <w:t>Unlocking capacity</w:t>
            </w:r>
          </w:p>
        </w:tc>
        <w:tc>
          <w:tcPr>
            <w:tcW w:w="1305" w:type="dxa"/>
          </w:tcPr>
          <w:p w14:paraId="136996D8" w14:textId="4197483D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Revealing </w:t>
            </w:r>
            <w:r w:rsidR="0046165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unsustainable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path-dependency</w:t>
            </w:r>
            <w:r w:rsidR="0046165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mal-adaptation</w:t>
            </w:r>
          </w:p>
        </w:tc>
        <w:tc>
          <w:tcPr>
            <w:tcW w:w="6095" w:type="dxa"/>
          </w:tcPr>
          <w:p w14:paraId="54CC9018" w14:textId="0316059A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Identifying sources and responsibilities for undesirable side-effects, (market, political etc.) failures and maladaptation, monitoring trends in stressors and impacts (Burch and Robinson 2007;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Meadowcroft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2009; Walker et al. 2009; Chapin et al. 2010;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Lebel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2009)</w:t>
            </w:r>
          </w:p>
          <w:p w14:paraId="46C0C854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Monitoring trends in stressors, vulnerability analyses, identifying areas with higher/increasing risks and how changes affect different needs and interests (Marshall et al. 2012)</w:t>
            </w:r>
          </w:p>
        </w:tc>
      </w:tr>
      <w:tr w:rsidR="009F2F71" w:rsidRPr="002502E7" w14:paraId="0EB98DB2" w14:textId="77777777" w:rsidTr="00020B0A">
        <w:trPr>
          <w:trHeight w:val="94"/>
        </w:trPr>
        <w:tc>
          <w:tcPr>
            <w:tcW w:w="1418" w:type="dxa"/>
            <w:vMerge/>
          </w:tcPr>
          <w:p w14:paraId="51AFBBBB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5DC1E028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Undermining vested interests and incentive structures </w:t>
            </w:r>
          </w:p>
        </w:tc>
        <w:tc>
          <w:tcPr>
            <w:tcW w:w="6095" w:type="dxa"/>
          </w:tcPr>
          <w:p w14:paraId="71C13598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Withdrawing support for regime technologies, structures and practices (Bettini et al.,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Geels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, 2014;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Kivimaa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Kern 2017;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Hermwille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2017)</w:t>
            </w:r>
          </w:p>
          <w:p w14:paraId="1C320AF9" w14:textId="68C99F1D" w:rsidR="009F2F71" w:rsidRPr="009F2F71" w:rsidRDefault="00826D63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Adjusting legal rights and responsibilities to create</w:t>
            </w:r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(dis)incentives and control policies (</w:t>
            </w:r>
            <w:proofErr w:type="spellStart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Kivimaa</w:t>
            </w:r>
            <w:proofErr w:type="spellEnd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Kern 2017; </w:t>
            </w:r>
            <w:proofErr w:type="spellStart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Rockström</w:t>
            </w:r>
            <w:proofErr w:type="spellEnd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2017; </w:t>
            </w:r>
            <w:proofErr w:type="spellStart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Hermwille</w:t>
            </w:r>
            <w:proofErr w:type="spellEnd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2017; </w:t>
            </w:r>
            <w:proofErr w:type="spellStart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Meadowcroft</w:t>
            </w:r>
            <w:proofErr w:type="spellEnd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2009)</w:t>
            </w:r>
          </w:p>
          <w:p w14:paraId="7345D5D2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Breaking up existing actor networks, replacement of key actors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Kivimaa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Kern 2016)</w:t>
            </w:r>
          </w:p>
          <w:p w14:paraId="5928D67E" w14:textId="7D346918" w:rsidR="009F2F71" w:rsidRPr="009F2F71" w:rsidRDefault="00826D63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</w:t>
            </w:r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vest in human and financial capital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that underlie regime structures</w:t>
            </w:r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</w:t>
            </w:r>
            <w:proofErr w:type="spellStart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Kivimaa</w:t>
            </w:r>
            <w:proofErr w:type="spellEnd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Kern 2016; </w:t>
            </w:r>
            <w:proofErr w:type="spellStart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Hermwille</w:t>
            </w:r>
            <w:proofErr w:type="spellEnd"/>
            <w:r w:rsidR="009F2F71"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2017)</w:t>
            </w:r>
          </w:p>
        </w:tc>
      </w:tr>
      <w:tr w:rsidR="009F2F71" w:rsidRPr="002502E7" w14:paraId="736B4C2B" w14:textId="77777777" w:rsidTr="00020B0A">
        <w:trPr>
          <w:trHeight w:val="274"/>
        </w:trPr>
        <w:tc>
          <w:tcPr>
            <w:tcW w:w="1418" w:type="dxa"/>
            <w:vMerge/>
          </w:tcPr>
          <w:p w14:paraId="7F7DAB0B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1317CCD8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Breaking open resistance to change</w:t>
            </w:r>
          </w:p>
        </w:tc>
        <w:tc>
          <w:tcPr>
            <w:tcW w:w="6095" w:type="dxa"/>
          </w:tcPr>
          <w:p w14:paraId="131A3A16" w14:textId="5F251F30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Fostering political willingness and public awareness for change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Kivimaa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Ker</w:t>
            </w:r>
            <w:r w:rsidR="0059585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 2016; Burch and Robinson 2007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703319A2" w14:textId="56924695" w:rsidR="00826D63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Developing and strengthening (political) counter-movements and support networks (Bettini et al.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Geels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, 2014;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Loorbach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2014)</w:t>
            </w:r>
          </w:p>
        </w:tc>
      </w:tr>
      <w:tr w:rsidR="009F2F71" w:rsidRPr="002502E7" w14:paraId="5947B349" w14:textId="77777777" w:rsidTr="00020B0A">
        <w:trPr>
          <w:trHeight w:val="1113"/>
        </w:trPr>
        <w:tc>
          <w:tcPr>
            <w:tcW w:w="1418" w:type="dxa"/>
            <w:vMerge w:val="restart"/>
          </w:tcPr>
          <w:p w14:paraId="7655F23F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  <w:r w:rsidRPr="009F2F71"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  <w:t>Transformative capacity</w:t>
            </w:r>
          </w:p>
        </w:tc>
        <w:tc>
          <w:tcPr>
            <w:tcW w:w="1305" w:type="dxa"/>
          </w:tcPr>
          <w:p w14:paraId="5A3B58FD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Enabling novelty creation</w:t>
            </w:r>
          </w:p>
        </w:tc>
        <w:tc>
          <w:tcPr>
            <w:tcW w:w="6095" w:type="dxa"/>
          </w:tcPr>
          <w:p w14:paraId="31D1D6B9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Developing, testing and experimenting with new paradigms, practices, processes (Raven et al. 2010;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Loorbach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2012;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Kivimaa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2015; Westley et al. 2013; Olsson et al. 2006)</w:t>
            </w:r>
          </w:p>
          <w:p w14:paraId="5A2757DD" w14:textId="241FE141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Providing protected and informal spaces to nurture innovation (</w:t>
            </w:r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Smith and Raven 2012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Sengers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Raven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Loorbach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2012)</w:t>
            </w:r>
          </w:p>
          <w:p w14:paraId="324AB9A1" w14:textId="77777777" w:rsid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Supporting and creating informal and heterogeneous (shadow) networks that develop and test innovation and experiments (Olsson et al. 2006; Westley et al. 2013; Raven et al. 2010;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Loorbach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2012)</w:t>
            </w:r>
          </w:p>
          <w:p w14:paraId="0C84AF59" w14:textId="77C010E7" w:rsidR="006F469C" w:rsidRPr="009F2F71" w:rsidRDefault="006F469C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Flexibly interpreting or temporarily lifting administrative and regulative frameworks (Bettini et al. 2015)</w:t>
            </w:r>
          </w:p>
        </w:tc>
      </w:tr>
      <w:tr w:rsidR="009F2F71" w:rsidRPr="002502E7" w14:paraId="4B12A752" w14:textId="77777777" w:rsidTr="00020B0A">
        <w:trPr>
          <w:trHeight w:val="200"/>
        </w:trPr>
        <w:tc>
          <w:tcPr>
            <w:tcW w:w="1418" w:type="dxa"/>
            <w:vMerge/>
          </w:tcPr>
          <w:p w14:paraId="2EB5DC13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11C8959A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Increasing visibility of novelty </w:t>
            </w:r>
          </w:p>
        </w:tc>
        <w:tc>
          <w:tcPr>
            <w:tcW w:w="6095" w:type="dxa"/>
          </w:tcPr>
          <w:p w14:paraId="57200079" w14:textId="15F4BC3E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Creating forging alliances and advocacy networks (Moore and Westley 2011; Olsson et al. 2006</w:t>
            </w:r>
            <w:r w:rsidR="00826D63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</w:t>
            </w:r>
            <w:proofErr w:type="spellStart"/>
            <w:r w:rsidR="00826D63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="00826D63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</w:t>
            </w:r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; Smith and Raven 2012; Brown et al. 2013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01BEFF66" w14:textId="09F359C2" w:rsid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Creating internal support within an organisation through political l</w:t>
            </w:r>
            <w:r w:rsidR="001F67D0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eadership (den </w:t>
            </w:r>
            <w:proofErr w:type="spellStart"/>
            <w:r w:rsidR="001F67D0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 w:rsidR="001F67D0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</w:t>
            </w:r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</w:t>
            </w:r>
            <w:proofErr w:type="spellStart"/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Wamsler</w:t>
            </w:r>
            <w:proofErr w:type="spellEnd"/>
            <w:r w:rsidR="006F469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2015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7336CFDA" w14:textId="79499CF2" w:rsidR="002276B3" w:rsidRDefault="002276B3" w:rsidP="002C12EE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howcasing innovation as ways for achieving shared future visions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new narratives and linking to global discourses</w:t>
            </w:r>
            <w:r w:rsidR="002C12E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obtain societal and political support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Bulkeley</w:t>
            </w:r>
            <w:proofErr w:type="spellEnd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2016; </w:t>
            </w:r>
            <w:proofErr w:type="spellStart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2012; 2016;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Brown et al. 2013; Smith and Raven 2012</w:t>
            </w:r>
            <w:r w:rsidR="002C12E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</w:t>
            </w:r>
            <w:proofErr w:type="spellStart"/>
            <w:r w:rsidR="002C12E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Ehnert</w:t>
            </w:r>
            <w:proofErr w:type="spellEnd"/>
            <w:r w:rsidR="002C12E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2018; 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Bettini et al. 2015; den </w:t>
            </w:r>
            <w:proofErr w:type="spellStart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2014)</w:t>
            </w:r>
          </w:p>
          <w:p w14:paraId="3B15B6CD" w14:textId="18D0CFA4" w:rsidR="002276B3" w:rsidRPr="009F2F71" w:rsidRDefault="002276B3" w:rsidP="002276B3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Showcasing (e.g. resource, social, institutional) synergies from novelty to generate support (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2014;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Ehnert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2018)</w:t>
            </w:r>
          </w:p>
        </w:tc>
      </w:tr>
      <w:tr w:rsidR="009F2F71" w:rsidRPr="002502E7" w14:paraId="7DCEAF15" w14:textId="77777777" w:rsidTr="00020B0A">
        <w:trPr>
          <w:trHeight w:val="271"/>
        </w:trPr>
        <w:tc>
          <w:tcPr>
            <w:tcW w:w="1418" w:type="dxa"/>
            <w:vMerge/>
          </w:tcPr>
          <w:p w14:paraId="25A9CE41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7E5A68CE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Anchoring novelty in context</w:t>
            </w:r>
          </w:p>
        </w:tc>
        <w:tc>
          <w:tcPr>
            <w:tcW w:w="6095" w:type="dxa"/>
          </w:tcPr>
          <w:p w14:paraId="2E352986" w14:textId="77777777" w:rsidR="002276B3" w:rsidRPr="004B6B94" w:rsidRDefault="002276B3" w:rsidP="002276B3">
            <w:pPr>
              <w:spacing w:after="8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Ensuring (financial) viability for long-term implementation and replicating and upscaling 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(den </w:t>
            </w:r>
            <w:proofErr w:type="spellStart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Ehnert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2018; Smith and Raven 2012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4886D6AA" w14:textId="77777777" w:rsidR="002276B3" w:rsidRDefault="002276B3" w:rsidP="002276B3">
            <w:pPr>
              <w:spacing w:after="8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Establishing long-term innovation partnerships for replicating and upscaling (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Ehnert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2018; Smith and Raven 2012)</w:t>
            </w:r>
          </w:p>
          <w:p w14:paraId="77E6218E" w14:textId="77777777" w:rsidR="002276B3" w:rsidRDefault="002276B3" w:rsidP="002276B3">
            <w:pPr>
              <w:spacing w:after="8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Learning from tested solutions and practices to develop a bricolage of ‘proof-of-concept’ element and to enabling contextualisation in other contexts for replicating and upscaling (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Ehnert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2018; den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2014;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2017b)</w:t>
            </w:r>
          </w:p>
          <w:p w14:paraId="52A230B5" w14:textId="5DF6D718" w:rsidR="002276B3" w:rsidRPr="004B6B94" w:rsidRDefault="002276B3" w:rsidP="002276B3">
            <w:pPr>
              <w:spacing w:after="8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Routinising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institutionalising novelty by aligning organisational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, institutional and operational structures and processes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(Smith and Raven 2012;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Ehnert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2018; 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Bettini et al. 2015; </w:t>
            </w:r>
            <w:proofErr w:type="spellStart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2017b; </w:t>
            </w:r>
            <w:proofErr w:type="spellStart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Wamsler</w:t>
            </w:r>
            <w:proofErr w:type="spellEnd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2015; den </w:t>
            </w:r>
            <w:proofErr w:type="spellStart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2014)</w:t>
            </w:r>
          </w:p>
          <w:p w14:paraId="57C00D65" w14:textId="33336DCA" w:rsidR="002276B3" w:rsidRPr="009F2F71" w:rsidRDefault="002276B3" w:rsidP="002276B3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Developing open-minded and flexible personnel to take up lessons from innovation and overcome institutional barriers and to train practitioners to apply novelty in daily practice (Brown et al. 2013;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Ehnert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2018)</w:t>
            </w:r>
          </w:p>
        </w:tc>
      </w:tr>
      <w:tr w:rsidR="009F2F71" w:rsidRPr="002502E7" w14:paraId="427D0585" w14:textId="77777777" w:rsidTr="00020B0A">
        <w:trPr>
          <w:trHeight w:val="187"/>
        </w:trPr>
        <w:tc>
          <w:tcPr>
            <w:tcW w:w="1418" w:type="dxa"/>
            <w:vMerge w:val="restart"/>
          </w:tcPr>
          <w:p w14:paraId="7D1FBF32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  <w:r w:rsidRPr="009F2F71"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  <w:t>Orchestrating capacity</w:t>
            </w:r>
          </w:p>
        </w:tc>
        <w:tc>
          <w:tcPr>
            <w:tcW w:w="1305" w:type="dxa"/>
          </w:tcPr>
          <w:p w14:paraId="45F6EA0F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Strategic Alignment </w:t>
            </w:r>
          </w:p>
        </w:tc>
        <w:tc>
          <w:tcPr>
            <w:tcW w:w="6095" w:type="dxa"/>
          </w:tcPr>
          <w:p w14:paraId="2C7E15E5" w14:textId="2AFCD175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Defining a shared, long-term and integrative strategic direction and reference points for governance (shared goals, vision, narrative)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Sørensen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2006; Abbott et al.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Hodson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Marvin 2010;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Loorbach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</w:t>
            </w:r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al. 2015; den </w:t>
            </w:r>
            <w:proofErr w:type="spellStart"/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7C1AC0DD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Enlisting and engaging heterogeneous actor groups to create ownership over strategic direction and steer action in line with goals (Chan et al.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2014; Abbott 2017)</w:t>
            </w:r>
          </w:p>
          <w:p w14:paraId="2965D3D9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Linking strategic direction to on-going processes (Chan et al.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Loorbach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2015)</w:t>
            </w:r>
          </w:p>
        </w:tc>
      </w:tr>
      <w:tr w:rsidR="009F2F71" w:rsidRPr="002502E7" w14:paraId="2ED25EAC" w14:textId="77777777" w:rsidTr="00020B0A">
        <w:trPr>
          <w:trHeight w:val="141"/>
        </w:trPr>
        <w:tc>
          <w:tcPr>
            <w:tcW w:w="1418" w:type="dxa"/>
            <w:vMerge/>
          </w:tcPr>
          <w:p w14:paraId="5149A96A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11F52924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Mediating across scales and sectors</w:t>
            </w:r>
          </w:p>
          <w:p w14:paraId="0538178F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6095" w:type="dxa"/>
          </w:tcPr>
          <w:p w14:paraId="53EC7561" w14:textId="77777777" w:rsidR="009F2F71" w:rsidRPr="009F2F71" w:rsidRDefault="009F2F71" w:rsidP="00705C9F">
            <w:pPr>
              <w:spacing w:after="6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Recognising, brokering and integrating resources (financial, knowledge, human etc.) and goals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Beisheim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Simon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Frantzeskaki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2014; Moore and Westley 2011;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Hodson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Marvin 2010)</w:t>
            </w:r>
          </w:p>
          <w:p w14:paraId="315FFF6D" w14:textId="4F53B446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Creating formal and informal convening spaces to exchange knowledge and resources and manage conflicts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Beisheim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Simon 2015;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Hodson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Marvin 2010; Ab</w:t>
            </w:r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bott 2017; den </w:t>
            </w:r>
            <w:proofErr w:type="spellStart"/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4AD6D5BC" w14:textId="34ECE8CD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Setting up formal and informal connection nodes, communication channels and facilitating information platforms to optimise interactions and link formal and informal processes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Sørensen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2006;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Beisheim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Simon 2015; Je</w:t>
            </w:r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ssop 2011; den </w:t>
            </w:r>
            <w:proofErr w:type="spellStart"/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Exter</w:t>
            </w:r>
            <w:proofErr w:type="spellEnd"/>
            <w:r w:rsidR="0031264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2014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</w:tc>
      </w:tr>
      <w:tr w:rsidR="009F2F71" w:rsidRPr="002502E7" w14:paraId="299B1BF8" w14:textId="77777777" w:rsidTr="00020B0A">
        <w:trPr>
          <w:trHeight w:val="132"/>
        </w:trPr>
        <w:tc>
          <w:tcPr>
            <w:tcW w:w="1418" w:type="dxa"/>
            <w:vMerge/>
          </w:tcPr>
          <w:p w14:paraId="5786AA00" w14:textId="77777777" w:rsidR="009F2F71" w:rsidRPr="009F2F71" w:rsidRDefault="009F2F71" w:rsidP="00705C9F">
            <w:pPr>
              <w:rPr>
                <w:rFonts w:asciiTheme="majorHAnsi" w:hAnsiTheme="majorHAnsi" w:cstheme="majorHAnsi"/>
                <w:b/>
                <w:sz w:val="16"/>
                <w:szCs w:val="16"/>
                <w:lang w:val="en-GB" w:eastAsia="de-AT"/>
              </w:rPr>
            </w:pPr>
          </w:p>
        </w:tc>
        <w:tc>
          <w:tcPr>
            <w:tcW w:w="1305" w:type="dxa"/>
          </w:tcPr>
          <w:p w14:paraId="6434A0B5" w14:textId="77777777" w:rsidR="009F2F71" w:rsidRPr="009F2F71" w:rsidRDefault="009F2F71" w:rsidP="00705C9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Creating opportunity contexts </w:t>
            </w:r>
          </w:p>
        </w:tc>
        <w:tc>
          <w:tcPr>
            <w:tcW w:w="6095" w:type="dxa"/>
          </w:tcPr>
          <w:p w14:paraId="21B93D44" w14:textId="1D2312F4" w:rsidR="00CE743D" w:rsidRDefault="00CE743D" w:rsidP="00CE743D">
            <w:pPr>
              <w:spacing w:after="8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Providing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and integrating institutional frameworks for 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financial incentives, regulations and institutional designs that enable synergies in line with long-term goals (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ørensen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2006; Jessop 2011;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Beisheim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Simon 2015;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Pahl-Wostl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</w:t>
            </w:r>
            <w:proofErr w:type="spellStart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Knieper</w:t>
            </w:r>
            <w:proofErr w:type="spellEnd"/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2014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; Abbott 2017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CE743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Fidelman</w:t>
            </w:r>
            <w:proofErr w:type="spellEnd"/>
            <w:r w:rsidRPr="00CE743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2013</w:t>
            </w:r>
            <w:r w:rsidRPr="004B6B94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527A8693" w14:textId="562D2552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Assisting actors and networks in implementing actions in line with goals (e.g. financing, guidance, technical assistance) (Abbott 2017</w:t>
            </w:r>
            <w:r w:rsidR="00CE743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; Gordon and Johnson 2017; </w:t>
            </w:r>
            <w:proofErr w:type="spellStart"/>
            <w:r w:rsidR="00CE743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Fidelman</w:t>
            </w:r>
            <w:proofErr w:type="spellEnd"/>
            <w:r w:rsidR="00CE743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et al. 2013</w:t>
            </w: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  <w:p w14:paraId="41899BFB" w14:textId="77777777" w:rsidR="009F2F71" w:rsidRPr="009F2F71" w:rsidRDefault="009F2F71" w:rsidP="00705C9F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Determining (normative) action mandates and prioritising action and fields (Chan et al. 2015; Jessop 2011;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Kooiman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and </w:t>
            </w:r>
            <w:proofErr w:type="spellStart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Jentoft</w:t>
            </w:r>
            <w:proofErr w:type="spellEnd"/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2009)</w:t>
            </w:r>
          </w:p>
          <w:p w14:paraId="5731B935" w14:textId="724302F4" w:rsidR="00CE743D" w:rsidRPr="009F2F71" w:rsidRDefault="009F2F71" w:rsidP="00CE743D">
            <w:pPr>
              <w:spacing w:after="4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9F2F7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Incorporating long-term and multi-scale thinking into decision-making, implementation processes and performance reviews (Chan et al. 2015</w:t>
            </w:r>
            <w:r w:rsidR="00CE743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)</w:t>
            </w:r>
          </w:p>
        </w:tc>
      </w:tr>
    </w:tbl>
    <w:p w14:paraId="48E48C57" w14:textId="5339BA48" w:rsidR="009C40C6" w:rsidRDefault="009C40C6" w:rsidP="009C40C6">
      <w:pPr>
        <w:rPr>
          <w:lang w:val="en-GB" w:eastAsia="de-AT"/>
        </w:rPr>
      </w:pPr>
    </w:p>
    <w:p w14:paraId="68AC2E33" w14:textId="35A0A4A2" w:rsidR="009C40C6" w:rsidRDefault="009C40C6">
      <w:pPr>
        <w:rPr>
          <w:rFonts w:asciiTheme="majorHAnsi" w:hAnsiTheme="majorHAnsi"/>
          <w:sz w:val="22"/>
          <w:szCs w:val="22"/>
          <w:lang w:val="en-GB" w:eastAsia="de-AT"/>
        </w:rPr>
      </w:pPr>
      <w:bookmarkStart w:id="0" w:name="_GoBack"/>
      <w:bookmarkEnd w:id="0"/>
    </w:p>
    <w:sectPr w:rsidR="009C40C6" w:rsidSect="009C40C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DC"/>
    <w:rsid w:val="00000E9B"/>
    <w:rsid w:val="0000673F"/>
    <w:rsid w:val="00020B0A"/>
    <w:rsid w:val="000431CB"/>
    <w:rsid w:val="000653F4"/>
    <w:rsid w:val="000740B5"/>
    <w:rsid w:val="00092D44"/>
    <w:rsid w:val="000B7B84"/>
    <w:rsid w:val="000D0188"/>
    <w:rsid w:val="000E46A3"/>
    <w:rsid w:val="00171FDB"/>
    <w:rsid w:val="00172C17"/>
    <w:rsid w:val="001731D5"/>
    <w:rsid w:val="001D6F9E"/>
    <w:rsid w:val="001F67D0"/>
    <w:rsid w:val="002276B3"/>
    <w:rsid w:val="002427C9"/>
    <w:rsid w:val="002502E7"/>
    <w:rsid w:val="0027099A"/>
    <w:rsid w:val="002867DC"/>
    <w:rsid w:val="002963EF"/>
    <w:rsid w:val="002C12EE"/>
    <w:rsid w:val="002D08F5"/>
    <w:rsid w:val="0031264C"/>
    <w:rsid w:val="003153C8"/>
    <w:rsid w:val="00331F24"/>
    <w:rsid w:val="00342118"/>
    <w:rsid w:val="0036752F"/>
    <w:rsid w:val="00374822"/>
    <w:rsid w:val="003C6782"/>
    <w:rsid w:val="003E0EEF"/>
    <w:rsid w:val="003F08B6"/>
    <w:rsid w:val="00402161"/>
    <w:rsid w:val="0043787F"/>
    <w:rsid w:val="0045378B"/>
    <w:rsid w:val="0046165A"/>
    <w:rsid w:val="00461AB3"/>
    <w:rsid w:val="00480811"/>
    <w:rsid w:val="004827A7"/>
    <w:rsid w:val="0048621C"/>
    <w:rsid w:val="0049219E"/>
    <w:rsid w:val="004F30CC"/>
    <w:rsid w:val="005411F6"/>
    <w:rsid w:val="00544AC9"/>
    <w:rsid w:val="0059585A"/>
    <w:rsid w:val="005E7EFD"/>
    <w:rsid w:val="00604A35"/>
    <w:rsid w:val="00627079"/>
    <w:rsid w:val="0066711D"/>
    <w:rsid w:val="006908F4"/>
    <w:rsid w:val="00692648"/>
    <w:rsid w:val="006960FD"/>
    <w:rsid w:val="006E7BA7"/>
    <w:rsid w:val="006F2D60"/>
    <w:rsid w:val="006F469C"/>
    <w:rsid w:val="00704700"/>
    <w:rsid w:val="007B52CA"/>
    <w:rsid w:val="00826D63"/>
    <w:rsid w:val="00856BC1"/>
    <w:rsid w:val="008A2A84"/>
    <w:rsid w:val="00994D8E"/>
    <w:rsid w:val="009A2626"/>
    <w:rsid w:val="009A5F24"/>
    <w:rsid w:val="009C40C6"/>
    <w:rsid w:val="009F2F71"/>
    <w:rsid w:val="00A01A8E"/>
    <w:rsid w:val="00A05B27"/>
    <w:rsid w:val="00A248B2"/>
    <w:rsid w:val="00A47A9B"/>
    <w:rsid w:val="00A65BCE"/>
    <w:rsid w:val="00A83076"/>
    <w:rsid w:val="00AA08EC"/>
    <w:rsid w:val="00AB1802"/>
    <w:rsid w:val="00B041B8"/>
    <w:rsid w:val="00B66877"/>
    <w:rsid w:val="00BC2A7D"/>
    <w:rsid w:val="00C614DE"/>
    <w:rsid w:val="00CE7118"/>
    <w:rsid w:val="00CE743D"/>
    <w:rsid w:val="00D555C6"/>
    <w:rsid w:val="00DC5B00"/>
    <w:rsid w:val="00DF62B7"/>
    <w:rsid w:val="00E161D2"/>
    <w:rsid w:val="00E5619E"/>
    <w:rsid w:val="00E8587C"/>
    <w:rsid w:val="00EA28C9"/>
    <w:rsid w:val="00F249DC"/>
    <w:rsid w:val="00F55E13"/>
    <w:rsid w:val="00FB3A6D"/>
    <w:rsid w:val="00FC0BFC"/>
    <w:rsid w:val="00F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6361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40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24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E0E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E0EE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E0E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0E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0EE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0E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0EEF"/>
    <w:rPr>
      <w:rFonts w:ascii="Segoe UI" w:hAnsi="Segoe UI" w:cs="Segoe UI"/>
      <w:sz w:val="18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94D8E"/>
    <w:rPr>
      <w:rFonts w:ascii="Times New Roman" w:hAnsi="Times New Roman" w:cs="Times New Roman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94D8E"/>
    <w:rPr>
      <w:rFonts w:ascii="Times New Roman" w:hAnsi="Times New Roman" w:cs="Times New Roman"/>
    </w:rPr>
  </w:style>
  <w:style w:type="paragraph" w:styleId="Listenabsatz">
    <w:name w:val="List Paragraph"/>
    <w:basedOn w:val="Standard"/>
    <w:link w:val="ListenabsatzZchn"/>
    <w:uiPriority w:val="34"/>
    <w:qFormat/>
    <w:rsid w:val="009F2F71"/>
    <w:pPr>
      <w:spacing w:after="200" w:line="276" w:lineRule="auto"/>
      <w:ind w:left="720"/>
      <w:contextualSpacing/>
    </w:pPr>
    <w:rPr>
      <w:rFonts w:eastAsia="Times New Roman"/>
      <w:sz w:val="22"/>
      <w:szCs w:val="22"/>
      <w:lang w:val="en-US"/>
    </w:rPr>
  </w:style>
  <w:style w:type="character" w:customStyle="1" w:styleId="ListenabsatzZchn">
    <w:name w:val="Listenabsatz Zchn"/>
    <w:link w:val="Listenabsatz"/>
    <w:uiPriority w:val="34"/>
    <w:locked/>
    <w:rsid w:val="009F2F71"/>
    <w:rPr>
      <w:rFonts w:eastAsia="Times New Roman"/>
      <w:sz w:val="22"/>
      <w:szCs w:val="22"/>
      <w:lang w:val="en-US"/>
    </w:rPr>
  </w:style>
  <w:style w:type="character" w:styleId="Hyperlink">
    <w:name w:val="Hyperlink"/>
    <w:basedOn w:val="Absatz-Standardschriftart"/>
    <w:uiPriority w:val="99"/>
    <w:unhideWhenUsed/>
    <w:rsid w:val="009F2F71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9C40C6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0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72ECC0D-9FA6-6049-8701-8B6F2A1A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1132</Words>
  <Characters>7138</Characters>
  <Application>Microsoft Office Word</Application>
  <DocSecurity>0</DocSecurity>
  <Lines>59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Passau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Hölscher</dc:creator>
  <cp:keywords/>
  <dc:description/>
  <cp:lastModifiedBy>Katharina Hölscher</cp:lastModifiedBy>
  <cp:revision>3</cp:revision>
  <dcterms:created xsi:type="dcterms:W3CDTF">2018-04-02T11:55:00Z</dcterms:created>
  <dcterms:modified xsi:type="dcterms:W3CDTF">2018-04-02T11:55:00Z</dcterms:modified>
</cp:coreProperties>
</file>