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AE2" w:rsidRPr="007D1AE2" w:rsidRDefault="007D1AE2" w:rsidP="007D1AE2">
      <w:pPr>
        <w:jc w:val="center"/>
        <w:rPr>
          <w:rFonts w:asciiTheme="minorHAnsi" w:hAnsiTheme="minorHAnsi"/>
          <w:b/>
        </w:rPr>
      </w:pPr>
      <w:r w:rsidRPr="007D1AE2">
        <w:rPr>
          <w:rFonts w:asciiTheme="minorHAnsi" w:hAnsiTheme="minorHAnsi"/>
          <w:b/>
        </w:rPr>
        <w:t>ELECTRONIC SUPPLEMENTARY MATERIAL belonging to:</w:t>
      </w:r>
    </w:p>
    <w:p w:rsidR="007D1AE2" w:rsidRPr="007D1AE2" w:rsidRDefault="007D1AE2" w:rsidP="007D1AE2">
      <w:pPr>
        <w:rPr>
          <w:rFonts w:asciiTheme="minorHAnsi" w:hAnsiTheme="minorHAnsi"/>
          <w:b/>
        </w:rPr>
      </w:pPr>
    </w:p>
    <w:p w:rsidR="007D1AE2" w:rsidRPr="007D1AE2" w:rsidRDefault="007D1AE2" w:rsidP="007D1AE2">
      <w:pPr>
        <w:jc w:val="center"/>
        <w:rPr>
          <w:rFonts w:asciiTheme="minorHAnsi" w:hAnsiTheme="minorHAnsi"/>
          <w:b/>
        </w:rPr>
      </w:pPr>
      <w:r w:rsidRPr="007D1AE2">
        <w:rPr>
          <w:rFonts w:asciiTheme="minorHAnsi" w:hAnsiTheme="minorHAnsi"/>
          <w:b/>
        </w:rPr>
        <w:t>New European socio-economic scenarios for climate change research:</w:t>
      </w:r>
    </w:p>
    <w:p w:rsidR="007D1AE2" w:rsidRPr="007D1AE2" w:rsidRDefault="007D1AE2" w:rsidP="007D1AE2">
      <w:pPr>
        <w:jc w:val="center"/>
        <w:rPr>
          <w:rFonts w:asciiTheme="minorHAnsi" w:hAnsiTheme="minorHAnsi"/>
          <w:b/>
        </w:rPr>
      </w:pPr>
      <w:r w:rsidRPr="007D1AE2">
        <w:rPr>
          <w:rFonts w:asciiTheme="minorHAnsi" w:hAnsiTheme="minorHAnsi"/>
          <w:b/>
        </w:rPr>
        <w:t>Operationalising concepts to extend the Shared Socio</w:t>
      </w:r>
      <w:r w:rsidR="00B906B9">
        <w:rPr>
          <w:rFonts w:asciiTheme="minorHAnsi" w:hAnsiTheme="minorHAnsi"/>
          <w:b/>
        </w:rPr>
        <w:t>-</w:t>
      </w:r>
      <w:r w:rsidRPr="007D1AE2">
        <w:rPr>
          <w:rFonts w:asciiTheme="minorHAnsi" w:hAnsiTheme="minorHAnsi"/>
          <w:b/>
        </w:rPr>
        <w:t>economic Pathways</w:t>
      </w:r>
    </w:p>
    <w:p w:rsidR="007D1AE2" w:rsidRPr="007D1AE2" w:rsidRDefault="007D1AE2" w:rsidP="007D1AE2">
      <w:pPr>
        <w:rPr>
          <w:rFonts w:asciiTheme="minorHAnsi" w:hAnsiTheme="minorHAnsi"/>
          <w:b/>
        </w:rPr>
      </w:pPr>
    </w:p>
    <w:p w:rsidR="007D1AE2" w:rsidRPr="007D1AE2" w:rsidRDefault="007D1AE2" w:rsidP="007D1AE2">
      <w:pPr>
        <w:rPr>
          <w:rFonts w:asciiTheme="minorHAnsi" w:hAnsiTheme="minorHAnsi"/>
        </w:rPr>
      </w:pPr>
      <w:r w:rsidRPr="007D1AE2">
        <w:rPr>
          <w:rFonts w:asciiTheme="minorHAnsi" w:hAnsiTheme="minorHAnsi"/>
        </w:rPr>
        <w:t>Kasper Kok</w:t>
      </w:r>
      <w:r w:rsidRPr="007D1AE2">
        <w:rPr>
          <w:rFonts w:asciiTheme="minorHAnsi" w:hAnsiTheme="minorHAnsi"/>
          <w:vertAlign w:val="superscript"/>
        </w:rPr>
        <w:t>1</w:t>
      </w:r>
      <w:r w:rsidRPr="007D1AE2">
        <w:rPr>
          <w:rFonts w:asciiTheme="minorHAnsi" w:hAnsiTheme="minorHAnsi"/>
        </w:rPr>
        <w:t>, Simona Pedde, Marc Gramberger, Paula Harrison, Ian Holman</w:t>
      </w:r>
    </w:p>
    <w:p w:rsidR="007D1AE2" w:rsidRPr="007D1AE2" w:rsidRDefault="007D1AE2" w:rsidP="007D1AE2">
      <w:pPr>
        <w:rPr>
          <w:rFonts w:asciiTheme="minorHAnsi" w:hAnsiTheme="minorHAnsi"/>
        </w:rPr>
      </w:pPr>
      <w:r w:rsidRPr="007D1AE2">
        <w:rPr>
          <w:rFonts w:asciiTheme="minorHAnsi" w:hAnsiTheme="minorHAnsi"/>
        </w:rPr>
        <w:t xml:space="preserve">1: Wageningen </w:t>
      </w:r>
      <w:r w:rsidR="00911709" w:rsidRPr="007D1AE2">
        <w:rPr>
          <w:rFonts w:asciiTheme="minorHAnsi" w:hAnsiTheme="minorHAnsi"/>
        </w:rPr>
        <w:t>University</w:t>
      </w:r>
      <w:r w:rsidRPr="007D1AE2">
        <w:rPr>
          <w:rFonts w:asciiTheme="minorHAnsi" w:hAnsiTheme="minorHAnsi"/>
        </w:rPr>
        <w:t>, the Netherlands. kasper.kok@wur.nl</w:t>
      </w:r>
    </w:p>
    <w:p w:rsidR="00087ED4" w:rsidRDefault="00087ED4">
      <w:pPr>
        <w:rPr>
          <w:rFonts w:asciiTheme="minorHAnsi" w:hAnsiTheme="minorHAnsi"/>
          <w:b/>
        </w:rPr>
      </w:pPr>
    </w:p>
    <w:p w:rsidR="00087ED4" w:rsidRDefault="00087ED4">
      <w:pPr>
        <w:rPr>
          <w:rFonts w:asciiTheme="minorHAnsi" w:hAnsiTheme="minorHAnsi"/>
          <w:b/>
        </w:rPr>
      </w:pPr>
      <w:r>
        <w:rPr>
          <w:rFonts w:asciiTheme="minorHAnsi" w:hAnsiTheme="minorHAnsi"/>
          <w:b/>
        </w:rPr>
        <w:t xml:space="preserve">ESM1. Concepts </w:t>
      </w:r>
      <w:r w:rsidRPr="00087ED4">
        <w:rPr>
          <w:rFonts w:asciiTheme="minorHAnsi" w:hAnsiTheme="minorHAnsi"/>
          <w:b/>
        </w:rPr>
        <w:t>to develop SSPs in case studies of IMPRESSIONS</w:t>
      </w:r>
    </w:p>
    <w:p w:rsidR="00087ED4" w:rsidRDefault="00087ED4" w:rsidP="00B906B9">
      <w:pPr>
        <w:rPr>
          <w:rFonts w:ascii="Calibri" w:hAnsi="Calibri"/>
        </w:rPr>
      </w:pPr>
      <w:r>
        <w:rPr>
          <w:rFonts w:ascii="Calibri" w:hAnsi="Calibri"/>
        </w:rPr>
        <w:t xml:space="preserve">The Eur-SSPs are used to contextualise socio-economic scenario development during stakeholder workshops, based on their perceptions, in all other case studies (see Figure ESM1; see Pedde et al., in prep.). Following Zurek and Henrichs’ terminology, we aimed at case study scenarios that were </w:t>
      </w:r>
      <w:r w:rsidRPr="00991B25">
        <w:rPr>
          <w:rFonts w:ascii="Calibri" w:hAnsi="Calibri"/>
          <w:b/>
        </w:rPr>
        <w:t>consistent</w:t>
      </w:r>
      <w:r>
        <w:rPr>
          <w:rFonts w:ascii="Calibri" w:hAnsi="Calibri"/>
        </w:rPr>
        <w:t xml:space="preserve"> or </w:t>
      </w:r>
      <w:r w:rsidRPr="00991B25">
        <w:rPr>
          <w:rFonts w:ascii="Calibri" w:hAnsi="Calibri"/>
          <w:b/>
        </w:rPr>
        <w:t>coherent</w:t>
      </w:r>
      <w:r>
        <w:rPr>
          <w:rFonts w:ascii="Calibri" w:hAnsi="Calibri"/>
        </w:rPr>
        <w:t xml:space="preserve"> with the Eur-SSPs, depending on the case study. Figure 1 illustrates this with arrows labelled “contextualise” indicating a process where the higher-level scenarios were used to guide the main lower-level logic, but not the specific content. As the content of the scenarios was stakeholder-determined, the final set of scenarios could differ in level of interconnectedness, as stakeholders could be inspired by the Eur-SSPs, or give prevalence to their own perceptions on future developments (see Pedde et al., in prep). The Eur-SSPs were part of the scenario development in all other case studies, either as direct input (Iberia, Hungary, Scotland) or in combination with the global scenarios (central Asia).</w:t>
      </w:r>
    </w:p>
    <w:p w:rsidR="00087ED4" w:rsidRDefault="00087ED4" w:rsidP="00B906B9">
      <w:pPr>
        <w:rPr>
          <w:rFonts w:ascii="Calibri" w:hAnsi="Calibri"/>
        </w:rPr>
      </w:pPr>
    </w:p>
    <w:p w:rsidR="00087ED4" w:rsidRDefault="00087ED4" w:rsidP="00B906B9">
      <w:pPr>
        <w:rPr>
          <w:rFonts w:ascii="Calibri" w:hAnsi="Calibri"/>
        </w:rPr>
      </w:pPr>
    </w:p>
    <w:p w:rsidR="00087ED4" w:rsidRDefault="00087ED4" w:rsidP="00087ED4">
      <w:pPr>
        <w:rPr>
          <w:rFonts w:ascii="Calibri" w:hAnsi="Calibri"/>
        </w:rPr>
      </w:pPr>
      <w:r>
        <w:rPr>
          <w:rFonts w:asciiTheme="minorHAnsi" w:hAnsiTheme="minorHAnsi"/>
          <w:noProof/>
          <w:lang w:val="nl-NL" w:eastAsia="nl-NL"/>
        </w:rPr>
        <w:drawing>
          <wp:anchor distT="0" distB="0" distL="114300" distR="114300" simplePos="0" relativeHeight="251662336" behindDoc="0" locked="0" layoutInCell="1" allowOverlap="1">
            <wp:simplePos x="0" y="0"/>
            <wp:positionH relativeFrom="column">
              <wp:posOffset>471214</wp:posOffset>
            </wp:positionH>
            <wp:positionV relativeFrom="paragraph">
              <wp:posOffset>86995</wp:posOffset>
            </wp:positionV>
            <wp:extent cx="4439631" cy="328616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39631" cy="3286169"/>
                    </a:xfrm>
                    <a:prstGeom prst="rect">
                      <a:avLst/>
                    </a:prstGeom>
                  </pic:spPr>
                </pic:pic>
              </a:graphicData>
            </a:graphic>
            <wp14:sizeRelH relativeFrom="margin">
              <wp14:pctWidth>0</wp14:pctWidth>
            </wp14:sizeRelH>
            <wp14:sizeRelV relativeFrom="margin">
              <wp14:pctHeight>0</wp14:pctHeight>
            </wp14:sizeRelV>
          </wp:anchor>
        </w:drawing>
      </w: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p>
    <w:p w:rsidR="00087ED4" w:rsidRDefault="00087ED4">
      <w:pPr>
        <w:rPr>
          <w:rFonts w:ascii="Calibri" w:hAnsi="Calibri"/>
        </w:rPr>
      </w:pPr>
      <w:r w:rsidRPr="00DD5581">
        <w:rPr>
          <w:rFonts w:ascii="Calibri" w:hAnsi="Calibri"/>
        </w:rPr>
        <w:t xml:space="preserve">Figure </w:t>
      </w:r>
      <w:r w:rsidR="00901DC0">
        <w:rPr>
          <w:rFonts w:ascii="Calibri" w:hAnsi="Calibri"/>
        </w:rPr>
        <w:t>ESM</w:t>
      </w:r>
      <w:r w:rsidRPr="00DD5581">
        <w:rPr>
          <w:rFonts w:ascii="Calibri" w:hAnsi="Calibri"/>
        </w:rPr>
        <w:t xml:space="preserve">1. Schematic representation of cross-scale scenario development design for the five case studies in IMPRESSIONS. For every case study, an indication is given of the most important elements: a. economic development; b. demography; c. infrastructure; d. technology development; governance structure. For more details, please see Pedde et al. (2016).  </w:t>
      </w:r>
    </w:p>
    <w:p w:rsidR="007D1AE2" w:rsidRDefault="00D22B12" w:rsidP="007D1AE2">
      <w:pPr>
        <w:rPr>
          <w:rFonts w:asciiTheme="minorHAnsi" w:hAnsiTheme="minorHAnsi"/>
          <w:b/>
        </w:rPr>
      </w:pPr>
      <w:r>
        <w:rPr>
          <w:rFonts w:asciiTheme="minorHAnsi" w:hAnsiTheme="minorHAnsi"/>
          <w:b/>
        </w:rPr>
        <w:lastRenderedPageBreak/>
        <w:t xml:space="preserve">ESM 2. </w:t>
      </w:r>
      <w:r w:rsidRPr="0008730E">
        <w:rPr>
          <w:rFonts w:ascii="Calibri" w:hAnsi="Calibri"/>
          <w:b/>
        </w:rPr>
        <w:t>Approaches to linking scenarios across geographical scales</w:t>
      </w:r>
      <w:r>
        <w:rPr>
          <w:rFonts w:ascii="Calibri" w:hAnsi="Calibri"/>
          <w:b/>
        </w:rPr>
        <w:t xml:space="preserve"> </w:t>
      </w:r>
    </w:p>
    <w:p w:rsidR="00D22B12" w:rsidRDefault="00D22B12" w:rsidP="00D22B12">
      <w:pPr>
        <w:rPr>
          <w:rFonts w:ascii="Calibri" w:hAnsi="Calibri"/>
        </w:rPr>
      </w:pPr>
      <w:r>
        <w:rPr>
          <w:rFonts w:ascii="Calibri" w:hAnsi="Calibri"/>
        </w:rPr>
        <w:t>Below is a short overview of the main approaches to linking scenarios across geographical scales</w:t>
      </w:r>
      <w:r w:rsidR="00C07DB6">
        <w:rPr>
          <w:rFonts w:ascii="Calibri" w:hAnsi="Calibri"/>
        </w:rPr>
        <w:t xml:space="preserve"> </w:t>
      </w:r>
      <w:r w:rsidR="00C07DB6" w:rsidRPr="00C07DB6">
        <w:rPr>
          <w:rFonts w:ascii="Calibri" w:hAnsi="Calibri"/>
        </w:rPr>
        <w:t>(modified from Zurek and Henrichs, 2007)</w:t>
      </w:r>
      <w:r>
        <w:rPr>
          <w:rFonts w:ascii="Calibri" w:hAnsi="Calibri"/>
        </w:rPr>
        <w:t>.</w:t>
      </w:r>
    </w:p>
    <w:p w:rsidR="00D22B12" w:rsidRDefault="00D22B12" w:rsidP="00D22B12">
      <w:pPr>
        <w:rPr>
          <w:rFonts w:ascii="Calibri" w:hAnsi="Calibri"/>
        </w:rPr>
      </w:pPr>
    </w:p>
    <w:p w:rsidR="00D22B12" w:rsidRPr="00B906B9" w:rsidRDefault="00D22B12" w:rsidP="00D22B12">
      <w:pPr>
        <w:rPr>
          <w:rFonts w:ascii="Calibri" w:hAnsi="Calibri"/>
          <w:b/>
        </w:rPr>
      </w:pPr>
      <w:r w:rsidRPr="00B906B9">
        <w:rPr>
          <w:rFonts w:ascii="Calibri" w:hAnsi="Calibri"/>
          <w:b/>
        </w:rPr>
        <w:t>Linkage between scenario elements or outcomes across geographical scales</w:t>
      </w:r>
    </w:p>
    <w:p w:rsidR="002C3535" w:rsidRDefault="002C3535" w:rsidP="002C3535">
      <w:pPr>
        <w:rPr>
          <w:rFonts w:ascii="Calibri" w:hAnsi="Calibri"/>
        </w:rPr>
      </w:pPr>
      <w:r>
        <w:rPr>
          <w:rFonts w:ascii="Calibri" w:hAnsi="Calibri"/>
        </w:rPr>
        <w:t xml:space="preserve">Scenarios are </w:t>
      </w:r>
      <w:r w:rsidRPr="00B906B9">
        <w:rPr>
          <w:rFonts w:ascii="Calibri" w:hAnsi="Calibri"/>
          <w:i/>
        </w:rPr>
        <w:t>equivalent</w:t>
      </w:r>
      <w:r>
        <w:rPr>
          <w:rFonts w:ascii="Calibri" w:hAnsi="Calibri"/>
        </w:rPr>
        <w:t xml:space="preserve"> when </w:t>
      </w:r>
      <w:r w:rsidRPr="002C3535">
        <w:rPr>
          <w:rFonts w:ascii="Calibri" w:hAnsi="Calibri"/>
        </w:rPr>
        <w:t>the general logic and assumptions as well as the</w:t>
      </w:r>
      <w:r>
        <w:rPr>
          <w:rFonts w:ascii="Calibri" w:hAnsi="Calibri"/>
        </w:rPr>
        <w:t xml:space="preserve"> </w:t>
      </w:r>
      <w:r w:rsidRPr="002C3535">
        <w:rPr>
          <w:rFonts w:ascii="Calibri" w:hAnsi="Calibri"/>
        </w:rPr>
        <w:t>outcomes of the scenarios at one scale are transferred to the other scale. In most cases this works best by</w:t>
      </w:r>
      <w:r>
        <w:rPr>
          <w:rFonts w:ascii="Calibri" w:hAnsi="Calibri"/>
        </w:rPr>
        <w:t xml:space="preserve"> </w:t>
      </w:r>
      <w:r w:rsidRPr="002C3535">
        <w:rPr>
          <w:rFonts w:ascii="Calibri" w:hAnsi="Calibri"/>
        </w:rPr>
        <w:t>going from higher to lower scales. Quantitative scenarios are down-scaled either in a purely statistical</w:t>
      </w:r>
      <w:r>
        <w:rPr>
          <w:rFonts w:ascii="Calibri" w:hAnsi="Calibri"/>
        </w:rPr>
        <w:t xml:space="preserve"> </w:t>
      </w:r>
      <w:r w:rsidRPr="002C3535">
        <w:rPr>
          <w:rFonts w:ascii="Calibri" w:hAnsi="Calibri"/>
        </w:rPr>
        <w:t>manner or by using dynamic scaling methods. Within qualitative scenarios, developments that unfold at</w:t>
      </w:r>
      <w:r>
        <w:rPr>
          <w:rFonts w:ascii="Calibri" w:hAnsi="Calibri"/>
        </w:rPr>
        <w:t xml:space="preserve"> </w:t>
      </w:r>
      <w:r w:rsidRPr="002C3535">
        <w:rPr>
          <w:rFonts w:ascii="Calibri" w:hAnsi="Calibri"/>
        </w:rPr>
        <w:t>one scale are assumed to play out following the same trend as in the other scale. In many ways the</w:t>
      </w:r>
      <w:r>
        <w:rPr>
          <w:rFonts w:ascii="Calibri" w:hAnsi="Calibri"/>
        </w:rPr>
        <w:t xml:space="preserve"> </w:t>
      </w:r>
      <w:r w:rsidRPr="002C3535">
        <w:rPr>
          <w:rFonts w:ascii="Calibri" w:hAnsi="Calibri"/>
        </w:rPr>
        <w:t>scenarios at the lower scale can be seen as a ‘true’ subset of the higher scale.</w:t>
      </w:r>
    </w:p>
    <w:p w:rsidR="002C3535" w:rsidRPr="002C3535" w:rsidRDefault="002C3535" w:rsidP="002C3535">
      <w:pPr>
        <w:rPr>
          <w:rFonts w:ascii="Calibri" w:hAnsi="Calibri"/>
        </w:rPr>
      </w:pPr>
      <w:r>
        <w:rPr>
          <w:rFonts w:ascii="Calibri" w:hAnsi="Calibri"/>
        </w:rPr>
        <w:t xml:space="preserve">Scenarios are </w:t>
      </w:r>
      <w:r>
        <w:rPr>
          <w:rFonts w:ascii="Calibri" w:hAnsi="Calibri"/>
          <w:i/>
        </w:rPr>
        <w:t>consistent</w:t>
      </w:r>
      <w:r>
        <w:rPr>
          <w:rFonts w:ascii="Calibri" w:hAnsi="Calibri"/>
        </w:rPr>
        <w:t xml:space="preserve"> when </w:t>
      </w:r>
      <w:r w:rsidRPr="002C3535">
        <w:rPr>
          <w:rFonts w:ascii="Calibri" w:hAnsi="Calibri"/>
        </w:rPr>
        <w:t>the selection of driving forces and their trends are set to be</w:t>
      </w:r>
    </w:p>
    <w:p w:rsidR="002C3535" w:rsidRDefault="002C3535" w:rsidP="002C3535">
      <w:pPr>
        <w:rPr>
          <w:rFonts w:ascii="Calibri" w:hAnsi="Calibri"/>
        </w:rPr>
      </w:pPr>
      <w:r w:rsidRPr="002C3535">
        <w:rPr>
          <w:rFonts w:ascii="Calibri" w:hAnsi="Calibri"/>
        </w:rPr>
        <w:t>consistent with each other in both scenario exercises. Basically, the higher scale scenarios provide strict</w:t>
      </w:r>
      <w:r>
        <w:rPr>
          <w:rFonts w:ascii="Calibri" w:hAnsi="Calibri"/>
        </w:rPr>
        <w:t xml:space="preserve"> </w:t>
      </w:r>
      <w:r w:rsidRPr="002C3535">
        <w:rPr>
          <w:rFonts w:ascii="Calibri" w:hAnsi="Calibri"/>
        </w:rPr>
        <w:t>boundary conditions for lower scale scenarios. The scenarios thus also play out in similar ways at the</w:t>
      </w:r>
      <w:r>
        <w:rPr>
          <w:rFonts w:ascii="Calibri" w:hAnsi="Calibri"/>
        </w:rPr>
        <w:t xml:space="preserve"> </w:t>
      </w:r>
      <w:r w:rsidRPr="002C3535">
        <w:rPr>
          <w:rFonts w:ascii="Calibri" w:hAnsi="Calibri"/>
        </w:rPr>
        <w:t>different scales, their main assumptions on drivers and scenario logics are fully consistent. Some of the</w:t>
      </w:r>
      <w:r>
        <w:rPr>
          <w:rFonts w:ascii="Calibri" w:hAnsi="Calibri"/>
        </w:rPr>
        <w:t xml:space="preserve"> </w:t>
      </w:r>
      <w:r w:rsidRPr="002C3535">
        <w:rPr>
          <w:rFonts w:ascii="Calibri" w:hAnsi="Calibri"/>
        </w:rPr>
        <w:t>concrete outcomes at the various scales may differ, as long as these deviations do not challenge the</w:t>
      </w:r>
      <w:r>
        <w:rPr>
          <w:rFonts w:ascii="Calibri" w:hAnsi="Calibri"/>
        </w:rPr>
        <w:t xml:space="preserve"> </w:t>
      </w:r>
      <w:r w:rsidRPr="002C3535">
        <w:rPr>
          <w:rFonts w:ascii="Calibri" w:hAnsi="Calibri"/>
        </w:rPr>
        <w:t>governing scenario logics and assumptions made.</w:t>
      </w:r>
    </w:p>
    <w:p w:rsidR="00C07DB6" w:rsidRDefault="00C07DB6" w:rsidP="00C07DB6">
      <w:pPr>
        <w:rPr>
          <w:rFonts w:ascii="Calibri" w:hAnsi="Calibri"/>
        </w:rPr>
      </w:pPr>
      <w:r>
        <w:rPr>
          <w:rFonts w:ascii="Calibri" w:hAnsi="Calibri"/>
        </w:rPr>
        <w:t xml:space="preserve">Scenarios are </w:t>
      </w:r>
      <w:r w:rsidRPr="00B906B9">
        <w:rPr>
          <w:rFonts w:ascii="Calibri" w:hAnsi="Calibri"/>
          <w:i/>
        </w:rPr>
        <w:t>coherent</w:t>
      </w:r>
      <w:r w:rsidRPr="00C07DB6">
        <w:rPr>
          <w:rFonts w:ascii="Calibri" w:hAnsi="Calibri"/>
        </w:rPr>
        <w:t xml:space="preserve"> </w:t>
      </w:r>
      <w:r>
        <w:rPr>
          <w:rFonts w:ascii="Calibri" w:hAnsi="Calibri"/>
        </w:rPr>
        <w:t>when</w:t>
      </w:r>
      <w:r w:rsidRPr="00C07DB6">
        <w:rPr>
          <w:rFonts w:ascii="Calibri" w:hAnsi="Calibri"/>
        </w:rPr>
        <w:t xml:space="preserve"> follow</w:t>
      </w:r>
      <w:r>
        <w:rPr>
          <w:rFonts w:ascii="Calibri" w:hAnsi="Calibri"/>
        </w:rPr>
        <w:t>ing</w:t>
      </w:r>
      <w:r w:rsidRPr="00C07DB6">
        <w:rPr>
          <w:rFonts w:ascii="Calibri" w:hAnsi="Calibri"/>
        </w:rPr>
        <w:t xml:space="preserve"> the same paradigm or </w:t>
      </w:r>
      <w:r>
        <w:rPr>
          <w:rFonts w:ascii="Calibri" w:hAnsi="Calibri"/>
        </w:rPr>
        <w:t>being</w:t>
      </w:r>
      <w:r w:rsidRPr="00C07DB6">
        <w:rPr>
          <w:rFonts w:ascii="Calibri" w:hAnsi="Calibri"/>
        </w:rPr>
        <w:t xml:space="preserve"> different representation</w:t>
      </w:r>
      <w:r>
        <w:rPr>
          <w:rFonts w:ascii="Calibri" w:hAnsi="Calibri"/>
        </w:rPr>
        <w:t>s</w:t>
      </w:r>
      <w:r w:rsidRPr="00C07DB6">
        <w:rPr>
          <w:rFonts w:ascii="Calibri" w:hAnsi="Calibri"/>
        </w:rPr>
        <w:t xml:space="preserve"> of the same scenario</w:t>
      </w:r>
      <w:r>
        <w:rPr>
          <w:rFonts w:ascii="Calibri" w:hAnsi="Calibri"/>
        </w:rPr>
        <w:t xml:space="preserve"> </w:t>
      </w:r>
      <w:r w:rsidRPr="00C07DB6">
        <w:rPr>
          <w:rFonts w:ascii="Calibri" w:hAnsi="Calibri"/>
        </w:rPr>
        <w:t>archetype</w:t>
      </w:r>
      <w:r>
        <w:rPr>
          <w:rFonts w:ascii="Calibri" w:hAnsi="Calibri"/>
        </w:rPr>
        <w:t>.</w:t>
      </w:r>
      <w:r w:rsidRPr="00C07DB6">
        <w:rPr>
          <w:rFonts w:ascii="Calibri" w:hAnsi="Calibri"/>
        </w:rPr>
        <w:t xml:space="preserve"> This does not preclude substantial differences with regard</w:t>
      </w:r>
      <w:r>
        <w:rPr>
          <w:rFonts w:ascii="Calibri" w:hAnsi="Calibri"/>
        </w:rPr>
        <w:t xml:space="preserve"> </w:t>
      </w:r>
      <w:r w:rsidRPr="00C07DB6">
        <w:rPr>
          <w:rFonts w:ascii="Calibri" w:hAnsi="Calibri"/>
        </w:rPr>
        <w:t>to how the scenarios play out, both in the selection of important driving forces, their major trends and/or scenario outcomes.</w:t>
      </w:r>
    </w:p>
    <w:p w:rsidR="00C07DB6" w:rsidRPr="002C3535" w:rsidRDefault="00C07DB6" w:rsidP="00C07DB6">
      <w:pPr>
        <w:rPr>
          <w:rFonts w:ascii="Calibri" w:hAnsi="Calibri"/>
        </w:rPr>
      </w:pPr>
      <w:r>
        <w:rPr>
          <w:rFonts w:ascii="Calibri" w:hAnsi="Calibri"/>
        </w:rPr>
        <w:t xml:space="preserve">Scenarios are </w:t>
      </w:r>
      <w:r w:rsidRPr="00B906B9">
        <w:rPr>
          <w:rFonts w:ascii="Calibri" w:hAnsi="Calibri"/>
          <w:i/>
        </w:rPr>
        <w:t>comparable</w:t>
      </w:r>
      <w:r w:rsidRPr="00C07DB6">
        <w:rPr>
          <w:rFonts w:ascii="Calibri" w:hAnsi="Calibri"/>
        </w:rPr>
        <w:t xml:space="preserve"> </w:t>
      </w:r>
      <w:r>
        <w:rPr>
          <w:rFonts w:ascii="Calibri" w:hAnsi="Calibri"/>
        </w:rPr>
        <w:t>when developed</w:t>
      </w:r>
      <w:r w:rsidRPr="00C07DB6">
        <w:rPr>
          <w:rFonts w:ascii="Calibri" w:hAnsi="Calibri"/>
        </w:rPr>
        <w:t xml:space="preserve"> largely independent at different scales,</w:t>
      </w:r>
      <w:r>
        <w:rPr>
          <w:rFonts w:ascii="Calibri" w:hAnsi="Calibri"/>
        </w:rPr>
        <w:t xml:space="preserve"> </w:t>
      </w:r>
      <w:r w:rsidRPr="00C07DB6">
        <w:rPr>
          <w:rFonts w:ascii="Calibri" w:hAnsi="Calibri"/>
        </w:rPr>
        <w:t>connected</w:t>
      </w:r>
      <w:r>
        <w:rPr>
          <w:rFonts w:ascii="Calibri" w:hAnsi="Calibri"/>
        </w:rPr>
        <w:t xml:space="preserve"> </w:t>
      </w:r>
      <w:r w:rsidRPr="00C07DB6">
        <w:rPr>
          <w:rFonts w:ascii="Calibri" w:hAnsi="Calibri"/>
        </w:rPr>
        <w:t xml:space="preserve">mainly by </w:t>
      </w:r>
      <w:r>
        <w:rPr>
          <w:rFonts w:ascii="Calibri" w:hAnsi="Calibri"/>
        </w:rPr>
        <w:t>shared concepts or general issues that are addressed</w:t>
      </w:r>
      <w:r w:rsidRPr="00C07DB6">
        <w:rPr>
          <w:rFonts w:ascii="Calibri" w:hAnsi="Calibri"/>
        </w:rPr>
        <w:t xml:space="preserve">. </w:t>
      </w:r>
      <w:r>
        <w:rPr>
          <w:rFonts w:ascii="Calibri" w:hAnsi="Calibri"/>
        </w:rPr>
        <w:t xml:space="preserve">Scenario sets might include </w:t>
      </w:r>
      <w:r w:rsidRPr="00C07DB6">
        <w:rPr>
          <w:rFonts w:ascii="Calibri" w:hAnsi="Calibri"/>
        </w:rPr>
        <w:t>very different, even contradicting scenarios at</w:t>
      </w:r>
      <w:r>
        <w:rPr>
          <w:rFonts w:ascii="Calibri" w:hAnsi="Calibri"/>
        </w:rPr>
        <w:t xml:space="preserve"> </w:t>
      </w:r>
      <w:r w:rsidRPr="00C07DB6">
        <w:rPr>
          <w:rFonts w:ascii="Calibri" w:hAnsi="Calibri"/>
        </w:rPr>
        <w:t>different geographical scales</w:t>
      </w:r>
      <w:r>
        <w:rPr>
          <w:rFonts w:ascii="Calibri" w:hAnsi="Calibri"/>
        </w:rPr>
        <w:t>.</w:t>
      </w:r>
      <w:r w:rsidRPr="00C07DB6">
        <w:rPr>
          <w:rFonts w:ascii="Calibri" w:hAnsi="Calibri"/>
        </w:rPr>
        <w:t xml:space="preserve"> </w:t>
      </w:r>
    </w:p>
    <w:p w:rsidR="00D22B12" w:rsidRDefault="00DF0391">
      <w:pPr>
        <w:rPr>
          <w:rFonts w:asciiTheme="minorHAnsi" w:hAnsiTheme="minorHAnsi"/>
          <w:b/>
        </w:rPr>
      </w:pPr>
      <w:r>
        <w:rPr>
          <w:rFonts w:asciiTheme="minorHAnsi" w:hAnsiTheme="minorHAnsi"/>
        </w:rPr>
        <w:t xml:space="preserve">Scenarios are </w:t>
      </w:r>
      <w:r w:rsidRPr="00B906B9">
        <w:rPr>
          <w:rFonts w:asciiTheme="minorHAnsi" w:hAnsiTheme="minorHAnsi"/>
          <w:i/>
        </w:rPr>
        <w:t>complementary</w:t>
      </w:r>
      <w:r>
        <w:rPr>
          <w:rFonts w:asciiTheme="minorHAnsi" w:hAnsiTheme="minorHAnsi"/>
        </w:rPr>
        <w:t xml:space="preserve"> when developed independently with differences in t</w:t>
      </w:r>
      <w:r w:rsidRPr="00B906B9">
        <w:rPr>
          <w:rFonts w:asciiTheme="minorHAnsi" w:hAnsiTheme="minorHAnsi"/>
        </w:rPr>
        <w:t xml:space="preserve">he logics and assumptions </w:t>
      </w:r>
      <w:r w:rsidRPr="00DF0391">
        <w:rPr>
          <w:rFonts w:asciiTheme="minorHAnsi" w:hAnsiTheme="minorHAnsi"/>
        </w:rPr>
        <w:t xml:space="preserve">across scales, yet </w:t>
      </w:r>
      <w:r>
        <w:rPr>
          <w:rFonts w:asciiTheme="minorHAnsi" w:hAnsiTheme="minorHAnsi"/>
        </w:rPr>
        <w:t xml:space="preserve">complementing </w:t>
      </w:r>
      <w:r w:rsidRPr="00B906B9">
        <w:rPr>
          <w:rFonts w:asciiTheme="minorHAnsi" w:hAnsiTheme="minorHAnsi"/>
        </w:rPr>
        <w:t>each other as they illustrate how an issue may be perceived differently at different scales, or</w:t>
      </w:r>
      <w:r>
        <w:rPr>
          <w:rFonts w:asciiTheme="minorHAnsi" w:hAnsiTheme="minorHAnsi"/>
        </w:rPr>
        <w:t xml:space="preserve"> </w:t>
      </w:r>
      <w:r w:rsidRPr="00B906B9">
        <w:rPr>
          <w:rFonts w:asciiTheme="minorHAnsi" w:hAnsiTheme="minorHAnsi"/>
        </w:rPr>
        <w:t>even how issues differ in their relevance</w:t>
      </w:r>
      <w:r>
        <w:rPr>
          <w:rFonts w:asciiTheme="minorHAnsi" w:hAnsiTheme="minorHAnsi"/>
        </w:rPr>
        <w:t>.</w:t>
      </w:r>
    </w:p>
    <w:p w:rsidR="00D22B12" w:rsidRDefault="00D22B12">
      <w:pPr>
        <w:rPr>
          <w:rFonts w:asciiTheme="minorHAnsi" w:hAnsiTheme="minorHAnsi"/>
          <w:b/>
        </w:rPr>
      </w:pPr>
      <w:r w:rsidRPr="00D22B12">
        <w:rPr>
          <w:rFonts w:asciiTheme="minorHAnsi" w:hAnsiTheme="minorHAnsi"/>
          <w:b/>
        </w:rPr>
        <w:t>Coupling the scenario development processes at different geographical scales</w:t>
      </w:r>
    </w:p>
    <w:p w:rsidR="002C3535" w:rsidRDefault="002C3535" w:rsidP="002C3535">
      <w:pPr>
        <w:rPr>
          <w:rFonts w:asciiTheme="minorHAnsi" w:hAnsiTheme="minorHAnsi"/>
          <w:b/>
        </w:rPr>
      </w:pPr>
      <w:r>
        <w:rPr>
          <w:rFonts w:ascii="Calibri" w:hAnsi="Calibri"/>
        </w:rPr>
        <w:t>Zurek and Henrichs go on to introduce five approaches by which these scenarios can be derived. These approaches mostly assume a process that is designed beforehand, which will allow, for example, a joint process (1) where scenarios are developed by the same group of stakeholders, or a parallel process (2) where different groups build scenarios at different scales. They note that a consecutive process (3), with scenarios being developed and finalised at one level before being fleshed out at another scale, is most common. The list furthermore includes iterative (4) and independent processes (5). Zurek and Henrichs conclude by suggesting that process and outcomes are linked with a more dependent process needed when aiming at more closely tied scenarios.</w:t>
      </w:r>
    </w:p>
    <w:p w:rsidR="003A79BD" w:rsidRDefault="003A79BD">
      <w:pPr>
        <w:rPr>
          <w:rFonts w:asciiTheme="minorHAnsi" w:hAnsiTheme="minorHAnsi"/>
          <w:b/>
        </w:rPr>
      </w:pPr>
    </w:p>
    <w:p w:rsidR="003A79BD" w:rsidRPr="00B906B9" w:rsidRDefault="00390617">
      <w:pPr>
        <w:rPr>
          <w:rFonts w:asciiTheme="minorHAnsi" w:hAnsiTheme="minorHAnsi"/>
        </w:rPr>
      </w:pPr>
      <w:r>
        <w:rPr>
          <w:rFonts w:asciiTheme="minorHAnsi" w:hAnsiTheme="minorHAnsi"/>
        </w:rPr>
        <w:t>Table ESM1</w:t>
      </w:r>
      <w:r w:rsidR="003A79BD" w:rsidRPr="00B906B9">
        <w:rPr>
          <w:rFonts w:asciiTheme="minorHAnsi" w:hAnsiTheme="minorHAnsi"/>
        </w:rPr>
        <w:t xml:space="preserve">. </w:t>
      </w:r>
      <w:r w:rsidR="003A79BD">
        <w:rPr>
          <w:rFonts w:asciiTheme="minorHAnsi" w:hAnsiTheme="minorHAnsi"/>
        </w:rPr>
        <w:t>Relationship between scenario development process and scenario outcomes, ranging from - -  (very unlikely) to ++ (very likely)</w:t>
      </w:r>
    </w:p>
    <w:tbl>
      <w:tblPr>
        <w:tblStyle w:val="TableGrid"/>
        <w:tblW w:w="0" w:type="auto"/>
        <w:tblLook w:val="04A0" w:firstRow="1" w:lastRow="0" w:firstColumn="1" w:lastColumn="0" w:noHBand="0" w:noVBand="1"/>
      </w:tblPr>
      <w:tblGrid>
        <w:gridCol w:w="1628"/>
        <w:gridCol w:w="1468"/>
        <w:gridCol w:w="1480"/>
        <w:gridCol w:w="1482"/>
        <w:gridCol w:w="1502"/>
        <w:gridCol w:w="1502"/>
      </w:tblGrid>
      <w:tr w:rsidR="003A79BD" w:rsidRPr="003A79BD" w:rsidTr="003A79BD">
        <w:tc>
          <w:tcPr>
            <w:tcW w:w="1510" w:type="dxa"/>
          </w:tcPr>
          <w:p w:rsidR="003A79BD" w:rsidRPr="00B906B9" w:rsidRDefault="003A79BD">
            <w:pPr>
              <w:rPr>
                <w:rFonts w:ascii="Arial" w:hAnsi="Arial" w:cs="Arial"/>
                <w:sz w:val="20"/>
                <w:szCs w:val="20"/>
              </w:rPr>
            </w:pPr>
          </w:p>
        </w:tc>
        <w:tc>
          <w:tcPr>
            <w:tcW w:w="1510" w:type="dxa"/>
          </w:tcPr>
          <w:p w:rsidR="003A79BD" w:rsidRPr="00B906B9" w:rsidRDefault="003A79BD">
            <w:pPr>
              <w:rPr>
                <w:rFonts w:ascii="Arial" w:hAnsi="Arial" w:cs="Arial"/>
                <w:sz w:val="20"/>
                <w:szCs w:val="20"/>
              </w:rPr>
            </w:pPr>
            <w:r>
              <w:rPr>
                <w:rFonts w:ascii="Arial" w:hAnsi="Arial" w:cs="Arial"/>
                <w:sz w:val="20"/>
                <w:szCs w:val="20"/>
              </w:rPr>
              <w:t xml:space="preserve">Joint </w:t>
            </w:r>
          </w:p>
        </w:tc>
        <w:tc>
          <w:tcPr>
            <w:tcW w:w="1510" w:type="dxa"/>
          </w:tcPr>
          <w:p w:rsidR="003A79BD" w:rsidRPr="00B906B9" w:rsidRDefault="003A79BD">
            <w:pPr>
              <w:rPr>
                <w:rFonts w:ascii="Arial" w:hAnsi="Arial" w:cs="Arial"/>
                <w:sz w:val="20"/>
                <w:szCs w:val="20"/>
              </w:rPr>
            </w:pPr>
            <w:r>
              <w:rPr>
                <w:rFonts w:ascii="Arial" w:hAnsi="Arial" w:cs="Arial"/>
                <w:sz w:val="20"/>
                <w:szCs w:val="20"/>
              </w:rPr>
              <w:t>Parallel</w:t>
            </w:r>
          </w:p>
        </w:tc>
        <w:tc>
          <w:tcPr>
            <w:tcW w:w="1510" w:type="dxa"/>
          </w:tcPr>
          <w:p w:rsidR="003A79BD" w:rsidRPr="00B906B9" w:rsidRDefault="003A79BD">
            <w:pPr>
              <w:rPr>
                <w:rFonts w:ascii="Arial" w:hAnsi="Arial" w:cs="Arial"/>
                <w:sz w:val="20"/>
                <w:szCs w:val="20"/>
              </w:rPr>
            </w:pPr>
            <w:r>
              <w:rPr>
                <w:rFonts w:ascii="Arial" w:hAnsi="Arial" w:cs="Arial"/>
                <w:sz w:val="20"/>
                <w:szCs w:val="20"/>
              </w:rPr>
              <w:t>Iterative</w:t>
            </w:r>
          </w:p>
        </w:tc>
        <w:tc>
          <w:tcPr>
            <w:tcW w:w="1511" w:type="dxa"/>
          </w:tcPr>
          <w:p w:rsidR="003A79BD" w:rsidRPr="00B906B9" w:rsidRDefault="003A79BD">
            <w:pPr>
              <w:rPr>
                <w:rFonts w:ascii="Arial" w:hAnsi="Arial" w:cs="Arial"/>
                <w:sz w:val="20"/>
                <w:szCs w:val="20"/>
              </w:rPr>
            </w:pPr>
            <w:r>
              <w:rPr>
                <w:rFonts w:ascii="Arial" w:hAnsi="Arial" w:cs="Arial"/>
                <w:sz w:val="20"/>
                <w:szCs w:val="20"/>
              </w:rPr>
              <w:t>Consecutive</w:t>
            </w:r>
          </w:p>
        </w:tc>
        <w:tc>
          <w:tcPr>
            <w:tcW w:w="1511" w:type="dxa"/>
          </w:tcPr>
          <w:p w:rsidR="003A79BD" w:rsidRPr="00B906B9" w:rsidRDefault="003A79BD">
            <w:pPr>
              <w:rPr>
                <w:rFonts w:ascii="Arial" w:hAnsi="Arial" w:cs="Arial"/>
                <w:sz w:val="20"/>
                <w:szCs w:val="20"/>
              </w:rPr>
            </w:pPr>
            <w:r>
              <w:rPr>
                <w:rFonts w:ascii="Arial" w:hAnsi="Arial" w:cs="Arial"/>
                <w:sz w:val="20"/>
                <w:szCs w:val="20"/>
              </w:rPr>
              <w:t>Independent</w:t>
            </w:r>
          </w:p>
        </w:tc>
      </w:tr>
      <w:tr w:rsidR="003A79BD" w:rsidRPr="003A79BD" w:rsidTr="003A79BD">
        <w:tc>
          <w:tcPr>
            <w:tcW w:w="1510" w:type="dxa"/>
          </w:tcPr>
          <w:p w:rsidR="003A79BD" w:rsidRPr="00B906B9" w:rsidRDefault="003A79BD">
            <w:pPr>
              <w:rPr>
                <w:rFonts w:ascii="Arial" w:hAnsi="Arial" w:cs="Arial"/>
                <w:sz w:val="20"/>
                <w:szCs w:val="20"/>
              </w:rPr>
            </w:pPr>
            <w:r w:rsidRPr="00B906B9">
              <w:rPr>
                <w:rFonts w:ascii="Arial" w:hAnsi="Arial" w:cs="Arial"/>
                <w:sz w:val="20"/>
                <w:szCs w:val="20"/>
              </w:rPr>
              <w:t>Equivalent</w:t>
            </w:r>
          </w:p>
        </w:tc>
        <w:tc>
          <w:tcPr>
            <w:tcW w:w="1510" w:type="dxa"/>
          </w:tcPr>
          <w:p w:rsidR="003A79BD" w:rsidRPr="00B906B9" w:rsidRDefault="003A79BD">
            <w:pPr>
              <w:rPr>
                <w:rFonts w:ascii="Arial" w:hAnsi="Arial" w:cs="Arial"/>
                <w:sz w:val="20"/>
                <w:szCs w:val="20"/>
              </w:rPr>
            </w:pPr>
            <w:r>
              <w:rPr>
                <w:rFonts w:ascii="Arial" w:hAnsi="Arial" w:cs="Arial"/>
                <w:sz w:val="20"/>
                <w:szCs w:val="20"/>
              </w:rPr>
              <w:t>++</w:t>
            </w:r>
          </w:p>
        </w:tc>
        <w:tc>
          <w:tcPr>
            <w:tcW w:w="1510" w:type="dxa"/>
          </w:tcPr>
          <w:p w:rsidR="003A79BD" w:rsidRPr="00B906B9" w:rsidRDefault="003A79BD">
            <w:pPr>
              <w:rPr>
                <w:rFonts w:ascii="Arial" w:hAnsi="Arial" w:cs="Arial"/>
                <w:sz w:val="20"/>
                <w:szCs w:val="20"/>
              </w:rPr>
            </w:pPr>
            <w:r>
              <w:rPr>
                <w:rFonts w:ascii="Arial" w:hAnsi="Arial" w:cs="Arial"/>
                <w:sz w:val="20"/>
                <w:szCs w:val="20"/>
              </w:rPr>
              <w:t>-</w:t>
            </w:r>
          </w:p>
        </w:tc>
        <w:tc>
          <w:tcPr>
            <w:tcW w:w="1510" w:type="dxa"/>
          </w:tcPr>
          <w:p w:rsidR="003A79BD" w:rsidRPr="00B906B9" w:rsidRDefault="00D80486">
            <w:pPr>
              <w:rPr>
                <w:rFonts w:ascii="Arial" w:hAnsi="Arial" w:cs="Arial"/>
                <w:sz w:val="20"/>
                <w:szCs w:val="20"/>
              </w:rPr>
            </w:pPr>
            <w:r>
              <w:rPr>
                <w:rFonts w:ascii="Arial" w:hAnsi="Arial" w:cs="Arial"/>
                <w:sz w:val="20"/>
                <w:szCs w:val="20"/>
              </w:rPr>
              <w:t>+</w:t>
            </w:r>
          </w:p>
        </w:tc>
        <w:tc>
          <w:tcPr>
            <w:tcW w:w="1511" w:type="dxa"/>
          </w:tcPr>
          <w:p w:rsidR="003A79BD" w:rsidRPr="00B906B9" w:rsidRDefault="00D80486">
            <w:pPr>
              <w:rPr>
                <w:rFonts w:ascii="Arial" w:hAnsi="Arial" w:cs="Arial"/>
                <w:sz w:val="20"/>
                <w:szCs w:val="20"/>
              </w:rPr>
            </w:pPr>
            <w:r>
              <w:rPr>
                <w:rFonts w:ascii="Arial" w:hAnsi="Arial" w:cs="Arial"/>
                <w:sz w:val="20"/>
                <w:szCs w:val="20"/>
              </w:rPr>
              <w:t>+</w:t>
            </w:r>
          </w:p>
        </w:tc>
        <w:tc>
          <w:tcPr>
            <w:tcW w:w="1511" w:type="dxa"/>
          </w:tcPr>
          <w:p w:rsidR="003A79BD" w:rsidRPr="00B906B9" w:rsidRDefault="00D80486">
            <w:pPr>
              <w:rPr>
                <w:rFonts w:ascii="Arial" w:hAnsi="Arial" w:cs="Arial"/>
                <w:sz w:val="20"/>
                <w:szCs w:val="20"/>
              </w:rPr>
            </w:pPr>
            <w:r>
              <w:rPr>
                <w:rFonts w:ascii="Arial" w:hAnsi="Arial" w:cs="Arial"/>
                <w:sz w:val="20"/>
                <w:szCs w:val="20"/>
              </w:rPr>
              <w:t>- -</w:t>
            </w:r>
          </w:p>
        </w:tc>
      </w:tr>
      <w:tr w:rsidR="003A79BD" w:rsidRPr="003A79BD" w:rsidTr="003A79BD">
        <w:tc>
          <w:tcPr>
            <w:tcW w:w="1510" w:type="dxa"/>
          </w:tcPr>
          <w:p w:rsidR="003A79BD" w:rsidRPr="00B906B9" w:rsidRDefault="003A79BD">
            <w:pPr>
              <w:rPr>
                <w:rFonts w:ascii="Arial" w:hAnsi="Arial" w:cs="Arial"/>
                <w:sz w:val="20"/>
                <w:szCs w:val="20"/>
              </w:rPr>
            </w:pPr>
            <w:r>
              <w:rPr>
                <w:rFonts w:ascii="Arial" w:hAnsi="Arial" w:cs="Arial"/>
                <w:sz w:val="20"/>
                <w:szCs w:val="20"/>
              </w:rPr>
              <w:t>Consistent</w:t>
            </w:r>
          </w:p>
        </w:tc>
        <w:tc>
          <w:tcPr>
            <w:tcW w:w="1510" w:type="dxa"/>
          </w:tcPr>
          <w:p w:rsidR="003A79BD" w:rsidRPr="00B906B9" w:rsidRDefault="003A79BD">
            <w:pPr>
              <w:rPr>
                <w:rFonts w:ascii="Arial" w:hAnsi="Arial" w:cs="Arial"/>
                <w:sz w:val="20"/>
                <w:szCs w:val="20"/>
              </w:rPr>
            </w:pPr>
            <w:r>
              <w:rPr>
                <w:rFonts w:ascii="Arial" w:hAnsi="Arial" w:cs="Arial"/>
                <w:sz w:val="20"/>
                <w:szCs w:val="20"/>
              </w:rPr>
              <w:t>+</w:t>
            </w:r>
          </w:p>
        </w:tc>
        <w:tc>
          <w:tcPr>
            <w:tcW w:w="1510" w:type="dxa"/>
          </w:tcPr>
          <w:p w:rsidR="003A79BD" w:rsidRPr="00B906B9" w:rsidRDefault="003A79BD">
            <w:pPr>
              <w:rPr>
                <w:rFonts w:ascii="Arial" w:hAnsi="Arial" w:cs="Arial"/>
                <w:sz w:val="20"/>
                <w:szCs w:val="20"/>
              </w:rPr>
            </w:pPr>
            <w:r>
              <w:rPr>
                <w:rFonts w:ascii="Arial" w:hAnsi="Arial" w:cs="Arial"/>
                <w:sz w:val="20"/>
                <w:szCs w:val="20"/>
              </w:rPr>
              <w:t>+</w:t>
            </w:r>
          </w:p>
        </w:tc>
        <w:tc>
          <w:tcPr>
            <w:tcW w:w="1510" w:type="dxa"/>
          </w:tcPr>
          <w:p w:rsidR="003A79BD" w:rsidRPr="00B906B9" w:rsidRDefault="00D80486">
            <w:pPr>
              <w:rPr>
                <w:rFonts w:ascii="Arial" w:hAnsi="Arial" w:cs="Arial"/>
                <w:sz w:val="20"/>
                <w:szCs w:val="20"/>
              </w:rPr>
            </w:pPr>
            <w:r>
              <w:rPr>
                <w:rFonts w:ascii="Arial" w:hAnsi="Arial" w:cs="Arial"/>
                <w:sz w:val="20"/>
                <w:szCs w:val="20"/>
              </w:rPr>
              <w:t>- -</w:t>
            </w:r>
          </w:p>
        </w:tc>
        <w:tc>
          <w:tcPr>
            <w:tcW w:w="1511" w:type="dxa"/>
          </w:tcPr>
          <w:p w:rsidR="003A79BD" w:rsidRPr="00B906B9" w:rsidRDefault="00D80486">
            <w:pPr>
              <w:rPr>
                <w:rFonts w:ascii="Arial" w:hAnsi="Arial" w:cs="Arial"/>
                <w:sz w:val="20"/>
                <w:szCs w:val="20"/>
              </w:rPr>
            </w:pPr>
            <w:r>
              <w:rPr>
                <w:rFonts w:ascii="Arial" w:hAnsi="Arial" w:cs="Arial"/>
                <w:sz w:val="20"/>
                <w:szCs w:val="20"/>
              </w:rPr>
              <w:t>++</w:t>
            </w:r>
          </w:p>
        </w:tc>
        <w:tc>
          <w:tcPr>
            <w:tcW w:w="1511" w:type="dxa"/>
          </w:tcPr>
          <w:p w:rsidR="003A79BD" w:rsidRPr="00B906B9" w:rsidRDefault="00D80486">
            <w:pPr>
              <w:rPr>
                <w:rFonts w:ascii="Arial" w:hAnsi="Arial" w:cs="Arial"/>
                <w:sz w:val="20"/>
                <w:szCs w:val="20"/>
              </w:rPr>
            </w:pPr>
            <w:r>
              <w:rPr>
                <w:rFonts w:ascii="Arial" w:hAnsi="Arial" w:cs="Arial"/>
                <w:sz w:val="20"/>
                <w:szCs w:val="20"/>
              </w:rPr>
              <w:t>-</w:t>
            </w:r>
          </w:p>
        </w:tc>
      </w:tr>
      <w:tr w:rsidR="003A79BD" w:rsidRPr="003A79BD" w:rsidTr="003A79BD">
        <w:tc>
          <w:tcPr>
            <w:tcW w:w="1510" w:type="dxa"/>
          </w:tcPr>
          <w:p w:rsidR="003A79BD" w:rsidRPr="00B906B9" w:rsidRDefault="003A79BD">
            <w:pPr>
              <w:rPr>
                <w:rFonts w:ascii="Arial" w:hAnsi="Arial" w:cs="Arial"/>
                <w:sz w:val="20"/>
                <w:szCs w:val="20"/>
              </w:rPr>
            </w:pPr>
            <w:r>
              <w:rPr>
                <w:rFonts w:ascii="Arial" w:hAnsi="Arial" w:cs="Arial"/>
                <w:sz w:val="20"/>
                <w:szCs w:val="20"/>
              </w:rPr>
              <w:t>Coherent</w:t>
            </w:r>
          </w:p>
        </w:tc>
        <w:tc>
          <w:tcPr>
            <w:tcW w:w="1510" w:type="dxa"/>
          </w:tcPr>
          <w:p w:rsidR="003A79BD" w:rsidRPr="00B906B9" w:rsidRDefault="003A79BD">
            <w:pPr>
              <w:rPr>
                <w:rFonts w:ascii="Arial" w:hAnsi="Arial" w:cs="Arial"/>
                <w:sz w:val="20"/>
                <w:szCs w:val="20"/>
              </w:rPr>
            </w:pPr>
            <w:r>
              <w:rPr>
                <w:rFonts w:ascii="Arial" w:hAnsi="Arial" w:cs="Arial"/>
                <w:sz w:val="20"/>
                <w:szCs w:val="20"/>
              </w:rPr>
              <w:t>+</w:t>
            </w:r>
          </w:p>
        </w:tc>
        <w:tc>
          <w:tcPr>
            <w:tcW w:w="1510" w:type="dxa"/>
          </w:tcPr>
          <w:p w:rsidR="003A79BD" w:rsidRPr="00B906B9" w:rsidRDefault="003A79BD">
            <w:pPr>
              <w:rPr>
                <w:rFonts w:ascii="Arial" w:hAnsi="Arial" w:cs="Arial"/>
                <w:sz w:val="20"/>
                <w:szCs w:val="20"/>
              </w:rPr>
            </w:pPr>
            <w:r>
              <w:rPr>
                <w:rFonts w:ascii="Arial" w:hAnsi="Arial" w:cs="Arial"/>
                <w:sz w:val="20"/>
                <w:szCs w:val="20"/>
              </w:rPr>
              <w:t>+</w:t>
            </w:r>
          </w:p>
        </w:tc>
        <w:tc>
          <w:tcPr>
            <w:tcW w:w="1510" w:type="dxa"/>
          </w:tcPr>
          <w:p w:rsidR="003A79BD" w:rsidRPr="00B906B9" w:rsidRDefault="00D80486">
            <w:pPr>
              <w:rPr>
                <w:rFonts w:ascii="Arial" w:hAnsi="Arial" w:cs="Arial"/>
                <w:sz w:val="20"/>
                <w:szCs w:val="20"/>
              </w:rPr>
            </w:pPr>
            <w:r>
              <w:rPr>
                <w:rFonts w:ascii="Arial" w:hAnsi="Arial" w:cs="Arial"/>
                <w:sz w:val="20"/>
                <w:szCs w:val="20"/>
              </w:rPr>
              <w:t>+</w:t>
            </w:r>
          </w:p>
        </w:tc>
        <w:tc>
          <w:tcPr>
            <w:tcW w:w="1511" w:type="dxa"/>
          </w:tcPr>
          <w:p w:rsidR="003A79BD" w:rsidRPr="00B906B9" w:rsidRDefault="00D80486">
            <w:pPr>
              <w:rPr>
                <w:rFonts w:ascii="Arial" w:hAnsi="Arial" w:cs="Arial"/>
                <w:sz w:val="20"/>
                <w:szCs w:val="20"/>
              </w:rPr>
            </w:pPr>
            <w:r>
              <w:rPr>
                <w:rFonts w:ascii="Arial" w:hAnsi="Arial" w:cs="Arial"/>
                <w:sz w:val="20"/>
                <w:szCs w:val="20"/>
              </w:rPr>
              <w:t>++</w:t>
            </w:r>
          </w:p>
        </w:tc>
        <w:tc>
          <w:tcPr>
            <w:tcW w:w="1511" w:type="dxa"/>
          </w:tcPr>
          <w:p w:rsidR="003A79BD" w:rsidRPr="00B906B9" w:rsidRDefault="00D80486">
            <w:pPr>
              <w:rPr>
                <w:rFonts w:ascii="Arial" w:hAnsi="Arial" w:cs="Arial"/>
                <w:sz w:val="20"/>
                <w:szCs w:val="20"/>
              </w:rPr>
            </w:pPr>
            <w:r>
              <w:rPr>
                <w:rFonts w:ascii="Arial" w:hAnsi="Arial" w:cs="Arial"/>
                <w:sz w:val="20"/>
                <w:szCs w:val="20"/>
              </w:rPr>
              <w:t>-</w:t>
            </w:r>
          </w:p>
        </w:tc>
      </w:tr>
      <w:tr w:rsidR="003A79BD" w:rsidRPr="003A79BD" w:rsidTr="003A79BD">
        <w:tc>
          <w:tcPr>
            <w:tcW w:w="1510" w:type="dxa"/>
          </w:tcPr>
          <w:p w:rsidR="003A79BD" w:rsidRPr="00B906B9" w:rsidRDefault="003A79BD">
            <w:pPr>
              <w:rPr>
                <w:rFonts w:ascii="Arial" w:hAnsi="Arial" w:cs="Arial"/>
                <w:sz w:val="20"/>
                <w:szCs w:val="20"/>
              </w:rPr>
            </w:pPr>
            <w:r>
              <w:rPr>
                <w:rFonts w:ascii="Arial" w:hAnsi="Arial" w:cs="Arial"/>
                <w:sz w:val="20"/>
                <w:szCs w:val="20"/>
              </w:rPr>
              <w:t>Comparable</w:t>
            </w:r>
          </w:p>
        </w:tc>
        <w:tc>
          <w:tcPr>
            <w:tcW w:w="1510" w:type="dxa"/>
          </w:tcPr>
          <w:p w:rsidR="003A79BD" w:rsidRPr="00B906B9" w:rsidRDefault="003A79BD">
            <w:pPr>
              <w:rPr>
                <w:rFonts w:ascii="Arial" w:hAnsi="Arial" w:cs="Arial"/>
                <w:sz w:val="20"/>
                <w:szCs w:val="20"/>
              </w:rPr>
            </w:pPr>
            <w:r>
              <w:rPr>
                <w:rFonts w:ascii="Arial" w:hAnsi="Arial" w:cs="Arial"/>
                <w:sz w:val="20"/>
                <w:szCs w:val="20"/>
              </w:rPr>
              <w:t>+</w:t>
            </w:r>
          </w:p>
        </w:tc>
        <w:tc>
          <w:tcPr>
            <w:tcW w:w="1510" w:type="dxa"/>
          </w:tcPr>
          <w:p w:rsidR="003A79BD" w:rsidRPr="00B906B9" w:rsidRDefault="00D80486">
            <w:pPr>
              <w:rPr>
                <w:rFonts w:ascii="Arial" w:hAnsi="Arial" w:cs="Arial"/>
                <w:sz w:val="20"/>
                <w:szCs w:val="20"/>
              </w:rPr>
            </w:pPr>
            <w:r>
              <w:rPr>
                <w:rFonts w:ascii="Arial" w:hAnsi="Arial" w:cs="Arial"/>
                <w:sz w:val="20"/>
                <w:szCs w:val="20"/>
              </w:rPr>
              <w:t>++</w:t>
            </w:r>
          </w:p>
        </w:tc>
        <w:tc>
          <w:tcPr>
            <w:tcW w:w="1510" w:type="dxa"/>
          </w:tcPr>
          <w:p w:rsidR="003A79BD" w:rsidRPr="00B906B9" w:rsidRDefault="00D80486">
            <w:pPr>
              <w:rPr>
                <w:rFonts w:ascii="Arial" w:hAnsi="Arial" w:cs="Arial"/>
                <w:sz w:val="20"/>
                <w:szCs w:val="20"/>
              </w:rPr>
            </w:pPr>
            <w:r>
              <w:rPr>
                <w:rFonts w:ascii="Arial" w:hAnsi="Arial" w:cs="Arial"/>
                <w:sz w:val="20"/>
                <w:szCs w:val="20"/>
              </w:rPr>
              <w:t>+</w:t>
            </w:r>
          </w:p>
        </w:tc>
        <w:tc>
          <w:tcPr>
            <w:tcW w:w="1511" w:type="dxa"/>
          </w:tcPr>
          <w:p w:rsidR="003A79BD" w:rsidRPr="00B906B9" w:rsidRDefault="00D80486">
            <w:pPr>
              <w:rPr>
                <w:rFonts w:ascii="Arial" w:hAnsi="Arial" w:cs="Arial"/>
                <w:sz w:val="20"/>
                <w:szCs w:val="20"/>
              </w:rPr>
            </w:pPr>
            <w:r>
              <w:rPr>
                <w:rFonts w:ascii="Arial" w:hAnsi="Arial" w:cs="Arial"/>
                <w:sz w:val="20"/>
                <w:szCs w:val="20"/>
              </w:rPr>
              <w:t>+</w:t>
            </w:r>
          </w:p>
        </w:tc>
        <w:tc>
          <w:tcPr>
            <w:tcW w:w="1511" w:type="dxa"/>
          </w:tcPr>
          <w:p w:rsidR="003A79BD" w:rsidRPr="00B906B9" w:rsidRDefault="00D80486">
            <w:pPr>
              <w:rPr>
                <w:rFonts w:ascii="Arial" w:hAnsi="Arial" w:cs="Arial"/>
                <w:sz w:val="20"/>
                <w:szCs w:val="20"/>
              </w:rPr>
            </w:pPr>
            <w:r>
              <w:rPr>
                <w:rFonts w:ascii="Arial" w:hAnsi="Arial" w:cs="Arial"/>
                <w:sz w:val="20"/>
                <w:szCs w:val="20"/>
              </w:rPr>
              <w:t>+</w:t>
            </w:r>
          </w:p>
        </w:tc>
      </w:tr>
      <w:tr w:rsidR="003A79BD" w:rsidRPr="003A79BD" w:rsidTr="003A79BD">
        <w:tc>
          <w:tcPr>
            <w:tcW w:w="1510" w:type="dxa"/>
          </w:tcPr>
          <w:p w:rsidR="003A79BD" w:rsidRPr="00B906B9" w:rsidRDefault="003A79BD">
            <w:pPr>
              <w:rPr>
                <w:rFonts w:ascii="Arial" w:hAnsi="Arial" w:cs="Arial"/>
                <w:sz w:val="20"/>
                <w:szCs w:val="20"/>
              </w:rPr>
            </w:pPr>
            <w:r>
              <w:rPr>
                <w:rFonts w:ascii="Arial" w:hAnsi="Arial" w:cs="Arial"/>
                <w:sz w:val="20"/>
                <w:szCs w:val="20"/>
              </w:rPr>
              <w:t>Complementary</w:t>
            </w:r>
          </w:p>
        </w:tc>
        <w:tc>
          <w:tcPr>
            <w:tcW w:w="1510" w:type="dxa"/>
          </w:tcPr>
          <w:p w:rsidR="003A79BD" w:rsidRPr="00B906B9" w:rsidRDefault="003A79BD">
            <w:pPr>
              <w:rPr>
                <w:rFonts w:ascii="Arial" w:hAnsi="Arial" w:cs="Arial"/>
                <w:sz w:val="20"/>
                <w:szCs w:val="20"/>
              </w:rPr>
            </w:pPr>
            <w:r>
              <w:rPr>
                <w:rFonts w:ascii="Arial" w:hAnsi="Arial" w:cs="Arial"/>
                <w:sz w:val="20"/>
                <w:szCs w:val="20"/>
              </w:rPr>
              <w:t>-</w:t>
            </w:r>
          </w:p>
        </w:tc>
        <w:tc>
          <w:tcPr>
            <w:tcW w:w="1510" w:type="dxa"/>
          </w:tcPr>
          <w:p w:rsidR="003A79BD" w:rsidRPr="00B906B9" w:rsidRDefault="00D80486">
            <w:pPr>
              <w:rPr>
                <w:rFonts w:ascii="Arial" w:hAnsi="Arial" w:cs="Arial"/>
                <w:sz w:val="20"/>
                <w:szCs w:val="20"/>
              </w:rPr>
            </w:pPr>
            <w:r>
              <w:rPr>
                <w:rFonts w:ascii="Arial" w:hAnsi="Arial" w:cs="Arial"/>
                <w:sz w:val="20"/>
                <w:szCs w:val="20"/>
              </w:rPr>
              <w:t>+</w:t>
            </w:r>
          </w:p>
        </w:tc>
        <w:tc>
          <w:tcPr>
            <w:tcW w:w="1510" w:type="dxa"/>
          </w:tcPr>
          <w:p w:rsidR="003A79BD" w:rsidRPr="00B906B9" w:rsidRDefault="00D80486">
            <w:pPr>
              <w:rPr>
                <w:rFonts w:ascii="Arial" w:hAnsi="Arial" w:cs="Arial"/>
                <w:sz w:val="20"/>
                <w:szCs w:val="20"/>
              </w:rPr>
            </w:pPr>
            <w:r>
              <w:rPr>
                <w:rFonts w:ascii="Arial" w:hAnsi="Arial" w:cs="Arial"/>
                <w:sz w:val="20"/>
                <w:szCs w:val="20"/>
              </w:rPr>
              <w:t>-</w:t>
            </w:r>
          </w:p>
        </w:tc>
        <w:tc>
          <w:tcPr>
            <w:tcW w:w="1511" w:type="dxa"/>
          </w:tcPr>
          <w:p w:rsidR="003A79BD" w:rsidRPr="00B906B9" w:rsidRDefault="00D80486">
            <w:pPr>
              <w:rPr>
                <w:rFonts w:ascii="Arial" w:hAnsi="Arial" w:cs="Arial"/>
                <w:sz w:val="20"/>
                <w:szCs w:val="20"/>
              </w:rPr>
            </w:pPr>
            <w:r>
              <w:rPr>
                <w:rFonts w:ascii="Arial" w:hAnsi="Arial" w:cs="Arial"/>
                <w:sz w:val="20"/>
                <w:szCs w:val="20"/>
              </w:rPr>
              <w:t>+</w:t>
            </w:r>
          </w:p>
        </w:tc>
        <w:tc>
          <w:tcPr>
            <w:tcW w:w="1511" w:type="dxa"/>
          </w:tcPr>
          <w:p w:rsidR="003A79BD" w:rsidRPr="00B906B9" w:rsidRDefault="00D80486">
            <w:pPr>
              <w:rPr>
                <w:rFonts w:ascii="Arial" w:hAnsi="Arial" w:cs="Arial"/>
                <w:sz w:val="20"/>
                <w:szCs w:val="20"/>
              </w:rPr>
            </w:pPr>
            <w:r>
              <w:rPr>
                <w:rFonts w:ascii="Arial" w:hAnsi="Arial" w:cs="Arial"/>
                <w:sz w:val="20"/>
                <w:szCs w:val="20"/>
              </w:rPr>
              <w:t>++</w:t>
            </w:r>
          </w:p>
        </w:tc>
      </w:tr>
    </w:tbl>
    <w:p w:rsidR="003A79BD" w:rsidRDefault="003A79BD">
      <w:pPr>
        <w:rPr>
          <w:rFonts w:asciiTheme="minorHAnsi" w:hAnsiTheme="minorHAnsi"/>
          <w:b/>
        </w:rPr>
      </w:pPr>
    </w:p>
    <w:p w:rsidR="004E1884" w:rsidRDefault="004E1884" w:rsidP="007D1AE2">
      <w:pPr>
        <w:rPr>
          <w:rFonts w:asciiTheme="minorHAnsi" w:hAnsiTheme="minorHAnsi"/>
          <w:b/>
        </w:rPr>
      </w:pPr>
      <w:r>
        <w:rPr>
          <w:rFonts w:asciiTheme="minorHAnsi" w:hAnsiTheme="minorHAnsi"/>
          <w:b/>
        </w:rPr>
        <w:lastRenderedPageBreak/>
        <w:t>ESM</w:t>
      </w:r>
      <w:r w:rsidR="00390617">
        <w:rPr>
          <w:rFonts w:asciiTheme="minorHAnsi" w:hAnsiTheme="minorHAnsi"/>
          <w:b/>
        </w:rPr>
        <w:t>3</w:t>
      </w:r>
      <w:r>
        <w:rPr>
          <w:rFonts w:asciiTheme="minorHAnsi" w:hAnsiTheme="minorHAnsi"/>
          <w:b/>
        </w:rPr>
        <w:t xml:space="preserve"> Development process of global SSPs</w:t>
      </w:r>
    </w:p>
    <w:p w:rsidR="0040148E" w:rsidRDefault="0040148E" w:rsidP="007D1AE2">
      <w:pPr>
        <w:rPr>
          <w:rFonts w:asciiTheme="minorHAnsi" w:hAnsiTheme="minorHAnsi"/>
        </w:rPr>
      </w:pPr>
      <w:r>
        <w:rPr>
          <w:rFonts w:ascii="Calibri" w:hAnsi="Calibri"/>
          <w:b/>
          <w:noProof/>
          <w:lang w:val="nl-NL" w:eastAsia="nl-NL"/>
        </w:rPr>
        <w:drawing>
          <wp:anchor distT="0" distB="0" distL="114300" distR="114300" simplePos="0" relativeHeight="251659264" behindDoc="0" locked="0" layoutInCell="1" allowOverlap="1" wp14:anchorId="6A301C9D" wp14:editId="52C6A9CC">
            <wp:simplePos x="0" y="0"/>
            <wp:positionH relativeFrom="column">
              <wp:posOffset>1099126</wp:posOffset>
            </wp:positionH>
            <wp:positionV relativeFrom="paragraph">
              <wp:posOffset>4198649</wp:posOffset>
            </wp:positionV>
            <wp:extent cx="3161178" cy="249865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1066" cy="2498562"/>
                    </a:xfrm>
                    <a:prstGeom prst="rect">
                      <a:avLst/>
                    </a:prstGeom>
                    <a:noFill/>
                  </pic:spPr>
                </pic:pic>
              </a:graphicData>
            </a:graphic>
            <wp14:sizeRelH relativeFrom="page">
              <wp14:pctWidth>0</wp14:pctWidth>
            </wp14:sizeRelH>
            <wp14:sizeRelV relativeFrom="page">
              <wp14:pctHeight>0</wp14:pctHeight>
            </wp14:sizeRelV>
          </wp:anchor>
        </w:drawing>
      </w:r>
      <w:r w:rsidR="004E1884" w:rsidRPr="004E1884">
        <w:rPr>
          <w:rFonts w:asciiTheme="minorHAnsi" w:hAnsiTheme="minorHAnsi"/>
        </w:rPr>
        <w:t>The SSPs aim to be the starting point for research that needs to consider the effects of socio-economic drivers of change on climate change impacts, adaptation and vulnerability. The largest change in the socio-economic development process for the SSPs is that unlike most global scenario exercises, the relevant uncertainty space that the SSPs span was defined primarily by the nature of the outcomes, rather than the inputs or elements that lead to these outcomes.  The SSP outcomes are specific combinations of socio-economic challenges to mitigation and socio-economic challenges to adaptation (see Figur</w:t>
      </w:r>
      <w:r w:rsidR="004E1884">
        <w:rPr>
          <w:rFonts w:asciiTheme="minorHAnsi" w:hAnsiTheme="minorHAnsi"/>
        </w:rPr>
        <w:t>e ESM1</w:t>
      </w:r>
      <w:r w:rsidR="004E1884" w:rsidRPr="004E1884">
        <w:rPr>
          <w:rFonts w:asciiTheme="minorHAnsi" w:hAnsiTheme="minorHAnsi"/>
        </w:rPr>
        <w:t xml:space="preserve">). That is, the SSPs are intended to  describe worlds in which societal trends result in making mitigation of, or adaptation to, climate change harder or easier, without explicitly considering climate change itself. In terms of the resulting SSPs, this process led to a de-coupling of mitigation and adaptation challenges, specifically considering pathways with either challenges to mitigation or adaptation, but not both.  These challenges refer to characteristics of society, not to the amount of climate change or the stringency of the mitigation policy (factors that are not included in the SSPs).  Thus, the narratives were constructed from socio-economic and environmental (but non-climate) elements judged to be important determinants of these challenges. The content for the SSPs was primarily developed using expert judgment involving a wide variety of experts from different research fields (impacts, adaptation and vulnerability, integrated assessment modelling, development, futures studies, and risk assessment) who provided input through a series of dedicated meetings. </w:t>
      </w:r>
      <w:r>
        <w:rPr>
          <w:rFonts w:asciiTheme="minorHAnsi" w:hAnsiTheme="minorHAnsi"/>
        </w:rPr>
        <w:t>The SSPs</w:t>
      </w:r>
      <w:r w:rsidRPr="0040148E">
        <w:rPr>
          <w:rFonts w:asciiTheme="minorHAnsi" w:hAnsiTheme="minorHAnsi"/>
        </w:rPr>
        <w:t xml:space="preserve"> include both qualitative descriptions of broad trends in development over large world regions and a quantification of a selection of key variables that can serve as inputs to integrated assessment models, large-scale impact models and vulnerability assessments (see SSP database). </w:t>
      </w:r>
    </w:p>
    <w:p w:rsidR="0040148E" w:rsidRDefault="0040148E" w:rsidP="007D1AE2">
      <w:pPr>
        <w:rPr>
          <w:rFonts w:asciiTheme="minorHAnsi" w:hAnsiTheme="minorHAnsi"/>
        </w:rPr>
      </w:pPr>
    </w:p>
    <w:p w:rsidR="004E1884" w:rsidRDefault="004E1884" w:rsidP="007D1AE2">
      <w:pPr>
        <w:rPr>
          <w:rFonts w:asciiTheme="minorHAnsi" w:hAnsiTheme="minorHAnsi"/>
          <w:b/>
        </w:rPr>
      </w:pPr>
    </w:p>
    <w:p w:rsidR="004E1884" w:rsidRDefault="004E1884" w:rsidP="007D1AE2">
      <w:pPr>
        <w:rPr>
          <w:rFonts w:asciiTheme="minorHAnsi" w:hAnsiTheme="minorHAnsi"/>
          <w:b/>
        </w:rPr>
      </w:pPr>
    </w:p>
    <w:p w:rsidR="004E1884" w:rsidRDefault="004E1884" w:rsidP="007D1AE2">
      <w:pPr>
        <w:rPr>
          <w:rFonts w:asciiTheme="minorHAnsi" w:hAnsiTheme="minorHAnsi"/>
          <w:b/>
        </w:rPr>
      </w:pPr>
    </w:p>
    <w:p w:rsidR="004E1884" w:rsidRDefault="004E1884" w:rsidP="007D1AE2">
      <w:pPr>
        <w:rPr>
          <w:rFonts w:asciiTheme="minorHAnsi" w:hAnsiTheme="minorHAnsi"/>
          <w:b/>
        </w:rPr>
      </w:pPr>
    </w:p>
    <w:p w:rsidR="004E1884" w:rsidRDefault="004E1884" w:rsidP="007D1AE2">
      <w:pPr>
        <w:rPr>
          <w:rFonts w:asciiTheme="minorHAnsi" w:hAnsiTheme="minorHAnsi"/>
          <w:b/>
        </w:rPr>
      </w:pPr>
    </w:p>
    <w:p w:rsidR="004E1884" w:rsidRDefault="004E1884" w:rsidP="007D1AE2">
      <w:pPr>
        <w:rPr>
          <w:rFonts w:asciiTheme="minorHAnsi" w:hAnsiTheme="minorHAnsi"/>
          <w:b/>
        </w:rPr>
      </w:pPr>
    </w:p>
    <w:p w:rsidR="004E1884" w:rsidRDefault="004E1884" w:rsidP="007D1AE2">
      <w:pPr>
        <w:rPr>
          <w:rFonts w:asciiTheme="minorHAnsi" w:hAnsiTheme="minorHAnsi"/>
          <w:b/>
        </w:rPr>
      </w:pPr>
    </w:p>
    <w:p w:rsidR="004E1884" w:rsidRDefault="004E1884" w:rsidP="007D1AE2">
      <w:pPr>
        <w:rPr>
          <w:rFonts w:asciiTheme="minorHAnsi" w:hAnsiTheme="minorHAnsi"/>
          <w:b/>
        </w:rPr>
      </w:pPr>
    </w:p>
    <w:p w:rsidR="004E1884" w:rsidRDefault="004E1884" w:rsidP="007D1AE2">
      <w:pPr>
        <w:rPr>
          <w:rFonts w:asciiTheme="minorHAnsi" w:hAnsiTheme="minorHAnsi"/>
          <w:b/>
        </w:rPr>
      </w:pPr>
    </w:p>
    <w:p w:rsidR="004E1884" w:rsidRPr="007D1AE2" w:rsidRDefault="004E1884" w:rsidP="007D1AE2">
      <w:pPr>
        <w:rPr>
          <w:rFonts w:asciiTheme="minorHAnsi" w:hAnsiTheme="minorHAnsi"/>
          <w:b/>
        </w:rPr>
      </w:pPr>
    </w:p>
    <w:p w:rsidR="00096DBD" w:rsidRDefault="00096DBD" w:rsidP="00096DBD">
      <w:pPr>
        <w:rPr>
          <w:rFonts w:ascii="Calibri" w:hAnsi="Calibri"/>
        </w:rPr>
      </w:pPr>
    </w:p>
    <w:p w:rsidR="00096DBD" w:rsidRDefault="00096DBD" w:rsidP="00096DBD">
      <w:pPr>
        <w:rPr>
          <w:rFonts w:ascii="Calibri" w:hAnsi="Calibri"/>
        </w:rPr>
      </w:pPr>
    </w:p>
    <w:p w:rsidR="00096DBD" w:rsidRDefault="00096DBD" w:rsidP="00096DBD">
      <w:pPr>
        <w:rPr>
          <w:rFonts w:ascii="Calibri" w:hAnsi="Calibri"/>
        </w:rPr>
      </w:pPr>
      <w:r w:rsidRPr="00043A90">
        <w:rPr>
          <w:rFonts w:ascii="Calibri" w:hAnsi="Calibri"/>
        </w:rPr>
        <w:t xml:space="preserve">Figure </w:t>
      </w:r>
      <w:r w:rsidR="0013455F">
        <w:rPr>
          <w:rFonts w:ascii="Calibri" w:hAnsi="Calibri"/>
        </w:rPr>
        <w:t>ESM</w:t>
      </w:r>
      <w:r w:rsidR="00390617">
        <w:rPr>
          <w:rFonts w:ascii="Calibri" w:hAnsi="Calibri"/>
        </w:rPr>
        <w:t>2</w:t>
      </w:r>
      <w:r w:rsidRPr="00043A90">
        <w:rPr>
          <w:rFonts w:ascii="Calibri" w:hAnsi="Calibri"/>
        </w:rPr>
        <w:t>: The five global SSPs representing different combinations of challenges to mitigation and challenges to adaptation.</w:t>
      </w:r>
    </w:p>
    <w:p w:rsidR="0013455F" w:rsidRDefault="00096DBD">
      <w:pPr>
        <w:rPr>
          <w:rFonts w:asciiTheme="minorHAnsi" w:hAnsiTheme="minorHAnsi"/>
          <w:b/>
        </w:rPr>
      </w:pPr>
      <w:r>
        <w:rPr>
          <w:rFonts w:asciiTheme="minorHAnsi" w:hAnsiTheme="minorHAnsi"/>
          <w:b/>
        </w:rPr>
        <w:br w:type="page"/>
      </w:r>
      <w:r w:rsidR="0085210F">
        <w:rPr>
          <w:rFonts w:asciiTheme="minorHAnsi" w:hAnsiTheme="minorHAnsi"/>
          <w:b/>
        </w:rPr>
        <w:lastRenderedPageBreak/>
        <w:t>ESM</w:t>
      </w:r>
      <w:r w:rsidR="00390617">
        <w:rPr>
          <w:rFonts w:asciiTheme="minorHAnsi" w:hAnsiTheme="minorHAnsi"/>
          <w:b/>
        </w:rPr>
        <w:t>4</w:t>
      </w:r>
      <w:r w:rsidR="0013455F">
        <w:rPr>
          <w:rFonts w:asciiTheme="minorHAnsi" w:hAnsiTheme="minorHAnsi"/>
          <w:b/>
        </w:rPr>
        <w:t xml:space="preserve"> Process and methods to develop SSPs in case </w:t>
      </w:r>
      <w:r w:rsidR="00911709">
        <w:rPr>
          <w:rFonts w:asciiTheme="minorHAnsi" w:hAnsiTheme="minorHAnsi"/>
          <w:b/>
        </w:rPr>
        <w:t>studies</w:t>
      </w:r>
      <w:r w:rsidR="0013455F">
        <w:rPr>
          <w:rFonts w:asciiTheme="minorHAnsi" w:hAnsiTheme="minorHAnsi"/>
          <w:b/>
        </w:rPr>
        <w:t xml:space="preserve"> of IMPRESSIONS</w:t>
      </w:r>
    </w:p>
    <w:p w:rsidR="0013455F" w:rsidRPr="0013455F" w:rsidRDefault="0013455F">
      <w:pPr>
        <w:rPr>
          <w:rFonts w:asciiTheme="minorHAnsi" w:hAnsiTheme="minorHAnsi"/>
        </w:rPr>
      </w:pPr>
      <w:r w:rsidRPr="0013455F">
        <w:rPr>
          <w:rFonts w:asciiTheme="minorHAnsi" w:hAnsiTheme="minorHAnsi"/>
        </w:rPr>
        <w:t>Table ESM</w:t>
      </w:r>
      <w:r w:rsidR="00390617">
        <w:rPr>
          <w:rFonts w:asciiTheme="minorHAnsi" w:hAnsiTheme="minorHAnsi"/>
        </w:rPr>
        <w:t>2</w:t>
      </w:r>
      <w:r w:rsidRPr="0013455F">
        <w:rPr>
          <w:rFonts w:asciiTheme="minorHAnsi" w:hAnsiTheme="minorHAnsi"/>
        </w:rPr>
        <w:t xml:space="preserve"> provides an overview of </w:t>
      </w:r>
      <w:r>
        <w:rPr>
          <w:rFonts w:asciiTheme="minorHAnsi" w:hAnsiTheme="minorHAnsi"/>
        </w:rPr>
        <w:t xml:space="preserve">the </w:t>
      </w:r>
      <w:r w:rsidRPr="0013455F">
        <w:rPr>
          <w:rFonts w:asciiTheme="minorHAnsi" w:hAnsiTheme="minorHAnsi"/>
        </w:rPr>
        <w:t>process and methods to develop Shared Socio-economic Pathways for all case studies i</w:t>
      </w:r>
      <w:r>
        <w:rPr>
          <w:rFonts w:asciiTheme="minorHAnsi" w:hAnsiTheme="minorHAnsi"/>
        </w:rPr>
        <w:t xml:space="preserve">n IMPRESSIONS. In general, existing scenarios were used for Europe and Scotland, while new scenarios were developed from scratch for Iberia, Hungary, and Central Asia, using the global and/or European SSPs as </w:t>
      </w:r>
      <w:r w:rsidR="00911709">
        <w:rPr>
          <w:rFonts w:asciiTheme="minorHAnsi" w:hAnsiTheme="minorHAnsi"/>
        </w:rPr>
        <w:t>context</w:t>
      </w:r>
      <w:r>
        <w:rPr>
          <w:rFonts w:asciiTheme="minorHAnsi" w:hAnsiTheme="minorHAnsi"/>
        </w:rPr>
        <w:t xml:space="preserve">. </w:t>
      </w:r>
    </w:p>
    <w:p w:rsidR="0013455F" w:rsidRPr="0013455F" w:rsidRDefault="0013455F">
      <w:pPr>
        <w:rPr>
          <w:rFonts w:asciiTheme="minorHAnsi" w:hAnsiTheme="minorHAnsi"/>
        </w:rPr>
      </w:pPr>
    </w:p>
    <w:p w:rsidR="0013455F" w:rsidRDefault="0013455F" w:rsidP="0013455F">
      <w:pPr>
        <w:rPr>
          <w:rFonts w:ascii="Calibri" w:hAnsi="Calibri"/>
        </w:rPr>
      </w:pPr>
      <w:r>
        <w:rPr>
          <w:rFonts w:ascii="Calibri" w:hAnsi="Calibri"/>
        </w:rPr>
        <w:t>Table ESM</w:t>
      </w:r>
      <w:r w:rsidR="00390617">
        <w:rPr>
          <w:rFonts w:ascii="Calibri" w:hAnsi="Calibri"/>
        </w:rPr>
        <w:t>2</w:t>
      </w:r>
      <w:r>
        <w:rPr>
          <w:rFonts w:ascii="Calibri" w:hAnsi="Calibri"/>
        </w:rPr>
        <w:t>. Overview of scenario interconnectedness, process by which they were developed, and type of workshop organised, for five case studies within the IMPRESSIONS project.</w:t>
      </w:r>
    </w:p>
    <w:tbl>
      <w:tblPr>
        <w:tblStyle w:val="TableGrid"/>
        <w:tblW w:w="0" w:type="auto"/>
        <w:tblLook w:val="04A0" w:firstRow="1" w:lastRow="0" w:firstColumn="1" w:lastColumn="0" w:noHBand="0" w:noVBand="1"/>
      </w:tblPr>
      <w:tblGrid>
        <w:gridCol w:w="1773"/>
        <w:gridCol w:w="1857"/>
        <w:gridCol w:w="1823"/>
        <w:gridCol w:w="1806"/>
        <w:gridCol w:w="1803"/>
      </w:tblGrid>
      <w:tr w:rsidR="0013455F" w:rsidRPr="00B708F9" w:rsidTr="00146EAB">
        <w:tc>
          <w:tcPr>
            <w:tcW w:w="1857" w:type="dxa"/>
          </w:tcPr>
          <w:p w:rsidR="0013455F" w:rsidRPr="00B708F9" w:rsidRDefault="0013455F" w:rsidP="00146EAB">
            <w:pPr>
              <w:rPr>
                <w:rFonts w:ascii="Calibri" w:hAnsi="Calibri"/>
                <w:b/>
                <w:sz w:val="20"/>
                <w:szCs w:val="20"/>
              </w:rPr>
            </w:pPr>
            <w:r w:rsidRPr="00B708F9">
              <w:rPr>
                <w:rFonts w:ascii="Calibri" w:hAnsi="Calibri"/>
                <w:b/>
                <w:sz w:val="20"/>
                <w:szCs w:val="20"/>
              </w:rPr>
              <w:t>Case study</w:t>
            </w:r>
          </w:p>
        </w:tc>
        <w:tc>
          <w:tcPr>
            <w:tcW w:w="1857" w:type="dxa"/>
          </w:tcPr>
          <w:p w:rsidR="0013455F" w:rsidRDefault="0013455F" w:rsidP="00146EAB">
            <w:pPr>
              <w:rPr>
                <w:rFonts w:ascii="Calibri" w:hAnsi="Calibri"/>
                <w:b/>
                <w:sz w:val="20"/>
                <w:szCs w:val="20"/>
              </w:rPr>
            </w:pPr>
            <w:r>
              <w:rPr>
                <w:rFonts w:ascii="Calibri" w:hAnsi="Calibri"/>
                <w:b/>
                <w:sz w:val="20"/>
                <w:szCs w:val="20"/>
              </w:rPr>
              <w:t>Interconnectedness</w:t>
            </w:r>
          </w:p>
          <w:p w:rsidR="0013455F" w:rsidRPr="00B708F9" w:rsidRDefault="0013455F" w:rsidP="00146EAB">
            <w:pPr>
              <w:rPr>
                <w:rFonts w:ascii="Calibri" w:hAnsi="Calibri"/>
                <w:b/>
                <w:sz w:val="20"/>
                <w:szCs w:val="20"/>
              </w:rPr>
            </w:pPr>
            <w:r>
              <w:rPr>
                <w:rFonts w:ascii="Calibri" w:hAnsi="Calibri"/>
                <w:b/>
                <w:sz w:val="20"/>
                <w:szCs w:val="20"/>
              </w:rPr>
              <w:t xml:space="preserve">Aim </w:t>
            </w:r>
          </w:p>
        </w:tc>
        <w:tc>
          <w:tcPr>
            <w:tcW w:w="1858" w:type="dxa"/>
          </w:tcPr>
          <w:p w:rsidR="0013455F" w:rsidRPr="00B708F9" w:rsidRDefault="0013455F" w:rsidP="00146EAB">
            <w:pPr>
              <w:rPr>
                <w:rFonts w:ascii="Calibri" w:hAnsi="Calibri"/>
                <w:b/>
                <w:sz w:val="20"/>
                <w:szCs w:val="20"/>
              </w:rPr>
            </w:pPr>
            <w:r>
              <w:rPr>
                <w:rFonts w:ascii="Calibri" w:hAnsi="Calibri"/>
                <w:b/>
                <w:sz w:val="20"/>
                <w:szCs w:val="20"/>
              </w:rPr>
              <w:t>Process</w:t>
            </w:r>
          </w:p>
        </w:tc>
        <w:tc>
          <w:tcPr>
            <w:tcW w:w="1858" w:type="dxa"/>
          </w:tcPr>
          <w:p w:rsidR="0013455F" w:rsidRPr="00B708F9" w:rsidRDefault="0013455F" w:rsidP="00146EAB">
            <w:pPr>
              <w:rPr>
                <w:rFonts w:ascii="Calibri" w:hAnsi="Calibri"/>
                <w:b/>
                <w:sz w:val="20"/>
                <w:szCs w:val="20"/>
              </w:rPr>
            </w:pPr>
            <w:r>
              <w:rPr>
                <w:rFonts w:ascii="Calibri" w:hAnsi="Calibri"/>
                <w:b/>
                <w:sz w:val="20"/>
                <w:szCs w:val="20"/>
              </w:rPr>
              <w:t>Type of workshop</w:t>
            </w:r>
          </w:p>
        </w:tc>
        <w:tc>
          <w:tcPr>
            <w:tcW w:w="1858" w:type="dxa"/>
          </w:tcPr>
          <w:p w:rsidR="0013455F" w:rsidRPr="00B708F9" w:rsidRDefault="0013455F" w:rsidP="00146EAB">
            <w:pPr>
              <w:rPr>
                <w:rFonts w:ascii="Calibri" w:hAnsi="Calibri"/>
                <w:b/>
                <w:sz w:val="20"/>
                <w:szCs w:val="20"/>
              </w:rPr>
            </w:pPr>
            <w:r>
              <w:rPr>
                <w:rFonts w:ascii="Calibri" w:hAnsi="Calibri"/>
                <w:b/>
                <w:sz w:val="20"/>
                <w:szCs w:val="20"/>
              </w:rPr>
              <w:t>Comments</w:t>
            </w:r>
          </w:p>
        </w:tc>
      </w:tr>
      <w:tr w:rsidR="0013455F" w:rsidRPr="00B708F9" w:rsidTr="00146EAB">
        <w:tc>
          <w:tcPr>
            <w:tcW w:w="1857" w:type="dxa"/>
          </w:tcPr>
          <w:p w:rsidR="0013455F" w:rsidRPr="00B708F9" w:rsidRDefault="0013455F" w:rsidP="00146EAB">
            <w:pPr>
              <w:rPr>
                <w:rFonts w:ascii="Calibri" w:hAnsi="Calibri"/>
                <w:sz w:val="20"/>
                <w:szCs w:val="20"/>
              </w:rPr>
            </w:pPr>
            <w:r w:rsidRPr="00B708F9">
              <w:rPr>
                <w:rFonts w:ascii="Calibri" w:hAnsi="Calibri"/>
                <w:sz w:val="20"/>
                <w:szCs w:val="20"/>
              </w:rPr>
              <w:t>Europe</w:t>
            </w:r>
          </w:p>
        </w:tc>
        <w:tc>
          <w:tcPr>
            <w:tcW w:w="1857" w:type="dxa"/>
          </w:tcPr>
          <w:p w:rsidR="0013455F" w:rsidRPr="00B708F9" w:rsidRDefault="0013455F" w:rsidP="00146EAB">
            <w:pPr>
              <w:rPr>
                <w:rFonts w:ascii="Calibri" w:hAnsi="Calibri"/>
                <w:sz w:val="20"/>
                <w:szCs w:val="20"/>
              </w:rPr>
            </w:pPr>
            <w:r>
              <w:rPr>
                <w:rFonts w:ascii="Calibri" w:hAnsi="Calibri"/>
                <w:sz w:val="20"/>
                <w:szCs w:val="20"/>
              </w:rPr>
              <w:t>Equivalent with global SSPs and consistent with European scenarios</w:t>
            </w:r>
          </w:p>
        </w:tc>
        <w:tc>
          <w:tcPr>
            <w:tcW w:w="1858" w:type="dxa"/>
          </w:tcPr>
          <w:p w:rsidR="0013455F" w:rsidRPr="00B708F9" w:rsidRDefault="0013455F" w:rsidP="00146EAB">
            <w:pPr>
              <w:rPr>
                <w:rFonts w:ascii="Calibri" w:hAnsi="Calibri"/>
                <w:sz w:val="20"/>
                <w:szCs w:val="20"/>
              </w:rPr>
            </w:pPr>
            <w:r>
              <w:rPr>
                <w:rFonts w:ascii="Calibri" w:hAnsi="Calibri"/>
                <w:sz w:val="20"/>
                <w:szCs w:val="20"/>
              </w:rPr>
              <w:t>Downscaling (SSPs) and adapting (European scenarios)</w:t>
            </w:r>
          </w:p>
        </w:tc>
        <w:tc>
          <w:tcPr>
            <w:tcW w:w="1858" w:type="dxa"/>
          </w:tcPr>
          <w:p w:rsidR="0013455F" w:rsidRPr="00B708F9" w:rsidRDefault="0013455F" w:rsidP="00146EAB">
            <w:pPr>
              <w:rPr>
                <w:rFonts w:ascii="Calibri" w:hAnsi="Calibri"/>
                <w:sz w:val="20"/>
                <w:szCs w:val="20"/>
              </w:rPr>
            </w:pPr>
            <w:r>
              <w:rPr>
                <w:rFonts w:ascii="Calibri" w:hAnsi="Calibri"/>
                <w:sz w:val="20"/>
                <w:szCs w:val="20"/>
              </w:rPr>
              <w:t>Experts</w:t>
            </w:r>
          </w:p>
        </w:tc>
        <w:tc>
          <w:tcPr>
            <w:tcW w:w="1858" w:type="dxa"/>
          </w:tcPr>
          <w:p w:rsidR="0013455F" w:rsidRPr="00B708F9" w:rsidRDefault="0013455F" w:rsidP="00146EAB">
            <w:pPr>
              <w:rPr>
                <w:rFonts w:ascii="Calibri" w:hAnsi="Calibri"/>
                <w:sz w:val="20"/>
                <w:szCs w:val="20"/>
              </w:rPr>
            </w:pPr>
            <w:r>
              <w:rPr>
                <w:rFonts w:ascii="Calibri" w:hAnsi="Calibri"/>
                <w:sz w:val="20"/>
                <w:szCs w:val="20"/>
              </w:rPr>
              <w:t>Starting point for other case studies</w:t>
            </w:r>
          </w:p>
        </w:tc>
      </w:tr>
      <w:tr w:rsidR="0013455F" w:rsidRPr="00B708F9" w:rsidTr="00146EAB">
        <w:tc>
          <w:tcPr>
            <w:tcW w:w="1857" w:type="dxa"/>
          </w:tcPr>
          <w:p w:rsidR="0013455F" w:rsidRPr="00B708F9" w:rsidRDefault="0013455F" w:rsidP="00146EAB">
            <w:pPr>
              <w:rPr>
                <w:rFonts w:ascii="Calibri" w:hAnsi="Calibri"/>
                <w:sz w:val="20"/>
                <w:szCs w:val="20"/>
              </w:rPr>
            </w:pPr>
            <w:r w:rsidRPr="00B708F9">
              <w:rPr>
                <w:rFonts w:ascii="Calibri" w:hAnsi="Calibri"/>
                <w:sz w:val="20"/>
                <w:szCs w:val="20"/>
              </w:rPr>
              <w:t>Scotland</w:t>
            </w:r>
          </w:p>
        </w:tc>
        <w:tc>
          <w:tcPr>
            <w:tcW w:w="1857" w:type="dxa"/>
          </w:tcPr>
          <w:p w:rsidR="0013455F" w:rsidRDefault="0013455F" w:rsidP="00146EAB">
            <w:pPr>
              <w:rPr>
                <w:rFonts w:ascii="Calibri" w:hAnsi="Calibri"/>
                <w:sz w:val="20"/>
                <w:szCs w:val="20"/>
              </w:rPr>
            </w:pPr>
            <w:r>
              <w:rPr>
                <w:rFonts w:ascii="Calibri" w:hAnsi="Calibri"/>
                <w:sz w:val="20"/>
                <w:szCs w:val="20"/>
              </w:rPr>
              <w:t>1. Coherent with global SSPs</w:t>
            </w:r>
          </w:p>
          <w:p w:rsidR="0013455F" w:rsidRDefault="0013455F" w:rsidP="00146EAB">
            <w:pPr>
              <w:rPr>
                <w:rFonts w:ascii="Calibri" w:hAnsi="Calibri"/>
                <w:sz w:val="20"/>
                <w:szCs w:val="20"/>
              </w:rPr>
            </w:pPr>
            <w:r>
              <w:rPr>
                <w:rFonts w:ascii="Calibri" w:hAnsi="Calibri"/>
                <w:sz w:val="20"/>
                <w:szCs w:val="20"/>
              </w:rPr>
              <w:t>2. Consistent with existing Scottish scenarios</w:t>
            </w:r>
          </w:p>
          <w:p w:rsidR="0013455F" w:rsidRPr="00B708F9" w:rsidRDefault="0013455F" w:rsidP="00146EAB">
            <w:pPr>
              <w:rPr>
                <w:rFonts w:ascii="Calibri" w:hAnsi="Calibri"/>
                <w:sz w:val="20"/>
                <w:szCs w:val="20"/>
              </w:rPr>
            </w:pPr>
            <w:r>
              <w:rPr>
                <w:rFonts w:ascii="Calibri" w:hAnsi="Calibri"/>
                <w:sz w:val="20"/>
                <w:szCs w:val="20"/>
              </w:rPr>
              <w:t xml:space="preserve">3. Consistent with </w:t>
            </w:r>
            <w:r w:rsidR="00911709">
              <w:rPr>
                <w:rFonts w:ascii="Calibri" w:hAnsi="Calibri"/>
                <w:sz w:val="20"/>
                <w:szCs w:val="20"/>
              </w:rPr>
              <w:t>Ear</w:t>
            </w:r>
            <w:r>
              <w:rPr>
                <w:rFonts w:ascii="Calibri" w:hAnsi="Calibri"/>
                <w:sz w:val="20"/>
                <w:szCs w:val="20"/>
              </w:rPr>
              <w:t>-SSPs</w:t>
            </w:r>
          </w:p>
        </w:tc>
        <w:tc>
          <w:tcPr>
            <w:tcW w:w="1858" w:type="dxa"/>
          </w:tcPr>
          <w:p w:rsidR="0013455F" w:rsidRDefault="0013455F" w:rsidP="00146EAB">
            <w:pPr>
              <w:rPr>
                <w:rFonts w:ascii="Calibri" w:hAnsi="Calibri"/>
                <w:sz w:val="20"/>
                <w:szCs w:val="20"/>
              </w:rPr>
            </w:pPr>
            <w:r>
              <w:rPr>
                <w:rFonts w:ascii="Calibri" w:hAnsi="Calibri"/>
                <w:sz w:val="20"/>
                <w:szCs w:val="20"/>
              </w:rPr>
              <w:t>1,2. Extending, adapting existing Scottish scenarios</w:t>
            </w:r>
          </w:p>
          <w:p w:rsidR="0013455F" w:rsidRPr="00B708F9" w:rsidRDefault="0013455F" w:rsidP="00146EAB">
            <w:pPr>
              <w:rPr>
                <w:rFonts w:ascii="Calibri" w:hAnsi="Calibri"/>
                <w:sz w:val="20"/>
                <w:szCs w:val="20"/>
              </w:rPr>
            </w:pPr>
            <w:r>
              <w:rPr>
                <w:rFonts w:ascii="Calibri" w:hAnsi="Calibri"/>
                <w:sz w:val="20"/>
                <w:szCs w:val="20"/>
              </w:rPr>
              <w:t>3. Contextualising</w:t>
            </w:r>
          </w:p>
        </w:tc>
        <w:tc>
          <w:tcPr>
            <w:tcW w:w="1858" w:type="dxa"/>
          </w:tcPr>
          <w:p w:rsidR="0013455F" w:rsidRDefault="0013455F" w:rsidP="00146EAB">
            <w:pPr>
              <w:rPr>
                <w:rFonts w:ascii="Calibri" w:hAnsi="Calibri"/>
                <w:sz w:val="20"/>
                <w:szCs w:val="20"/>
              </w:rPr>
            </w:pPr>
            <w:r>
              <w:rPr>
                <w:rFonts w:ascii="Calibri" w:hAnsi="Calibri"/>
                <w:sz w:val="20"/>
                <w:szCs w:val="20"/>
              </w:rPr>
              <w:t xml:space="preserve">1,2. Experts </w:t>
            </w:r>
          </w:p>
          <w:p w:rsidR="0013455F" w:rsidRDefault="0013455F" w:rsidP="00146EAB">
            <w:pPr>
              <w:rPr>
                <w:rFonts w:ascii="Calibri" w:hAnsi="Calibri"/>
                <w:sz w:val="20"/>
                <w:szCs w:val="20"/>
              </w:rPr>
            </w:pPr>
          </w:p>
          <w:p w:rsidR="0013455F" w:rsidRPr="00B708F9" w:rsidRDefault="0013455F" w:rsidP="00146EAB">
            <w:pPr>
              <w:rPr>
                <w:rFonts w:ascii="Calibri" w:hAnsi="Calibri"/>
                <w:sz w:val="20"/>
                <w:szCs w:val="20"/>
              </w:rPr>
            </w:pPr>
            <w:r>
              <w:rPr>
                <w:rFonts w:ascii="Calibri" w:hAnsi="Calibri"/>
                <w:sz w:val="20"/>
                <w:szCs w:val="20"/>
              </w:rPr>
              <w:t xml:space="preserve">3. Stakeholders </w:t>
            </w:r>
          </w:p>
        </w:tc>
        <w:tc>
          <w:tcPr>
            <w:tcW w:w="1858" w:type="dxa"/>
          </w:tcPr>
          <w:p w:rsidR="0013455F" w:rsidRPr="00B708F9" w:rsidRDefault="0013455F" w:rsidP="00146EAB">
            <w:pPr>
              <w:rPr>
                <w:rFonts w:ascii="Calibri" w:hAnsi="Calibri"/>
                <w:sz w:val="20"/>
                <w:szCs w:val="20"/>
              </w:rPr>
            </w:pPr>
            <w:r>
              <w:rPr>
                <w:rFonts w:ascii="Calibri" w:hAnsi="Calibri"/>
                <w:sz w:val="20"/>
                <w:szCs w:val="20"/>
              </w:rPr>
              <w:t>3. For SSP5 only</w:t>
            </w:r>
          </w:p>
        </w:tc>
      </w:tr>
      <w:tr w:rsidR="0013455F" w:rsidRPr="00B708F9" w:rsidTr="00146EAB">
        <w:tc>
          <w:tcPr>
            <w:tcW w:w="1857" w:type="dxa"/>
          </w:tcPr>
          <w:p w:rsidR="0013455F" w:rsidRPr="00B708F9" w:rsidRDefault="0013455F" w:rsidP="00146EAB">
            <w:pPr>
              <w:rPr>
                <w:rFonts w:ascii="Calibri" w:hAnsi="Calibri"/>
                <w:sz w:val="20"/>
                <w:szCs w:val="20"/>
              </w:rPr>
            </w:pPr>
            <w:r w:rsidRPr="00B708F9">
              <w:rPr>
                <w:rFonts w:ascii="Calibri" w:hAnsi="Calibri"/>
                <w:sz w:val="20"/>
                <w:szCs w:val="20"/>
              </w:rPr>
              <w:t>Iberia</w:t>
            </w:r>
          </w:p>
        </w:tc>
        <w:tc>
          <w:tcPr>
            <w:tcW w:w="1857" w:type="dxa"/>
          </w:tcPr>
          <w:p w:rsidR="0013455F" w:rsidRPr="00B708F9" w:rsidRDefault="0013455F" w:rsidP="00146EAB">
            <w:pPr>
              <w:rPr>
                <w:rFonts w:ascii="Calibri" w:hAnsi="Calibri"/>
                <w:sz w:val="20"/>
                <w:szCs w:val="20"/>
              </w:rPr>
            </w:pPr>
            <w:r>
              <w:rPr>
                <w:rFonts w:ascii="Calibri" w:hAnsi="Calibri"/>
                <w:sz w:val="20"/>
                <w:szCs w:val="20"/>
              </w:rPr>
              <w:t>Coherent</w:t>
            </w:r>
          </w:p>
        </w:tc>
        <w:tc>
          <w:tcPr>
            <w:tcW w:w="1858" w:type="dxa"/>
          </w:tcPr>
          <w:p w:rsidR="0013455F" w:rsidRPr="00B708F9" w:rsidRDefault="0013455F" w:rsidP="00146EAB">
            <w:pPr>
              <w:rPr>
                <w:rFonts w:ascii="Calibri" w:hAnsi="Calibri"/>
                <w:sz w:val="20"/>
                <w:szCs w:val="20"/>
              </w:rPr>
            </w:pPr>
            <w:r>
              <w:rPr>
                <w:rFonts w:ascii="Calibri" w:hAnsi="Calibri"/>
                <w:sz w:val="20"/>
                <w:szCs w:val="20"/>
              </w:rPr>
              <w:t>Contextualising</w:t>
            </w:r>
          </w:p>
        </w:tc>
        <w:tc>
          <w:tcPr>
            <w:tcW w:w="1858" w:type="dxa"/>
          </w:tcPr>
          <w:p w:rsidR="0013455F" w:rsidRPr="00B708F9" w:rsidRDefault="0013455F" w:rsidP="00146EAB">
            <w:pPr>
              <w:rPr>
                <w:rFonts w:ascii="Calibri" w:hAnsi="Calibri"/>
                <w:sz w:val="20"/>
                <w:szCs w:val="20"/>
              </w:rPr>
            </w:pPr>
            <w:r>
              <w:rPr>
                <w:rFonts w:ascii="Calibri" w:hAnsi="Calibri"/>
                <w:sz w:val="20"/>
                <w:szCs w:val="20"/>
              </w:rPr>
              <w:t>Stakeholders</w:t>
            </w:r>
          </w:p>
        </w:tc>
        <w:tc>
          <w:tcPr>
            <w:tcW w:w="1858" w:type="dxa"/>
          </w:tcPr>
          <w:p w:rsidR="0013455F" w:rsidRPr="00B708F9" w:rsidRDefault="0013455F" w:rsidP="00146EAB">
            <w:pPr>
              <w:rPr>
                <w:rFonts w:ascii="Calibri" w:hAnsi="Calibri"/>
                <w:sz w:val="20"/>
                <w:szCs w:val="20"/>
              </w:rPr>
            </w:pPr>
            <w:r>
              <w:rPr>
                <w:rFonts w:ascii="Calibri" w:hAnsi="Calibri"/>
                <w:sz w:val="20"/>
                <w:szCs w:val="20"/>
              </w:rPr>
              <w:t>Eu</w:t>
            </w:r>
            <w:r w:rsidR="00911709">
              <w:rPr>
                <w:rFonts w:ascii="Calibri" w:hAnsi="Calibri"/>
                <w:sz w:val="20"/>
                <w:szCs w:val="20"/>
              </w:rPr>
              <w:t>r</w:t>
            </w:r>
            <w:r>
              <w:rPr>
                <w:rFonts w:ascii="Calibri" w:hAnsi="Calibri"/>
                <w:sz w:val="20"/>
                <w:szCs w:val="20"/>
              </w:rPr>
              <w:t>-SSPs used as context</w:t>
            </w:r>
          </w:p>
        </w:tc>
      </w:tr>
      <w:tr w:rsidR="0013455F" w:rsidRPr="00B708F9" w:rsidTr="00146EAB">
        <w:tc>
          <w:tcPr>
            <w:tcW w:w="1857" w:type="dxa"/>
          </w:tcPr>
          <w:p w:rsidR="0013455F" w:rsidRPr="00B708F9" w:rsidRDefault="0013455F" w:rsidP="00146EAB">
            <w:pPr>
              <w:rPr>
                <w:rFonts w:ascii="Calibri" w:hAnsi="Calibri"/>
                <w:sz w:val="20"/>
                <w:szCs w:val="20"/>
              </w:rPr>
            </w:pPr>
            <w:r w:rsidRPr="00B708F9">
              <w:rPr>
                <w:rFonts w:ascii="Calibri" w:hAnsi="Calibri"/>
                <w:sz w:val="20"/>
                <w:szCs w:val="20"/>
              </w:rPr>
              <w:t>Hungary</w:t>
            </w:r>
          </w:p>
        </w:tc>
        <w:tc>
          <w:tcPr>
            <w:tcW w:w="1857" w:type="dxa"/>
          </w:tcPr>
          <w:p w:rsidR="0013455F" w:rsidRPr="00B708F9" w:rsidRDefault="0013455F" w:rsidP="00146EAB">
            <w:pPr>
              <w:rPr>
                <w:rFonts w:ascii="Calibri" w:hAnsi="Calibri"/>
                <w:sz w:val="20"/>
                <w:szCs w:val="20"/>
              </w:rPr>
            </w:pPr>
            <w:r>
              <w:rPr>
                <w:rFonts w:ascii="Calibri" w:hAnsi="Calibri"/>
                <w:sz w:val="20"/>
                <w:szCs w:val="20"/>
              </w:rPr>
              <w:t>Coherent</w:t>
            </w:r>
          </w:p>
        </w:tc>
        <w:tc>
          <w:tcPr>
            <w:tcW w:w="1858" w:type="dxa"/>
          </w:tcPr>
          <w:p w:rsidR="0013455F" w:rsidRPr="00B708F9" w:rsidRDefault="0013455F" w:rsidP="00146EAB">
            <w:pPr>
              <w:rPr>
                <w:rFonts w:ascii="Calibri" w:hAnsi="Calibri"/>
                <w:sz w:val="20"/>
                <w:szCs w:val="20"/>
              </w:rPr>
            </w:pPr>
            <w:r>
              <w:rPr>
                <w:rFonts w:ascii="Calibri" w:hAnsi="Calibri"/>
                <w:sz w:val="20"/>
                <w:szCs w:val="20"/>
              </w:rPr>
              <w:t>Contextualising</w:t>
            </w:r>
          </w:p>
        </w:tc>
        <w:tc>
          <w:tcPr>
            <w:tcW w:w="1858" w:type="dxa"/>
          </w:tcPr>
          <w:p w:rsidR="0013455F" w:rsidRPr="00B708F9" w:rsidRDefault="0013455F" w:rsidP="00146EAB">
            <w:pPr>
              <w:rPr>
                <w:rFonts w:ascii="Calibri" w:hAnsi="Calibri"/>
                <w:sz w:val="20"/>
                <w:szCs w:val="20"/>
              </w:rPr>
            </w:pPr>
            <w:r>
              <w:rPr>
                <w:rFonts w:ascii="Calibri" w:hAnsi="Calibri"/>
                <w:sz w:val="20"/>
                <w:szCs w:val="20"/>
              </w:rPr>
              <w:t xml:space="preserve">Stakeholders </w:t>
            </w:r>
          </w:p>
        </w:tc>
        <w:tc>
          <w:tcPr>
            <w:tcW w:w="1858" w:type="dxa"/>
          </w:tcPr>
          <w:p w:rsidR="0013455F" w:rsidRPr="00B708F9" w:rsidRDefault="0013455F" w:rsidP="00146EAB">
            <w:pPr>
              <w:rPr>
                <w:rFonts w:ascii="Calibri" w:hAnsi="Calibri"/>
                <w:sz w:val="20"/>
                <w:szCs w:val="20"/>
              </w:rPr>
            </w:pPr>
            <w:r>
              <w:rPr>
                <w:rFonts w:ascii="Calibri" w:hAnsi="Calibri"/>
                <w:sz w:val="20"/>
                <w:szCs w:val="20"/>
              </w:rPr>
              <w:t>Eu</w:t>
            </w:r>
            <w:r w:rsidR="00911709">
              <w:rPr>
                <w:rFonts w:ascii="Calibri" w:hAnsi="Calibri"/>
                <w:sz w:val="20"/>
                <w:szCs w:val="20"/>
              </w:rPr>
              <w:t>r</w:t>
            </w:r>
            <w:r>
              <w:rPr>
                <w:rFonts w:ascii="Calibri" w:hAnsi="Calibri"/>
                <w:sz w:val="20"/>
                <w:szCs w:val="20"/>
              </w:rPr>
              <w:t>-SSPs used as context</w:t>
            </w:r>
          </w:p>
        </w:tc>
      </w:tr>
      <w:tr w:rsidR="0013455F" w:rsidRPr="00B708F9" w:rsidTr="00146EAB">
        <w:tc>
          <w:tcPr>
            <w:tcW w:w="1857" w:type="dxa"/>
          </w:tcPr>
          <w:p w:rsidR="0013455F" w:rsidRPr="00B708F9" w:rsidRDefault="0013455F" w:rsidP="00146EAB">
            <w:pPr>
              <w:rPr>
                <w:rFonts w:ascii="Calibri" w:hAnsi="Calibri"/>
                <w:sz w:val="20"/>
                <w:szCs w:val="20"/>
              </w:rPr>
            </w:pPr>
            <w:r w:rsidRPr="00B708F9">
              <w:rPr>
                <w:rFonts w:ascii="Calibri" w:hAnsi="Calibri"/>
                <w:sz w:val="20"/>
                <w:szCs w:val="20"/>
              </w:rPr>
              <w:t xml:space="preserve">Central Asia </w:t>
            </w:r>
          </w:p>
        </w:tc>
        <w:tc>
          <w:tcPr>
            <w:tcW w:w="1857" w:type="dxa"/>
          </w:tcPr>
          <w:p w:rsidR="0013455F" w:rsidRPr="00B708F9" w:rsidRDefault="0013455F" w:rsidP="00146EAB">
            <w:pPr>
              <w:rPr>
                <w:rFonts w:ascii="Calibri" w:hAnsi="Calibri"/>
                <w:sz w:val="20"/>
                <w:szCs w:val="20"/>
              </w:rPr>
            </w:pPr>
            <w:r>
              <w:rPr>
                <w:rFonts w:ascii="Calibri" w:hAnsi="Calibri"/>
                <w:sz w:val="20"/>
                <w:szCs w:val="20"/>
              </w:rPr>
              <w:t>Consistent if possible</w:t>
            </w:r>
          </w:p>
        </w:tc>
        <w:tc>
          <w:tcPr>
            <w:tcW w:w="1858" w:type="dxa"/>
          </w:tcPr>
          <w:p w:rsidR="0013455F" w:rsidRPr="00B708F9" w:rsidRDefault="0013455F" w:rsidP="00146EAB">
            <w:pPr>
              <w:rPr>
                <w:rFonts w:ascii="Calibri" w:hAnsi="Calibri"/>
                <w:sz w:val="20"/>
                <w:szCs w:val="20"/>
              </w:rPr>
            </w:pPr>
            <w:r>
              <w:rPr>
                <w:rFonts w:ascii="Calibri" w:hAnsi="Calibri"/>
                <w:sz w:val="20"/>
                <w:szCs w:val="20"/>
              </w:rPr>
              <w:t>Contextualising</w:t>
            </w:r>
          </w:p>
        </w:tc>
        <w:tc>
          <w:tcPr>
            <w:tcW w:w="1858" w:type="dxa"/>
          </w:tcPr>
          <w:p w:rsidR="0013455F" w:rsidRPr="00B708F9" w:rsidRDefault="0013455F" w:rsidP="00146EAB">
            <w:pPr>
              <w:rPr>
                <w:rFonts w:ascii="Calibri" w:hAnsi="Calibri"/>
                <w:sz w:val="20"/>
                <w:szCs w:val="20"/>
              </w:rPr>
            </w:pPr>
            <w:r>
              <w:rPr>
                <w:rFonts w:ascii="Calibri" w:hAnsi="Calibri"/>
                <w:sz w:val="20"/>
                <w:szCs w:val="20"/>
              </w:rPr>
              <w:t>Stakeholders</w:t>
            </w:r>
          </w:p>
        </w:tc>
        <w:tc>
          <w:tcPr>
            <w:tcW w:w="1858" w:type="dxa"/>
          </w:tcPr>
          <w:p w:rsidR="0013455F" w:rsidRPr="00B708F9" w:rsidRDefault="0013455F" w:rsidP="00146EAB">
            <w:pPr>
              <w:rPr>
                <w:rFonts w:ascii="Calibri" w:hAnsi="Calibri"/>
                <w:sz w:val="20"/>
                <w:szCs w:val="20"/>
              </w:rPr>
            </w:pPr>
            <w:r>
              <w:rPr>
                <w:rFonts w:ascii="Calibri" w:hAnsi="Calibri"/>
                <w:sz w:val="20"/>
                <w:szCs w:val="20"/>
              </w:rPr>
              <w:t xml:space="preserve">Global SSPs used as context. To be used in combination with </w:t>
            </w:r>
            <w:r w:rsidR="00911709">
              <w:rPr>
                <w:rFonts w:ascii="Calibri" w:hAnsi="Calibri"/>
                <w:sz w:val="20"/>
                <w:szCs w:val="20"/>
              </w:rPr>
              <w:t>Eur</w:t>
            </w:r>
            <w:r>
              <w:rPr>
                <w:rFonts w:ascii="Calibri" w:hAnsi="Calibri"/>
                <w:sz w:val="20"/>
                <w:szCs w:val="20"/>
              </w:rPr>
              <w:t>-SSPs</w:t>
            </w:r>
          </w:p>
        </w:tc>
      </w:tr>
    </w:tbl>
    <w:p w:rsidR="0013455F" w:rsidRDefault="0013455F" w:rsidP="0013455F">
      <w:pPr>
        <w:rPr>
          <w:rFonts w:ascii="Calibri" w:hAnsi="Calibri"/>
        </w:rPr>
      </w:pPr>
    </w:p>
    <w:p w:rsidR="0013455F" w:rsidRDefault="0013455F">
      <w:pPr>
        <w:rPr>
          <w:rFonts w:asciiTheme="minorHAnsi" w:hAnsiTheme="minorHAnsi"/>
          <w:b/>
        </w:rPr>
      </w:pPr>
      <w:r>
        <w:rPr>
          <w:rFonts w:asciiTheme="minorHAnsi" w:hAnsiTheme="minorHAnsi"/>
          <w:b/>
        </w:rPr>
        <w:br w:type="page"/>
      </w:r>
    </w:p>
    <w:p w:rsidR="00B614F6" w:rsidRPr="00B614F6" w:rsidRDefault="00B614F6">
      <w:pPr>
        <w:rPr>
          <w:rFonts w:ascii="Calibri" w:hAnsi="Calibri"/>
          <w:b/>
        </w:rPr>
      </w:pPr>
      <w:r>
        <w:rPr>
          <w:rFonts w:ascii="Calibri" w:hAnsi="Calibri"/>
          <w:b/>
        </w:rPr>
        <w:lastRenderedPageBreak/>
        <w:t>ESM</w:t>
      </w:r>
      <w:r w:rsidR="00390617">
        <w:rPr>
          <w:rFonts w:ascii="Calibri" w:hAnsi="Calibri"/>
          <w:b/>
        </w:rPr>
        <w:t>5</w:t>
      </w:r>
      <w:r w:rsidRPr="00B614F6">
        <w:rPr>
          <w:rFonts w:ascii="Calibri" w:hAnsi="Calibri"/>
          <w:b/>
        </w:rPr>
        <w:t xml:space="preserve"> Existing European scenarios</w:t>
      </w:r>
    </w:p>
    <w:p w:rsidR="00B614F6" w:rsidRDefault="00B614F6">
      <w:pPr>
        <w:rPr>
          <w:rFonts w:ascii="Calibri" w:hAnsi="Calibri"/>
        </w:rPr>
      </w:pPr>
      <w:r>
        <w:rPr>
          <w:rFonts w:ascii="Calibri" w:hAnsi="Calibri"/>
        </w:rPr>
        <w:t xml:space="preserve">Within the CLIMSAVE project, four European scenarios were developed. Figure ESM2 shows the four scenarios positioned along two axes of main uncertainties, solution by innovation and economic development. </w:t>
      </w:r>
    </w:p>
    <w:p w:rsidR="00B614F6" w:rsidRDefault="00B614F6">
      <w:pPr>
        <w:rPr>
          <w:rFonts w:ascii="Calibri" w:hAnsi="Calibri"/>
        </w:rPr>
      </w:pPr>
    </w:p>
    <w:p w:rsidR="00B614F6" w:rsidRPr="00043A90" w:rsidRDefault="00B614F6" w:rsidP="00B614F6">
      <w:pPr>
        <w:rPr>
          <w:rFonts w:ascii="Calibri" w:hAnsi="Calibri"/>
        </w:rPr>
      </w:pPr>
      <w:r w:rsidRPr="00A34ACA">
        <w:rPr>
          <w:noProof/>
          <w:lang w:val="nl-NL" w:eastAsia="nl-NL"/>
        </w:rPr>
        <w:drawing>
          <wp:anchor distT="0" distB="0" distL="114300" distR="114300" simplePos="0" relativeHeight="251661312" behindDoc="0" locked="0" layoutInCell="1" allowOverlap="1" wp14:anchorId="27606040" wp14:editId="37593584">
            <wp:simplePos x="0" y="0"/>
            <wp:positionH relativeFrom="column">
              <wp:posOffset>624840</wp:posOffset>
            </wp:positionH>
            <wp:positionV relativeFrom="paragraph">
              <wp:posOffset>88900</wp:posOffset>
            </wp:positionV>
            <wp:extent cx="3746500" cy="2809875"/>
            <wp:effectExtent l="0" t="0" r="6350" b="9525"/>
            <wp:wrapNone/>
            <wp:docPr id="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email">
                      <a:extLst>
                        <a:ext uri="{28A0092B-C50C-407E-A947-70E740481C1C}">
                          <a14:useLocalDpi xmlns:a14="http://schemas.microsoft.com/office/drawing/2010/main" val="0"/>
                        </a:ext>
                      </a:extLst>
                    </a:blip>
                    <a:srcRect/>
                    <a:stretch>
                      <a:fillRect/>
                    </a:stretch>
                  </pic:blipFill>
                  <pic:spPr bwMode="auto">
                    <a:xfrm>
                      <a:off x="0" y="0"/>
                      <a:ext cx="3746500" cy="2809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p>
    <w:p w:rsidR="00B614F6" w:rsidRDefault="00B614F6" w:rsidP="00B614F6">
      <w:pPr>
        <w:rPr>
          <w:rFonts w:ascii="Calibri" w:hAnsi="Calibri"/>
        </w:rPr>
      </w:pPr>
      <w:r>
        <w:rPr>
          <w:rFonts w:ascii="Calibri" w:hAnsi="Calibri"/>
        </w:rPr>
        <w:t xml:space="preserve">Figure </w:t>
      </w:r>
      <w:r w:rsidR="00575826">
        <w:rPr>
          <w:rFonts w:ascii="Calibri" w:hAnsi="Calibri"/>
        </w:rPr>
        <w:t>ESM</w:t>
      </w:r>
      <w:r w:rsidR="00390617">
        <w:rPr>
          <w:rFonts w:ascii="Calibri" w:hAnsi="Calibri"/>
        </w:rPr>
        <w:t>3</w:t>
      </w:r>
      <w:r w:rsidRPr="00ED1A0C">
        <w:rPr>
          <w:rFonts w:ascii="Calibri" w:hAnsi="Calibri"/>
        </w:rPr>
        <w:t>. The four CLIMSAVE scenarios for Europe representing different combinations of economic development and effectiveness of solutions by innovation.</w:t>
      </w:r>
    </w:p>
    <w:p w:rsidR="00B614F6" w:rsidRDefault="00B614F6">
      <w:pPr>
        <w:rPr>
          <w:rFonts w:asciiTheme="minorHAnsi" w:hAnsiTheme="minorHAnsi"/>
          <w:b/>
        </w:rPr>
      </w:pPr>
    </w:p>
    <w:p w:rsidR="00B614F6" w:rsidRDefault="00B614F6">
      <w:pPr>
        <w:rPr>
          <w:rFonts w:asciiTheme="minorHAnsi" w:hAnsiTheme="minorHAnsi"/>
          <w:b/>
        </w:rPr>
      </w:pPr>
    </w:p>
    <w:p w:rsidR="00B614F6" w:rsidRDefault="00B614F6">
      <w:pPr>
        <w:rPr>
          <w:rFonts w:asciiTheme="minorHAnsi" w:hAnsiTheme="minorHAnsi"/>
          <w:b/>
        </w:rPr>
      </w:pPr>
      <w:r>
        <w:rPr>
          <w:rFonts w:asciiTheme="minorHAnsi" w:hAnsiTheme="minorHAnsi"/>
          <w:b/>
        </w:rPr>
        <w:br w:type="page"/>
      </w:r>
    </w:p>
    <w:p w:rsidR="00F703CF" w:rsidRDefault="0085210F">
      <w:pPr>
        <w:rPr>
          <w:rFonts w:asciiTheme="minorHAnsi" w:hAnsiTheme="minorHAnsi"/>
          <w:b/>
        </w:rPr>
      </w:pPr>
      <w:r>
        <w:rPr>
          <w:rFonts w:asciiTheme="minorHAnsi" w:hAnsiTheme="minorHAnsi"/>
          <w:b/>
        </w:rPr>
        <w:lastRenderedPageBreak/>
        <w:t>ESM</w:t>
      </w:r>
      <w:r w:rsidR="00390617">
        <w:rPr>
          <w:rFonts w:asciiTheme="minorHAnsi" w:hAnsiTheme="minorHAnsi"/>
          <w:b/>
        </w:rPr>
        <w:t>6</w:t>
      </w:r>
      <w:r w:rsidR="00F703CF">
        <w:rPr>
          <w:rFonts w:asciiTheme="minorHAnsi" w:hAnsiTheme="minorHAnsi"/>
          <w:b/>
        </w:rPr>
        <w:t xml:space="preserve"> Characteristics of global SSPs and European CLIMSAVE scenarios</w:t>
      </w:r>
    </w:p>
    <w:p w:rsidR="00F703CF" w:rsidRDefault="00F703CF" w:rsidP="00F703CF">
      <w:pPr>
        <w:rPr>
          <w:rFonts w:asciiTheme="minorHAnsi" w:hAnsiTheme="minorHAnsi"/>
        </w:rPr>
      </w:pPr>
      <w:r>
        <w:rPr>
          <w:rFonts w:asciiTheme="minorHAnsi" w:hAnsiTheme="minorHAnsi"/>
        </w:rPr>
        <w:t>Table ESM</w:t>
      </w:r>
      <w:r w:rsidR="00390617">
        <w:rPr>
          <w:rFonts w:asciiTheme="minorHAnsi" w:hAnsiTheme="minorHAnsi"/>
        </w:rPr>
        <w:t>3</w:t>
      </w:r>
      <w:r>
        <w:rPr>
          <w:rFonts w:asciiTheme="minorHAnsi" w:hAnsiTheme="minorHAnsi"/>
        </w:rPr>
        <w:t xml:space="preserve"> shows the basic characteristics of the two sets of existing scenarios that were matched – the global Shared Socio-economic Pathways and the European CLIMSAVE scenarios.</w:t>
      </w:r>
    </w:p>
    <w:p w:rsidR="00F703CF" w:rsidRDefault="00F703CF" w:rsidP="00F703CF">
      <w:pPr>
        <w:rPr>
          <w:rFonts w:asciiTheme="minorHAnsi" w:hAnsiTheme="minorHAnsi"/>
        </w:rPr>
      </w:pPr>
    </w:p>
    <w:p w:rsidR="00F703CF" w:rsidRPr="00974E45" w:rsidRDefault="00F703CF" w:rsidP="00F703CF">
      <w:pPr>
        <w:rPr>
          <w:rFonts w:asciiTheme="minorHAnsi" w:hAnsiTheme="minorHAnsi"/>
        </w:rPr>
      </w:pPr>
      <w:r w:rsidRPr="00974E45">
        <w:rPr>
          <w:rFonts w:asciiTheme="minorHAnsi" w:hAnsiTheme="minorHAnsi"/>
        </w:rPr>
        <w:t xml:space="preserve">Table </w:t>
      </w:r>
      <w:r>
        <w:rPr>
          <w:rFonts w:asciiTheme="minorHAnsi" w:hAnsiTheme="minorHAnsi"/>
        </w:rPr>
        <w:t>ESM</w:t>
      </w:r>
      <w:r w:rsidR="00390617">
        <w:rPr>
          <w:rFonts w:asciiTheme="minorHAnsi" w:hAnsiTheme="minorHAnsi"/>
        </w:rPr>
        <w:t>3</w:t>
      </w:r>
      <w:r>
        <w:rPr>
          <w:rFonts w:asciiTheme="minorHAnsi" w:hAnsiTheme="minorHAnsi"/>
        </w:rPr>
        <w:t>.</w:t>
      </w:r>
      <w:r w:rsidRPr="00974E45">
        <w:rPr>
          <w:rFonts w:asciiTheme="minorHAnsi" w:hAnsiTheme="minorHAnsi"/>
        </w:rPr>
        <w:t xml:space="preserve"> Basic characteristics of global and European scenarios</w:t>
      </w:r>
    </w:p>
    <w:tbl>
      <w:tblPr>
        <w:tblStyle w:val="TableGrid"/>
        <w:tblW w:w="0" w:type="auto"/>
        <w:tblLook w:val="04A0" w:firstRow="1" w:lastRow="0" w:firstColumn="1" w:lastColumn="0" w:noHBand="0" w:noVBand="1"/>
      </w:tblPr>
      <w:tblGrid>
        <w:gridCol w:w="3025"/>
        <w:gridCol w:w="3015"/>
        <w:gridCol w:w="3022"/>
      </w:tblGrid>
      <w:tr w:rsidR="00F703CF" w:rsidTr="002F63AE">
        <w:tc>
          <w:tcPr>
            <w:tcW w:w="3096" w:type="dxa"/>
          </w:tcPr>
          <w:p w:rsidR="00F703CF" w:rsidRDefault="00F703CF" w:rsidP="002F63AE">
            <w:pPr>
              <w:rPr>
                <w:rFonts w:asciiTheme="minorHAnsi" w:hAnsiTheme="minorHAnsi"/>
                <w:b/>
              </w:rPr>
            </w:pPr>
            <w:r>
              <w:rPr>
                <w:rFonts w:asciiTheme="minorHAnsi" w:hAnsiTheme="minorHAnsi"/>
                <w:b/>
              </w:rPr>
              <w:t>Characteristic</w:t>
            </w:r>
          </w:p>
        </w:tc>
        <w:tc>
          <w:tcPr>
            <w:tcW w:w="3096" w:type="dxa"/>
          </w:tcPr>
          <w:p w:rsidR="00F703CF" w:rsidRDefault="00F703CF" w:rsidP="002F63AE">
            <w:pPr>
              <w:rPr>
                <w:rFonts w:asciiTheme="minorHAnsi" w:hAnsiTheme="minorHAnsi"/>
                <w:b/>
              </w:rPr>
            </w:pPr>
            <w:r>
              <w:rPr>
                <w:rFonts w:asciiTheme="minorHAnsi" w:hAnsiTheme="minorHAnsi"/>
                <w:b/>
              </w:rPr>
              <w:t>Global Scenarios</w:t>
            </w:r>
          </w:p>
        </w:tc>
        <w:tc>
          <w:tcPr>
            <w:tcW w:w="3096" w:type="dxa"/>
          </w:tcPr>
          <w:p w:rsidR="00F703CF" w:rsidRDefault="00F703CF" w:rsidP="002F63AE">
            <w:pPr>
              <w:rPr>
                <w:rFonts w:asciiTheme="minorHAnsi" w:hAnsiTheme="minorHAnsi"/>
                <w:b/>
              </w:rPr>
            </w:pPr>
            <w:r>
              <w:rPr>
                <w:rFonts w:asciiTheme="minorHAnsi" w:hAnsiTheme="minorHAnsi"/>
                <w:b/>
              </w:rPr>
              <w:t>European scenarios</w:t>
            </w:r>
          </w:p>
        </w:tc>
      </w:tr>
      <w:tr w:rsidR="00F703CF" w:rsidTr="002F63AE">
        <w:tc>
          <w:tcPr>
            <w:tcW w:w="3096" w:type="dxa"/>
          </w:tcPr>
          <w:p w:rsidR="00F703CF" w:rsidRPr="00974E45" w:rsidRDefault="00F703CF" w:rsidP="002F63AE">
            <w:pPr>
              <w:rPr>
                <w:rFonts w:asciiTheme="minorHAnsi" w:hAnsiTheme="minorHAnsi"/>
              </w:rPr>
            </w:pPr>
            <w:r w:rsidRPr="00974E45">
              <w:rPr>
                <w:rFonts w:asciiTheme="minorHAnsi" w:hAnsiTheme="minorHAnsi"/>
              </w:rPr>
              <w:t>Name</w:t>
            </w:r>
          </w:p>
        </w:tc>
        <w:tc>
          <w:tcPr>
            <w:tcW w:w="3096" w:type="dxa"/>
          </w:tcPr>
          <w:p w:rsidR="00F703CF" w:rsidRPr="00974E45" w:rsidRDefault="00F703CF" w:rsidP="002F63AE">
            <w:pPr>
              <w:rPr>
                <w:rFonts w:asciiTheme="minorHAnsi" w:hAnsiTheme="minorHAnsi"/>
              </w:rPr>
            </w:pPr>
            <w:r>
              <w:rPr>
                <w:rFonts w:asciiTheme="minorHAnsi" w:hAnsiTheme="minorHAnsi"/>
              </w:rPr>
              <w:t>Shared Socio-economic Pathways</w:t>
            </w:r>
          </w:p>
        </w:tc>
        <w:tc>
          <w:tcPr>
            <w:tcW w:w="3096" w:type="dxa"/>
          </w:tcPr>
          <w:p w:rsidR="00F703CF" w:rsidRPr="00974E45" w:rsidRDefault="00F703CF" w:rsidP="002F63AE">
            <w:pPr>
              <w:rPr>
                <w:rFonts w:asciiTheme="minorHAnsi" w:hAnsiTheme="minorHAnsi"/>
              </w:rPr>
            </w:pPr>
            <w:r>
              <w:rPr>
                <w:rFonts w:asciiTheme="minorHAnsi" w:hAnsiTheme="minorHAnsi"/>
              </w:rPr>
              <w:t>CLIMSAVE Socio-economic scenarios</w:t>
            </w:r>
          </w:p>
        </w:tc>
      </w:tr>
      <w:tr w:rsidR="00F703CF" w:rsidTr="002F63AE">
        <w:tc>
          <w:tcPr>
            <w:tcW w:w="3096" w:type="dxa"/>
          </w:tcPr>
          <w:p w:rsidR="00F703CF" w:rsidRPr="00974E45" w:rsidRDefault="00F703CF" w:rsidP="002F63AE">
            <w:pPr>
              <w:rPr>
                <w:rFonts w:asciiTheme="minorHAnsi" w:hAnsiTheme="minorHAnsi"/>
              </w:rPr>
            </w:pPr>
            <w:r>
              <w:rPr>
                <w:rFonts w:asciiTheme="minorHAnsi" w:hAnsiTheme="minorHAnsi"/>
              </w:rPr>
              <w:t>Temporal extent</w:t>
            </w:r>
          </w:p>
        </w:tc>
        <w:tc>
          <w:tcPr>
            <w:tcW w:w="3096" w:type="dxa"/>
          </w:tcPr>
          <w:p w:rsidR="00F703CF" w:rsidRPr="00974E45" w:rsidRDefault="00F703CF" w:rsidP="002F63AE">
            <w:pPr>
              <w:rPr>
                <w:rFonts w:asciiTheme="minorHAnsi" w:hAnsiTheme="minorHAnsi"/>
              </w:rPr>
            </w:pPr>
            <w:r>
              <w:rPr>
                <w:rFonts w:asciiTheme="minorHAnsi" w:hAnsiTheme="minorHAnsi"/>
              </w:rPr>
              <w:t>21</w:t>
            </w:r>
            <w:r w:rsidRPr="00974E45">
              <w:rPr>
                <w:rFonts w:asciiTheme="minorHAnsi" w:hAnsiTheme="minorHAnsi"/>
                <w:vertAlign w:val="superscript"/>
              </w:rPr>
              <w:t>st</w:t>
            </w:r>
            <w:r>
              <w:rPr>
                <w:rFonts w:asciiTheme="minorHAnsi" w:hAnsiTheme="minorHAnsi"/>
              </w:rPr>
              <w:t xml:space="preserve"> century (2100)</w:t>
            </w:r>
          </w:p>
        </w:tc>
        <w:tc>
          <w:tcPr>
            <w:tcW w:w="3096" w:type="dxa"/>
          </w:tcPr>
          <w:p w:rsidR="00F703CF" w:rsidRPr="00974E45" w:rsidRDefault="00F703CF" w:rsidP="002F63AE">
            <w:pPr>
              <w:rPr>
                <w:rFonts w:asciiTheme="minorHAnsi" w:hAnsiTheme="minorHAnsi"/>
              </w:rPr>
            </w:pPr>
            <w:r>
              <w:rPr>
                <w:rFonts w:asciiTheme="minorHAnsi" w:hAnsiTheme="minorHAnsi"/>
              </w:rPr>
              <w:t xml:space="preserve">2050s </w:t>
            </w:r>
          </w:p>
        </w:tc>
      </w:tr>
      <w:tr w:rsidR="00F703CF" w:rsidTr="002F63AE">
        <w:tc>
          <w:tcPr>
            <w:tcW w:w="3096" w:type="dxa"/>
          </w:tcPr>
          <w:p w:rsidR="00F703CF" w:rsidRPr="00974E45" w:rsidRDefault="00F703CF" w:rsidP="002F63AE">
            <w:pPr>
              <w:rPr>
                <w:rFonts w:asciiTheme="minorHAnsi" w:hAnsiTheme="minorHAnsi"/>
              </w:rPr>
            </w:pPr>
            <w:r>
              <w:rPr>
                <w:rFonts w:asciiTheme="minorHAnsi" w:hAnsiTheme="minorHAnsi"/>
              </w:rPr>
              <w:t>Spatial extent</w:t>
            </w:r>
          </w:p>
        </w:tc>
        <w:tc>
          <w:tcPr>
            <w:tcW w:w="3096" w:type="dxa"/>
          </w:tcPr>
          <w:p w:rsidR="00F703CF" w:rsidRPr="00974E45" w:rsidRDefault="00F703CF" w:rsidP="002F63AE">
            <w:pPr>
              <w:rPr>
                <w:rFonts w:asciiTheme="minorHAnsi" w:hAnsiTheme="minorHAnsi"/>
              </w:rPr>
            </w:pPr>
            <w:r>
              <w:rPr>
                <w:rFonts w:asciiTheme="minorHAnsi" w:hAnsiTheme="minorHAnsi"/>
              </w:rPr>
              <w:t>Global</w:t>
            </w:r>
          </w:p>
        </w:tc>
        <w:tc>
          <w:tcPr>
            <w:tcW w:w="3096" w:type="dxa"/>
          </w:tcPr>
          <w:p w:rsidR="00F703CF" w:rsidRPr="00974E45" w:rsidRDefault="00F703CF" w:rsidP="002F63AE">
            <w:pPr>
              <w:rPr>
                <w:rFonts w:asciiTheme="minorHAnsi" w:hAnsiTheme="minorHAnsi"/>
              </w:rPr>
            </w:pPr>
            <w:r>
              <w:rPr>
                <w:rFonts w:asciiTheme="minorHAnsi" w:hAnsiTheme="minorHAnsi"/>
              </w:rPr>
              <w:t>European</w:t>
            </w:r>
          </w:p>
        </w:tc>
      </w:tr>
      <w:tr w:rsidR="00F703CF" w:rsidTr="002F63AE">
        <w:tc>
          <w:tcPr>
            <w:tcW w:w="3096" w:type="dxa"/>
          </w:tcPr>
          <w:p w:rsidR="00F703CF" w:rsidRPr="00974E45" w:rsidRDefault="00F703CF" w:rsidP="002F63AE">
            <w:pPr>
              <w:rPr>
                <w:rFonts w:asciiTheme="minorHAnsi" w:hAnsiTheme="minorHAnsi"/>
              </w:rPr>
            </w:pPr>
            <w:r>
              <w:rPr>
                <w:rFonts w:asciiTheme="minorHAnsi" w:hAnsiTheme="minorHAnsi"/>
              </w:rPr>
              <w:t>Theme</w:t>
            </w:r>
          </w:p>
        </w:tc>
        <w:tc>
          <w:tcPr>
            <w:tcW w:w="3096" w:type="dxa"/>
          </w:tcPr>
          <w:p w:rsidR="00F703CF" w:rsidRPr="00974E45" w:rsidRDefault="00F703CF" w:rsidP="002F63AE">
            <w:pPr>
              <w:rPr>
                <w:rFonts w:asciiTheme="minorHAnsi" w:hAnsiTheme="minorHAnsi"/>
              </w:rPr>
            </w:pPr>
            <w:r>
              <w:rPr>
                <w:rFonts w:asciiTheme="minorHAnsi" w:hAnsiTheme="minorHAnsi"/>
              </w:rPr>
              <w:t>Climate change mitigation and adaptation</w:t>
            </w:r>
          </w:p>
        </w:tc>
        <w:tc>
          <w:tcPr>
            <w:tcW w:w="3096" w:type="dxa"/>
          </w:tcPr>
          <w:p w:rsidR="00F703CF" w:rsidRPr="00974E45" w:rsidRDefault="00F703CF" w:rsidP="002F63AE">
            <w:pPr>
              <w:rPr>
                <w:rFonts w:asciiTheme="minorHAnsi" w:hAnsiTheme="minorHAnsi"/>
              </w:rPr>
            </w:pPr>
            <w:r>
              <w:rPr>
                <w:rFonts w:asciiTheme="minorHAnsi" w:hAnsiTheme="minorHAnsi"/>
              </w:rPr>
              <w:t>Climate change adaptation</w:t>
            </w:r>
          </w:p>
        </w:tc>
      </w:tr>
      <w:tr w:rsidR="00F703CF" w:rsidTr="002F63AE">
        <w:tc>
          <w:tcPr>
            <w:tcW w:w="3096" w:type="dxa"/>
          </w:tcPr>
          <w:p w:rsidR="00F703CF" w:rsidRPr="00974E45" w:rsidRDefault="00F703CF" w:rsidP="002F63AE">
            <w:pPr>
              <w:rPr>
                <w:rFonts w:asciiTheme="minorHAnsi" w:hAnsiTheme="minorHAnsi"/>
              </w:rPr>
            </w:pPr>
            <w:r>
              <w:rPr>
                <w:rFonts w:asciiTheme="minorHAnsi" w:hAnsiTheme="minorHAnsi"/>
              </w:rPr>
              <w:t>Developers</w:t>
            </w:r>
          </w:p>
        </w:tc>
        <w:tc>
          <w:tcPr>
            <w:tcW w:w="3096" w:type="dxa"/>
          </w:tcPr>
          <w:p w:rsidR="00F703CF" w:rsidRPr="00974E45" w:rsidRDefault="00F703CF" w:rsidP="002F63AE">
            <w:pPr>
              <w:rPr>
                <w:rFonts w:asciiTheme="minorHAnsi" w:hAnsiTheme="minorHAnsi"/>
              </w:rPr>
            </w:pPr>
            <w:r>
              <w:rPr>
                <w:rFonts w:asciiTheme="minorHAnsi" w:hAnsiTheme="minorHAnsi"/>
              </w:rPr>
              <w:t>Global climate change community</w:t>
            </w:r>
          </w:p>
        </w:tc>
        <w:tc>
          <w:tcPr>
            <w:tcW w:w="3096" w:type="dxa"/>
          </w:tcPr>
          <w:p w:rsidR="00F703CF" w:rsidRPr="00974E45" w:rsidRDefault="00F703CF" w:rsidP="002F63AE">
            <w:pPr>
              <w:rPr>
                <w:rFonts w:asciiTheme="minorHAnsi" w:hAnsiTheme="minorHAnsi"/>
              </w:rPr>
            </w:pPr>
            <w:r>
              <w:rPr>
                <w:rFonts w:asciiTheme="minorHAnsi" w:hAnsiTheme="minorHAnsi"/>
              </w:rPr>
              <w:t>European stakeholders</w:t>
            </w:r>
          </w:p>
        </w:tc>
      </w:tr>
      <w:tr w:rsidR="00F703CF" w:rsidTr="002F63AE">
        <w:tc>
          <w:tcPr>
            <w:tcW w:w="3096" w:type="dxa"/>
          </w:tcPr>
          <w:p w:rsidR="00F703CF" w:rsidRPr="00974E45" w:rsidRDefault="00F703CF" w:rsidP="002F63AE">
            <w:pPr>
              <w:rPr>
                <w:rFonts w:asciiTheme="minorHAnsi" w:hAnsiTheme="minorHAnsi"/>
              </w:rPr>
            </w:pPr>
            <w:r>
              <w:rPr>
                <w:rFonts w:asciiTheme="minorHAnsi" w:hAnsiTheme="minorHAnsi"/>
              </w:rPr>
              <w:t>Main use</w:t>
            </w:r>
          </w:p>
        </w:tc>
        <w:tc>
          <w:tcPr>
            <w:tcW w:w="3096" w:type="dxa"/>
          </w:tcPr>
          <w:p w:rsidR="00F703CF" w:rsidRPr="00974E45" w:rsidRDefault="00F703CF" w:rsidP="002F63AE">
            <w:pPr>
              <w:rPr>
                <w:rFonts w:asciiTheme="minorHAnsi" w:hAnsiTheme="minorHAnsi"/>
              </w:rPr>
            </w:pPr>
            <w:r>
              <w:rPr>
                <w:rFonts w:asciiTheme="minorHAnsi" w:hAnsiTheme="minorHAnsi"/>
              </w:rPr>
              <w:t>Input to global Integrated Assessment Models</w:t>
            </w:r>
          </w:p>
        </w:tc>
        <w:tc>
          <w:tcPr>
            <w:tcW w:w="3096" w:type="dxa"/>
          </w:tcPr>
          <w:p w:rsidR="00F703CF" w:rsidRPr="00974E45" w:rsidRDefault="00F703CF" w:rsidP="002F63AE">
            <w:pPr>
              <w:rPr>
                <w:rFonts w:asciiTheme="minorHAnsi" w:hAnsiTheme="minorHAnsi"/>
              </w:rPr>
            </w:pPr>
            <w:r>
              <w:rPr>
                <w:rFonts w:asciiTheme="minorHAnsi" w:hAnsiTheme="minorHAnsi"/>
              </w:rPr>
              <w:t>Input to European Integrated Assessment Platform</w:t>
            </w:r>
          </w:p>
        </w:tc>
      </w:tr>
      <w:tr w:rsidR="00F703CF" w:rsidTr="002F63AE">
        <w:tc>
          <w:tcPr>
            <w:tcW w:w="3096" w:type="dxa"/>
          </w:tcPr>
          <w:p w:rsidR="00F703CF" w:rsidRPr="00974E45" w:rsidRDefault="00F703CF" w:rsidP="002F63AE">
            <w:pPr>
              <w:rPr>
                <w:rFonts w:asciiTheme="minorHAnsi" w:hAnsiTheme="minorHAnsi"/>
              </w:rPr>
            </w:pPr>
            <w:r>
              <w:rPr>
                <w:rFonts w:asciiTheme="minorHAnsi" w:hAnsiTheme="minorHAnsi"/>
              </w:rPr>
              <w:t>Main uncertainties</w:t>
            </w:r>
          </w:p>
        </w:tc>
        <w:tc>
          <w:tcPr>
            <w:tcW w:w="3096" w:type="dxa"/>
          </w:tcPr>
          <w:p w:rsidR="00F703CF" w:rsidRPr="00974E45" w:rsidRDefault="00F703CF" w:rsidP="002F63AE">
            <w:pPr>
              <w:rPr>
                <w:rFonts w:asciiTheme="minorHAnsi" w:hAnsiTheme="minorHAnsi"/>
              </w:rPr>
            </w:pPr>
            <w:r>
              <w:rPr>
                <w:rFonts w:asciiTheme="minorHAnsi" w:hAnsiTheme="minorHAnsi"/>
              </w:rPr>
              <w:t>Challenges to mitigation and adaptation</w:t>
            </w:r>
          </w:p>
        </w:tc>
        <w:tc>
          <w:tcPr>
            <w:tcW w:w="3096" w:type="dxa"/>
          </w:tcPr>
          <w:p w:rsidR="00F703CF" w:rsidRPr="00974E45" w:rsidRDefault="00F703CF" w:rsidP="002F63AE">
            <w:pPr>
              <w:rPr>
                <w:rFonts w:asciiTheme="minorHAnsi" w:hAnsiTheme="minorHAnsi"/>
              </w:rPr>
            </w:pPr>
            <w:r>
              <w:rPr>
                <w:rFonts w:asciiTheme="minorHAnsi" w:hAnsiTheme="minorHAnsi"/>
              </w:rPr>
              <w:t>Economic development and effectiveness of solutions</w:t>
            </w:r>
          </w:p>
        </w:tc>
      </w:tr>
    </w:tbl>
    <w:p w:rsidR="00F703CF" w:rsidRDefault="00F703CF" w:rsidP="00F703CF">
      <w:pPr>
        <w:rPr>
          <w:rFonts w:asciiTheme="minorHAnsi" w:hAnsiTheme="minorHAnsi"/>
          <w:b/>
        </w:rPr>
      </w:pPr>
    </w:p>
    <w:p w:rsidR="00F703CF" w:rsidRDefault="00FF4297" w:rsidP="00F703CF">
      <w:pPr>
        <w:rPr>
          <w:rFonts w:asciiTheme="minorHAnsi" w:hAnsiTheme="minorHAnsi"/>
        </w:rPr>
      </w:pPr>
      <w:r>
        <w:rPr>
          <w:rFonts w:asciiTheme="minorHAnsi" w:hAnsiTheme="minorHAnsi"/>
        </w:rPr>
        <w:t xml:space="preserve">Key similarities include a similar focus (socio-economic stories as part of integrated climate scenarios), a similar purpose (input to integrated assessment models), relatively long term (2050s versus 2100), and a similar theme (climate adaptation). Key differences include the spatial scale (Europe versus global); and most importantly two different main uncertainties that were used to define the scenario sets. The SSPs use “challenges to mitigation” (high or low) and “challenges to adaptation” (high or low) </w:t>
      </w:r>
      <w:r w:rsidR="00B51D3E">
        <w:rPr>
          <w:rFonts w:asciiTheme="minorHAnsi" w:hAnsiTheme="minorHAnsi"/>
        </w:rPr>
        <w:t xml:space="preserve">as key assumptions </w:t>
      </w:r>
      <w:r>
        <w:rPr>
          <w:rFonts w:asciiTheme="minorHAnsi" w:hAnsiTheme="minorHAnsi"/>
        </w:rPr>
        <w:t>to delineate the scenario space, while within CLIMSAVE the two uncertainties were  “economic development” (rollercoaster or gradual) and “effectiveness of solutions”</w:t>
      </w:r>
      <w:r w:rsidR="00C921E7">
        <w:rPr>
          <w:rFonts w:asciiTheme="minorHAnsi" w:hAnsiTheme="minorHAnsi"/>
        </w:rPr>
        <w:t xml:space="preserve"> (high or low). The focus of the CLIMSAVE scenarios can partly be explained by the fact that they were constructed at the height of the economic crisis. The rather pessimistic view on economic development, therefore, resulted in two  scenarios with an overall economic decline (Icarus and Should I Stay or Should I Go) and a third with continuous economic issues (Riders on the Storm). </w:t>
      </w:r>
      <w:r w:rsidR="00B51D3E">
        <w:rPr>
          <w:rFonts w:asciiTheme="minorHAnsi" w:hAnsiTheme="minorHAnsi"/>
        </w:rPr>
        <w:t>The SSPs were constructed with a positive economic outlook. Although differences in how the scenario space was delineated caused the two sets to differ, this did not substantially decrease similarities between individual scenarios.</w:t>
      </w:r>
    </w:p>
    <w:p w:rsidR="00F703CF" w:rsidRDefault="00F703CF">
      <w:pPr>
        <w:rPr>
          <w:rFonts w:asciiTheme="minorHAnsi" w:hAnsiTheme="minorHAnsi"/>
          <w:b/>
        </w:rPr>
      </w:pPr>
      <w:r>
        <w:rPr>
          <w:rFonts w:asciiTheme="minorHAnsi" w:hAnsiTheme="minorHAnsi"/>
          <w:b/>
        </w:rPr>
        <w:br w:type="page"/>
      </w:r>
    </w:p>
    <w:p w:rsidR="007D1AE2" w:rsidRPr="007D1AE2" w:rsidRDefault="0013455F" w:rsidP="007D1AE2">
      <w:pPr>
        <w:rPr>
          <w:rFonts w:asciiTheme="minorHAnsi" w:hAnsiTheme="minorHAnsi"/>
          <w:b/>
        </w:rPr>
      </w:pPr>
      <w:r>
        <w:rPr>
          <w:rFonts w:asciiTheme="minorHAnsi" w:hAnsiTheme="minorHAnsi"/>
          <w:b/>
        </w:rPr>
        <w:lastRenderedPageBreak/>
        <w:t>E</w:t>
      </w:r>
      <w:r w:rsidR="0085210F">
        <w:rPr>
          <w:rFonts w:asciiTheme="minorHAnsi" w:hAnsiTheme="minorHAnsi"/>
          <w:b/>
        </w:rPr>
        <w:t>SM</w:t>
      </w:r>
      <w:r w:rsidR="00390617">
        <w:rPr>
          <w:rFonts w:asciiTheme="minorHAnsi" w:hAnsiTheme="minorHAnsi"/>
          <w:b/>
        </w:rPr>
        <w:t>7</w:t>
      </w:r>
      <w:r w:rsidR="007D1AE2" w:rsidRPr="007D1AE2">
        <w:rPr>
          <w:rFonts w:asciiTheme="minorHAnsi" w:hAnsiTheme="minorHAnsi"/>
          <w:b/>
        </w:rPr>
        <w:t xml:space="preserve"> Eu</w:t>
      </w:r>
      <w:r w:rsidR="00911709">
        <w:rPr>
          <w:rFonts w:asciiTheme="minorHAnsi" w:hAnsiTheme="minorHAnsi"/>
          <w:b/>
        </w:rPr>
        <w:t>r</w:t>
      </w:r>
      <w:r w:rsidR="007D1AE2" w:rsidRPr="007D1AE2">
        <w:rPr>
          <w:rFonts w:asciiTheme="minorHAnsi" w:hAnsiTheme="minorHAnsi"/>
          <w:b/>
        </w:rPr>
        <w:t>-SSPs. Full stories</w:t>
      </w:r>
    </w:p>
    <w:p w:rsidR="007D1AE2" w:rsidRPr="007D1AE2" w:rsidRDefault="007D1AE2" w:rsidP="007D1AE2">
      <w:pPr>
        <w:rPr>
          <w:rFonts w:asciiTheme="minorHAnsi" w:hAnsiTheme="minorHAnsi"/>
          <w:b/>
        </w:rPr>
      </w:pPr>
    </w:p>
    <w:p w:rsidR="007D1AE2" w:rsidRPr="007D1AE2" w:rsidRDefault="0085210F" w:rsidP="007D1AE2">
      <w:pPr>
        <w:rPr>
          <w:rFonts w:asciiTheme="minorHAnsi" w:hAnsiTheme="minorHAnsi"/>
          <w:b/>
        </w:rPr>
      </w:pPr>
      <w:r>
        <w:rPr>
          <w:rFonts w:asciiTheme="minorHAnsi" w:hAnsiTheme="minorHAnsi"/>
          <w:b/>
        </w:rPr>
        <w:t>ESM</w:t>
      </w:r>
      <w:r w:rsidR="00390617">
        <w:rPr>
          <w:rFonts w:asciiTheme="minorHAnsi" w:hAnsiTheme="minorHAnsi"/>
          <w:b/>
        </w:rPr>
        <w:t>7</w:t>
      </w:r>
      <w:r w:rsidR="007D1AE2" w:rsidRPr="007D1AE2">
        <w:rPr>
          <w:rFonts w:asciiTheme="minorHAnsi" w:hAnsiTheme="minorHAnsi"/>
          <w:b/>
        </w:rPr>
        <w:t>.1 Eu</w:t>
      </w:r>
      <w:r w:rsidR="00911709">
        <w:rPr>
          <w:rFonts w:asciiTheme="minorHAnsi" w:hAnsiTheme="minorHAnsi"/>
          <w:b/>
        </w:rPr>
        <w:t>r</w:t>
      </w:r>
      <w:r w:rsidR="007D1AE2" w:rsidRPr="007D1AE2">
        <w:rPr>
          <w:rFonts w:asciiTheme="minorHAnsi" w:hAnsiTheme="minorHAnsi"/>
          <w:b/>
        </w:rPr>
        <w:t>-SSP1 – We are the World</w:t>
      </w:r>
    </w:p>
    <w:p w:rsidR="007D1AE2" w:rsidRPr="007D1AE2" w:rsidRDefault="007D1AE2" w:rsidP="007D1AE2">
      <w:pPr>
        <w:rPr>
          <w:rFonts w:asciiTheme="minorHAnsi" w:hAnsiTheme="minorHAnsi"/>
        </w:rPr>
      </w:pPr>
      <w:r w:rsidRPr="007D1AE2">
        <w:rPr>
          <w:rFonts w:asciiTheme="minorHAnsi" w:hAnsiTheme="minorHAnsi"/>
        </w:rPr>
        <w:t>There is a high commitment to achieve sustainable development goals through effective governments and global cooperation, ultimately resulting in less inequality and less resource intensive lifestyles</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2010-2040: The financial crisis continues to have strong repercussions and EU leaders are forced towards further integration of European financial and fiscal policies. The interplay of financial, environmental, and economic crises fuel the feeling that behaviour has to change away from an unregulated market-driven economy to a sustainable development path. This puts governments under pressure to take ambitious measures, including stimulating an energy transition towards renewables and facilitating innovative research, accompanied by investments in health, education, and social support. These investments are at the expense of somewhat slower economic growth and initially meet with some resistance. Eventually, a system of national accounts is put in place that essentially adopts a basket of well-being based performance measures instead of GDP. The resulting higher quality of life and a growing feeling of security and safety are eventually embraced. In Europe and worldwide, trade wars and other economic crises are addressed increasingly effectively by multi-level governance configurations. Investment in green technologies and geo-engineering increases rapidly, focusing on renewables and energy efficiency. By 2040, efforts to transform Europe to a sustainable society are now starting to pay their dividends, reinforced by gradually changing lifestyles.</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 xml:space="preserve">2040-2070: A decrease in conflicts in Europe’s Southern and Eastern border regions leads to higher political stability and moderate but steady economic growth in an increasingly equitable Europe, which allows for the middle class to grow stronger. The European Union expands further and participates in new global governance initiatives. The larger EU takes responsibility for addressing its environmental impacts in the border regions and leads investments that help in the pursuit of sustainable development goals in those regions. As a result, migration towards Europe starts to decline for the first time this century.  There is a substantial shift in the European political agenda with a greater focus on well-being than economic growth, driven by human losses associated with climate change combined with positive improvements in accessible education and lifestyle. Advances in green technologies are further stimulated by international competition leading to a CO2 neutral society by 2050. </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2070-2100: Worldwide, consumption is now oriented toward low material growth and low resource and energy intensity. This results from the development of new technologies with radically reduced resource consumption and a strong increase in the use of renewable energy sources, facilitated by new flexible global, regional and national institutions that enhance international cooperation. Supported by a continued steady economic development and the strong middle class, economic and social inequality further decrease. By 2100, Europe is characterised by a high level of sustainability oriented political and societal awareness, focusing on renewable energy and low material growth in a strongly regulated but effective multi-level governance structure. International cooperation is strong, particularly with Asia.</w:t>
      </w:r>
    </w:p>
    <w:p w:rsidR="007D1AE2" w:rsidRPr="007D1AE2" w:rsidRDefault="007D1AE2" w:rsidP="007D1AE2">
      <w:pPr>
        <w:rPr>
          <w:rFonts w:asciiTheme="minorHAnsi" w:hAnsiTheme="minorHAnsi"/>
        </w:rPr>
      </w:pPr>
    </w:p>
    <w:p w:rsidR="007D1AE2" w:rsidRPr="007D1AE2" w:rsidRDefault="0085210F" w:rsidP="007D1AE2">
      <w:pPr>
        <w:rPr>
          <w:rFonts w:asciiTheme="minorHAnsi" w:hAnsiTheme="minorHAnsi"/>
          <w:b/>
        </w:rPr>
      </w:pPr>
      <w:r>
        <w:rPr>
          <w:rFonts w:asciiTheme="minorHAnsi" w:hAnsiTheme="minorHAnsi"/>
          <w:b/>
        </w:rPr>
        <w:lastRenderedPageBreak/>
        <w:t>ESM</w:t>
      </w:r>
      <w:r w:rsidR="00390617">
        <w:rPr>
          <w:rFonts w:asciiTheme="minorHAnsi" w:hAnsiTheme="minorHAnsi"/>
          <w:b/>
        </w:rPr>
        <w:t>7</w:t>
      </w:r>
      <w:r w:rsidR="007D1AE2" w:rsidRPr="007D1AE2">
        <w:rPr>
          <w:rFonts w:asciiTheme="minorHAnsi" w:hAnsiTheme="minorHAnsi"/>
          <w:b/>
        </w:rPr>
        <w:t>.2 Eu</w:t>
      </w:r>
      <w:r w:rsidR="00911709">
        <w:rPr>
          <w:rFonts w:asciiTheme="minorHAnsi" w:hAnsiTheme="minorHAnsi"/>
          <w:b/>
        </w:rPr>
        <w:t>r</w:t>
      </w:r>
      <w:r w:rsidR="007D1AE2" w:rsidRPr="007D1AE2">
        <w:rPr>
          <w:rFonts w:asciiTheme="minorHAnsi" w:hAnsiTheme="minorHAnsi"/>
          <w:b/>
        </w:rPr>
        <w:t>-SSP3 – Icarus</w:t>
      </w:r>
    </w:p>
    <w:p w:rsidR="007D1AE2" w:rsidRPr="007D1AE2" w:rsidRDefault="007D1AE2" w:rsidP="007D1AE2">
      <w:pPr>
        <w:rPr>
          <w:rFonts w:asciiTheme="minorHAnsi" w:hAnsiTheme="minorHAnsi"/>
        </w:rPr>
      </w:pPr>
      <w:r w:rsidRPr="007D1AE2">
        <w:rPr>
          <w:rFonts w:asciiTheme="minorHAnsi" w:hAnsiTheme="minorHAnsi"/>
        </w:rPr>
        <w:t>Sparked by economic woes in major economies and regional conflict, antagonism between and within regional blocs increases, resulting in the disintegration of social fabric and many countries struggling to maintain living standards. Ultimately, a high-carbon intensive Europe emerges with high inequalities predominantly between, but also within, countries.</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 xml:space="preserve">2010-2040: With the economy gradually picking up, the demand for resources increases, which turns out to be a tipping point for the state of the environment with severe ecosystem failures. At the same time, the world economy does not perform as expected with new crises across the European Union that stress the structural differences across and within Member States. Populist movements become increasingly mainstream and are further fuelled by increasing riots in multicultural neighbourhoods. The persistence of conflicts and decline in trade also substantially increases energy and food prices, while initiating a massive build-up of the military industry, which is resource hungry but not resource efficient. Extreme weather events become more frequent and further increase the costs of resources, damage control and defensive measures; this causes the economy in Europe to start to stagnate. This, in turn, increases unemployment rates and leads to the phasing out of the social security system. In light of increasingly scarce public resources, long-term policy planning becomes rare with hardly any money for education, research or innovation. Eventually the EU breaks down. </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2040-2070: Continuing negative social, environmental, and economic developments widen the gap between the poorer countries and regions particularly in the periphery of Europe and the richer, larger, countries that maintain a decent level of social, economic, and political stability.  With the disintegration of social fabric, Europeans in the poorer regions increasingly migrate in search of jobs, and are employed in countries that are somewhat better off, for relatively low wages. Most migration is within Europe. Eventually, new regional blocs are formed in the north and in the south of Europe, while new alliances with other countries are forged to ensure sufficient energy supply. By 2070, social counter-movements appear with some signs of a slight economic recovery and increased social cohesion. Yet, these signs are temporary and do not take root in a fragmented and divided Europe with strong regional rivalry and conflict. The general lack of economic resources and means to afford new technologies, coupled with weak institutions and governance structure, leads to an increasing resource intensity and fossil fuel use.</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2070-2100: In the absence of strong (inter)national institutions, criminal organisations and corruption take hold, in the aftermath of failed counter movements. Europe has lost its leading position, reinforced by difficulties to re-establish effective collaborations. The far-reaching fragmentation and cultural diversity have triggered a brain drain with the well-educated migrating to regions outside Europe that offer (slightly) better possibilities. Eventually, Europe is not worse off than the rest of the world, but struggles not to become the world’s backwater as new clean technologies are increasingly developed elsewhere and affordable only for the richer Member States. These ensure clean water, clean energy and health for those countries. However, the majority accept political instability and social injustice and learn to live with less.</w:t>
      </w:r>
    </w:p>
    <w:p w:rsidR="007D1AE2" w:rsidRPr="007D1AE2" w:rsidRDefault="007D1AE2" w:rsidP="007D1AE2">
      <w:pPr>
        <w:rPr>
          <w:rFonts w:asciiTheme="minorHAnsi" w:hAnsiTheme="minorHAnsi"/>
        </w:rPr>
      </w:pPr>
    </w:p>
    <w:p w:rsidR="005F17F2" w:rsidRDefault="005F17F2" w:rsidP="007D1AE2">
      <w:pPr>
        <w:rPr>
          <w:rFonts w:asciiTheme="minorHAnsi" w:hAnsiTheme="minorHAnsi"/>
          <w:b/>
        </w:rPr>
      </w:pPr>
    </w:p>
    <w:p w:rsidR="007D1AE2" w:rsidRPr="007D1AE2" w:rsidRDefault="007D1AE2" w:rsidP="007D1AE2">
      <w:pPr>
        <w:rPr>
          <w:rFonts w:asciiTheme="minorHAnsi" w:hAnsiTheme="minorHAnsi"/>
          <w:b/>
        </w:rPr>
      </w:pPr>
      <w:r w:rsidRPr="007D1AE2">
        <w:rPr>
          <w:rFonts w:asciiTheme="minorHAnsi" w:hAnsiTheme="minorHAnsi"/>
          <w:b/>
        </w:rPr>
        <w:lastRenderedPageBreak/>
        <w:t>ESM</w:t>
      </w:r>
      <w:r w:rsidR="00390617">
        <w:rPr>
          <w:rFonts w:asciiTheme="minorHAnsi" w:hAnsiTheme="minorHAnsi"/>
          <w:b/>
        </w:rPr>
        <w:t>7</w:t>
      </w:r>
      <w:r w:rsidRPr="007D1AE2">
        <w:rPr>
          <w:rFonts w:asciiTheme="minorHAnsi" w:hAnsiTheme="minorHAnsi"/>
          <w:b/>
        </w:rPr>
        <w:t>.3 Eu</w:t>
      </w:r>
      <w:r w:rsidR="00911709">
        <w:rPr>
          <w:rFonts w:asciiTheme="minorHAnsi" w:hAnsiTheme="minorHAnsi"/>
          <w:b/>
        </w:rPr>
        <w:t>r</w:t>
      </w:r>
      <w:r w:rsidRPr="007D1AE2">
        <w:rPr>
          <w:rFonts w:asciiTheme="minorHAnsi" w:hAnsiTheme="minorHAnsi"/>
          <w:b/>
        </w:rPr>
        <w:t>-SSP4 – Riders on the Storm</w:t>
      </w:r>
    </w:p>
    <w:p w:rsidR="007D1AE2" w:rsidRPr="007D1AE2" w:rsidRDefault="007D1AE2" w:rsidP="007D1AE2">
      <w:pPr>
        <w:rPr>
          <w:rFonts w:asciiTheme="minorHAnsi" w:hAnsiTheme="minorHAnsi"/>
        </w:rPr>
      </w:pPr>
      <w:r w:rsidRPr="007D1AE2">
        <w:rPr>
          <w:rFonts w:asciiTheme="minorHAnsi" w:hAnsiTheme="minorHAnsi"/>
        </w:rPr>
        <w:t>Globally, power becomes more concentrated in a relatively small political and business elite, accompanied by increasing disparities in economic opportunity, leading to substantial proportions of populations having a low level of development. However, Europe becomes an important player in a world full of tensions due to successful green technologies, despite the growing inequalities both across and within countries.</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2010-2040: Sparked by the economic crisis and extreme weather events, the EU increases commitment to find innovative solutions to the depletion of natural resources and climate change. In combination with current relatively high levels of social cohesion, energy efficiency and environmental policy-making this initiates a shift towards a high-tech green Europe. This transformation is strongly supported by large businesses that successfully seek collaboration with the increasingly powerful European government. Eventually, average wealth starts to increase as crises are successfully combatted. At the same time, the centralised public-private partnerships and related policies result in increased social disparities within countries.</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2040-2070:  Technology development is strong in the high-tech economy and sectors. Energy companies hedge against price fluctuations through diversifying their energy sources, with investments in both carbon-intensive fuels like coal and unconventional oil, but also low-carbon energy sources. New high-tech sectors are growing in importance and gradually become the backbone of an economically strong Europe. At the same time, however, inequalities are rising because of a number of simultaneously acting factors. These include skill-based technology development; highly unequal investments in education; and less affluent groups having increasingly weak political power and limited access to credit. Together, these increasing disparities in economic opportunities and political power lead to increasing inequalities and stratification both across and within countries. The traditionally strong middle class decreases in influence but only slightly in numbers. By 2070, there is a large and widening gap between an internationally-connected society that is well educated and contributes to knowledge- and capital-intensive sectors of the global economy, and a more fragmented collection of lower- income societies that work in a labour intensive, low-tech economy, mostly in the service sector for the benefit of the elite. Despite a strong EU, power becomes increasingly concentrated in a relatively small political and business elite, while vulnerable groups have decreasing representation and influence. Among others, this results in increased conflicts in poorer regions of Europe and migration flows to safer areas, which become protected and clean `islands’. Migration flows into Europe are highly controlled by the elite, but Europe increasingly attracts illegal immigrants competing for decreasingly available low-skilled jobs.</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 xml:space="preserve">2070-2100: Europe has become a market leader in (green) technologies, because of long-term under-investment in new resources in many other regions of the world related to uncertainty in fossil fuel markets. Protected by a strong elite, the small “connected” upper class benefits with high-skilled workers moving easily across countries to tap into new business opportunities. The elite becomes increasingly separated from other social classes, importantly from the now quickly dwindling middle class. A large share of the population, however, does not benefit from technological breakthroughs and does not profit from alliances between big business and the political elite. This results in deepening inequalities </w:t>
      </w:r>
      <w:r w:rsidRPr="007D1AE2">
        <w:rPr>
          <w:rFonts w:asciiTheme="minorHAnsi" w:hAnsiTheme="minorHAnsi"/>
        </w:rPr>
        <w:lastRenderedPageBreak/>
        <w:t>within and among countries across Europe. With decreasing public funding, good education is only accessible to those who can afford it. Technological development has not resulted in reduced energy prices, but has instead established an oligarchy of green business developers that control energy supply and reduce resource availability for the majority. As a governing body, the European Union is strong with strong ties with the lobbying industry. Social cohesion, however, is now low and stratified, while human health has decreased for most. By 2100, Europe is an important player in a world full of tensions, but with growing inequalities across and within European countries.</w:t>
      </w:r>
    </w:p>
    <w:p w:rsidR="007D1AE2" w:rsidRPr="007D1AE2" w:rsidRDefault="007D1AE2" w:rsidP="007D1AE2">
      <w:pPr>
        <w:rPr>
          <w:rFonts w:asciiTheme="minorHAnsi" w:hAnsiTheme="minorHAnsi"/>
        </w:rPr>
      </w:pPr>
    </w:p>
    <w:p w:rsidR="007D1AE2" w:rsidRPr="007D1AE2" w:rsidRDefault="0085210F" w:rsidP="007D1AE2">
      <w:pPr>
        <w:rPr>
          <w:rFonts w:asciiTheme="minorHAnsi" w:hAnsiTheme="minorHAnsi"/>
          <w:b/>
        </w:rPr>
      </w:pPr>
      <w:r>
        <w:rPr>
          <w:rFonts w:asciiTheme="minorHAnsi" w:hAnsiTheme="minorHAnsi"/>
          <w:b/>
        </w:rPr>
        <w:t>ESM</w:t>
      </w:r>
      <w:r w:rsidR="00390617">
        <w:rPr>
          <w:rFonts w:asciiTheme="minorHAnsi" w:hAnsiTheme="minorHAnsi"/>
          <w:b/>
        </w:rPr>
        <w:t>7</w:t>
      </w:r>
      <w:r w:rsidR="007D1AE2" w:rsidRPr="007D1AE2">
        <w:rPr>
          <w:rFonts w:asciiTheme="minorHAnsi" w:hAnsiTheme="minorHAnsi"/>
          <w:b/>
        </w:rPr>
        <w:t>.4 Eu</w:t>
      </w:r>
      <w:r w:rsidR="00911709">
        <w:rPr>
          <w:rFonts w:asciiTheme="minorHAnsi" w:hAnsiTheme="minorHAnsi"/>
          <w:b/>
        </w:rPr>
        <w:t>r</w:t>
      </w:r>
      <w:r w:rsidR="007D1AE2" w:rsidRPr="007D1AE2">
        <w:rPr>
          <w:rFonts w:asciiTheme="minorHAnsi" w:hAnsiTheme="minorHAnsi"/>
          <w:b/>
        </w:rPr>
        <w:t xml:space="preserve">-SSP5 – Fossil-fuelled Development </w:t>
      </w:r>
    </w:p>
    <w:p w:rsidR="007D1AE2" w:rsidRPr="007D1AE2" w:rsidRDefault="007D1AE2" w:rsidP="007D1AE2">
      <w:pPr>
        <w:rPr>
          <w:rFonts w:asciiTheme="minorHAnsi" w:hAnsiTheme="minorHAnsi"/>
        </w:rPr>
      </w:pPr>
      <w:r w:rsidRPr="007D1AE2">
        <w:rPr>
          <w:rFonts w:asciiTheme="minorHAnsi" w:hAnsiTheme="minorHAnsi"/>
        </w:rPr>
        <w:t>Globally, driven by the economic success of industrialised and emerging economies, people in this world place increasing faith in competitive markets, innovation and participatory societies to produce rapid technological progress and development of human capital as the path to sustainable development. A lack of environmental concern leads to the exploitation of abundant fossil fuel resources. In Europe, innovations likewise lead to a large return on investment and increased social equity and health, also through overuse of non-renewable resources. Resulting environmental degradation is of secondary importance, but partly addressed by technological solutions.</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 xml:space="preserve">2010-2040: Global markets are increasingly integrated, with interventions focused on removing institutional barriers to the participation of disadvantaged population groups. There are also strong investments in health, education, and institutions to enhance human and social capital. At the same time, the push for economic and social development is coupled with the exploitation of abundant fossil fuel resources. In the aftermath of the economic crises in Europe, there is a slow shift towards market deregulation, resulting in a strong labour market and increased purchasing power. This results in a decrease in political unrest. Of particular importance for Europe is the large-scale extraction of shale gas, which further stimulates economic wealth, part of which is used to stimulate the development of (green) technologies. Europe regains its leading position in the global economy, which further contributes towards a focus on economic growth and export markets rather than environmental policies. Nuclear energy is slowly phased out everywhere in Europe, while investments in biofuels are low, in favour of cheaper and more readily available fossil fuels. </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 xml:space="preserve">2040-2070: Because of decreased energy price volatility and stabilising economies, public trust in political decision making increases which facilitates strategies related to further exploitation of natural resources. Faith is strong in the ability to effectively manage social and ecological systems, including by geo-engineering. High and low skilled immigration and mobility remain high as European economies flourish. Job availability across all market sectors is high and contributes towards a reduction of inequalities and competition. Population across all societal classes, and the strengthening middle class in particular, adopts a very energy intensive lifestyle. Where environmental problems occur, these are tackled locally and reactively with technological solutions. The environment degrades, but the majority of the population is unaware because of successful technological innovation in e.g. food and water production, vaccination availability and climate adaptation, which decrease the dependency on ecosystem services. </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lastRenderedPageBreak/>
        <w:t>2070-2100: In general, Europe continues on its path towards economic and social sustainability through competitive markets; investments in education and health; innovation and a strong focus on technological solutions fuelled by an (over)exploitation of fossil fuel resources, with an ever stronger pressure on natural resources. The continuous high stability of the energy market and economies have changed European policy-making, now predominantly focusing on and investing in policies related to human and social capital, rather than environmental protection. National governments have less political power, which enhances free circulation of services, goods and people. Population continues to grow with many European cities having become economic hubs with efficient transportation means. Towards 2100, the environment is locally seriously degraded as non-renewables are further exploited, which eventually results in a slow re-emergence of investments in renewables, deemed necessary as prices of fossil fuels rise.</w:t>
      </w:r>
    </w:p>
    <w:p w:rsidR="00423327" w:rsidRPr="007D1AE2" w:rsidRDefault="00423327">
      <w:pPr>
        <w:rPr>
          <w:rFonts w:asciiTheme="minorHAnsi" w:hAnsiTheme="minorHAnsi"/>
        </w:rPr>
      </w:pPr>
    </w:p>
    <w:p w:rsidR="007D1AE2" w:rsidRDefault="007D1AE2">
      <w:pPr>
        <w:rPr>
          <w:rFonts w:asciiTheme="minorHAnsi" w:hAnsiTheme="minorHAnsi"/>
        </w:rPr>
      </w:pPr>
      <w:r>
        <w:rPr>
          <w:rFonts w:asciiTheme="minorHAnsi" w:hAnsiTheme="minorHAnsi"/>
        </w:rPr>
        <w:br w:type="page"/>
      </w:r>
    </w:p>
    <w:p w:rsidR="009B0A54" w:rsidRPr="009B0A54" w:rsidRDefault="009B0A54" w:rsidP="009B0A54">
      <w:pPr>
        <w:rPr>
          <w:rFonts w:ascii="Calibri" w:hAnsi="Calibri"/>
          <w:b/>
        </w:rPr>
      </w:pPr>
      <w:r w:rsidRPr="009B0A54">
        <w:rPr>
          <w:rFonts w:ascii="Calibri" w:hAnsi="Calibri"/>
          <w:b/>
        </w:rPr>
        <w:lastRenderedPageBreak/>
        <w:t>ESM</w:t>
      </w:r>
      <w:r w:rsidR="00390617">
        <w:rPr>
          <w:rFonts w:ascii="Calibri" w:hAnsi="Calibri"/>
          <w:b/>
        </w:rPr>
        <w:t>8</w:t>
      </w:r>
      <w:r w:rsidRPr="009B0A54">
        <w:rPr>
          <w:rFonts w:ascii="Calibri" w:hAnsi="Calibri"/>
          <w:b/>
        </w:rPr>
        <w:t xml:space="preserve"> Details of process outline to develop Eur-SSPs</w:t>
      </w:r>
    </w:p>
    <w:p w:rsidR="009B0A54" w:rsidRDefault="009B0A54" w:rsidP="009B0A54">
      <w:pPr>
        <w:rPr>
          <w:rFonts w:ascii="Calibri" w:hAnsi="Calibri"/>
        </w:rPr>
      </w:pPr>
      <w:r>
        <w:rPr>
          <w:rFonts w:ascii="Calibri" w:hAnsi="Calibri"/>
        </w:rPr>
        <w:t>Table ESM</w:t>
      </w:r>
      <w:r w:rsidR="00390617">
        <w:rPr>
          <w:rFonts w:ascii="Calibri" w:hAnsi="Calibri"/>
        </w:rPr>
        <w:t>4</w:t>
      </w:r>
      <w:r>
        <w:rPr>
          <w:rFonts w:ascii="Calibri" w:hAnsi="Calibri"/>
        </w:rPr>
        <w:t xml:space="preserve"> provides an overview of the process details that were followed when developing European Shared Socio-economic Pathways for each SSP and for each time slice. In general, the first time slice was often based on the European CLIMSAVE scenarios, except for Eur-SSP5. The last time slice was often an elaboration of the text from the global SSPs, as information beyond 2055 was lacking from the European scenarios.</w:t>
      </w:r>
    </w:p>
    <w:p w:rsidR="009B0A54" w:rsidRDefault="009B0A54" w:rsidP="009B0A54">
      <w:pPr>
        <w:rPr>
          <w:rFonts w:ascii="Calibri" w:hAnsi="Calibri"/>
        </w:rPr>
      </w:pPr>
    </w:p>
    <w:p w:rsidR="009B0A54" w:rsidRDefault="009B0A54" w:rsidP="009B0A54">
      <w:pPr>
        <w:rPr>
          <w:rFonts w:ascii="Calibri" w:hAnsi="Calibri"/>
        </w:rPr>
      </w:pPr>
      <w:r>
        <w:rPr>
          <w:rFonts w:ascii="Calibri" w:hAnsi="Calibri"/>
        </w:rPr>
        <w:t>Table ESM</w:t>
      </w:r>
      <w:r w:rsidR="00390617">
        <w:rPr>
          <w:rFonts w:ascii="Calibri" w:hAnsi="Calibri"/>
        </w:rPr>
        <w:t>4</w:t>
      </w:r>
      <w:r>
        <w:rPr>
          <w:rFonts w:ascii="Calibri" w:hAnsi="Calibri"/>
        </w:rPr>
        <w:t>. Outline of process to develop new Eur-SSPs.</w:t>
      </w:r>
    </w:p>
    <w:tbl>
      <w:tblPr>
        <w:tblStyle w:val="TableGrid"/>
        <w:tblW w:w="0" w:type="auto"/>
        <w:tblLook w:val="04A0" w:firstRow="1" w:lastRow="0" w:firstColumn="1" w:lastColumn="0" w:noHBand="0" w:noVBand="1"/>
      </w:tblPr>
      <w:tblGrid>
        <w:gridCol w:w="1209"/>
        <w:gridCol w:w="2200"/>
        <w:gridCol w:w="1801"/>
        <w:gridCol w:w="2029"/>
        <w:gridCol w:w="1823"/>
      </w:tblGrid>
      <w:tr w:rsidR="009B0A54" w:rsidRPr="00510388" w:rsidTr="002F63AE">
        <w:tc>
          <w:tcPr>
            <w:tcW w:w="1242" w:type="dxa"/>
          </w:tcPr>
          <w:p w:rsidR="009B0A54" w:rsidRPr="00510388" w:rsidRDefault="009B0A54" w:rsidP="002F63AE">
            <w:pPr>
              <w:rPr>
                <w:rFonts w:ascii="Calibri" w:hAnsi="Calibri"/>
                <w:sz w:val="20"/>
                <w:szCs w:val="20"/>
              </w:rPr>
            </w:pPr>
            <w:r>
              <w:rPr>
                <w:rFonts w:ascii="Calibri" w:hAnsi="Calibri"/>
                <w:sz w:val="20"/>
                <w:szCs w:val="20"/>
              </w:rPr>
              <w:t>Time slice</w:t>
            </w:r>
          </w:p>
        </w:tc>
        <w:tc>
          <w:tcPr>
            <w:tcW w:w="2268" w:type="dxa"/>
          </w:tcPr>
          <w:p w:rsidR="009B0A54" w:rsidRPr="00510388" w:rsidRDefault="009B0A54" w:rsidP="002F63AE">
            <w:pPr>
              <w:rPr>
                <w:rFonts w:ascii="Calibri" w:hAnsi="Calibri"/>
                <w:sz w:val="20"/>
                <w:szCs w:val="20"/>
              </w:rPr>
            </w:pPr>
            <w:r>
              <w:rPr>
                <w:rFonts w:ascii="Calibri" w:hAnsi="Calibri"/>
                <w:sz w:val="20"/>
                <w:szCs w:val="20"/>
              </w:rPr>
              <w:t>Eur</w:t>
            </w:r>
            <w:r w:rsidRPr="00510388">
              <w:rPr>
                <w:rFonts w:ascii="Calibri" w:hAnsi="Calibri"/>
                <w:sz w:val="20"/>
                <w:szCs w:val="20"/>
              </w:rPr>
              <w:t>-SSP1</w:t>
            </w:r>
          </w:p>
        </w:tc>
        <w:tc>
          <w:tcPr>
            <w:tcW w:w="1843" w:type="dxa"/>
          </w:tcPr>
          <w:p w:rsidR="009B0A54" w:rsidRPr="00510388" w:rsidRDefault="009B0A54" w:rsidP="002F63AE">
            <w:pPr>
              <w:rPr>
                <w:rFonts w:ascii="Calibri" w:hAnsi="Calibri"/>
                <w:sz w:val="20"/>
                <w:szCs w:val="20"/>
              </w:rPr>
            </w:pPr>
            <w:r>
              <w:rPr>
                <w:rFonts w:ascii="Calibri" w:hAnsi="Calibri"/>
                <w:sz w:val="20"/>
                <w:szCs w:val="20"/>
              </w:rPr>
              <w:t>Eur</w:t>
            </w:r>
            <w:r w:rsidRPr="00510388">
              <w:rPr>
                <w:rFonts w:ascii="Calibri" w:hAnsi="Calibri"/>
                <w:sz w:val="20"/>
                <w:szCs w:val="20"/>
              </w:rPr>
              <w:t>-SSP3</w:t>
            </w:r>
          </w:p>
        </w:tc>
        <w:tc>
          <w:tcPr>
            <w:tcW w:w="2077" w:type="dxa"/>
          </w:tcPr>
          <w:p w:rsidR="009B0A54" w:rsidRPr="00510388" w:rsidRDefault="009B0A54" w:rsidP="002F63AE">
            <w:pPr>
              <w:rPr>
                <w:rFonts w:ascii="Calibri" w:hAnsi="Calibri"/>
                <w:sz w:val="20"/>
                <w:szCs w:val="20"/>
              </w:rPr>
            </w:pPr>
            <w:r>
              <w:rPr>
                <w:rFonts w:ascii="Calibri" w:hAnsi="Calibri"/>
                <w:sz w:val="20"/>
                <w:szCs w:val="20"/>
              </w:rPr>
              <w:t>Eur</w:t>
            </w:r>
            <w:r w:rsidRPr="00510388">
              <w:rPr>
                <w:rFonts w:ascii="Calibri" w:hAnsi="Calibri"/>
                <w:sz w:val="20"/>
                <w:szCs w:val="20"/>
              </w:rPr>
              <w:t>-SSP4</w:t>
            </w:r>
          </w:p>
        </w:tc>
        <w:tc>
          <w:tcPr>
            <w:tcW w:w="1858" w:type="dxa"/>
          </w:tcPr>
          <w:p w:rsidR="009B0A54" w:rsidRPr="00510388" w:rsidRDefault="009B0A54" w:rsidP="002F63AE">
            <w:pPr>
              <w:rPr>
                <w:rFonts w:ascii="Calibri" w:hAnsi="Calibri"/>
                <w:sz w:val="20"/>
                <w:szCs w:val="20"/>
              </w:rPr>
            </w:pPr>
            <w:r>
              <w:rPr>
                <w:rFonts w:ascii="Calibri" w:hAnsi="Calibri"/>
                <w:sz w:val="20"/>
                <w:szCs w:val="20"/>
              </w:rPr>
              <w:t>Eur</w:t>
            </w:r>
            <w:r w:rsidRPr="00510388">
              <w:rPr>
                <w:rFonts w:ascii="Calibri" w:hAnsi="Calibri"/>
                <w:sz w:val="20"/>
                <w:szCs w:val="20"/>
              </w:rPr>
              <w:t>-SSP5</w:t>
            </w:r>
          </w:p>
        </w:tc>
      </w:tr>
      <w:tr w:rsidR="009B0A54" w:rsidRPr="00510388" w:rsidTr="002F63AE">
        <w:tc>
          <w:tcPr>
            <w:tcW w:w="1242" w:type="dxa"/>
          </w:tcPr>
          <w:p w:rsidR="009B0A54" w:rsidRPr="00510388" w:rsidRDefault="009B0A54" w:rsidP="002F63AE">
            <w:pPr>
              <w:rPr>
                <w:rFonts w:ascii="Calibri" w:hAnsi="Calibri"/>
                <w:sz w:val="20"/>
                <w:szCs w:val="20"/>
              </w:rPr>
            </w:pPr>
            <w:r w:rsidRPr="00510388">
              <w:rPr>
                <w:rFonts w:ascii="Calibri" w:hAnsi="Calibri"/>
                <w:sz w:val="20"/>
                <w:szCs w:val="20"/>
              </w:rPr>
              <w:t>2010-2040</w:t>
            </w:r>
          </w:p>
        </w:tc>
        <w:tc>
          <w:tcPr>
            <w:tcW w:w="2268" w:type="dxa"/>
          </w:tcPr>
          <w:p w:rsidR="009B0A54" w:rsidRPr="00510388" w:rsidRDefault="009B0A54" w:rsidP="002F63AE">
            <w:pPr>
              <w:rPr>
                <w:rFonts w:ascii="Calibri" w:hAnsi="Calibri"/>
                <w:sz w:val="20"/>
                <w:szCs w:val="20"/>
              </w:rPr>
            </w:pPr>
            <w:r w:rsidRPr="00510388">
              <w:rPr>
                <w:rFonts w:ascii="Calibri" w:hAnsi="Calibri"/>
                <w:sz w:val="20"/>
                <w:szCs w:val="20"/>
              </w:rPr>
              <w:t xml:space="preserve">Use </w:t>
            </w:r>
            <w:r>
              <w:rPr>
                <w:rFonts w:ascii="Calibri" w:hAnsi="Calibri"/>
                <w:sz w:val="20"/>
                <w:szCs w:val="20"/>
              </w:rPr>
              <w:t xml:space="preserve">and simplify </w:t>
            </w:r>
            <w:r w:rsidRPr="00510388">
              <w:rPr>
                <w:rFonts w:ascii="Calibri" w:hAnsi="Calibri"/>
                <w:sz w:val="20"/>
                <w:szCs w:val="20"/>
              </w:rPr>
              <w:t xml:space="preserve">text from </w:t>
            </w:r>
            <w:r>
              <w:rPr>
                <w:rFonts w:ascii="Calibri" w:hAnsi="Calibri"/>
                <w:sz w:val="20"/>
                <w:szCs w:val="20"/>
              </w:rPr>
              <w:t>We are the World, adapting impact of economic crisis.</w:t>
            </w:r>
          </w:p>
        </w:tc>
        <w:tc>
          <w:tcPr>
            <w:tcW w:w="1843" w:type="dxa"/>
          </w:tcPr>
          <w:p w:rsidR="009B0A54" w:rsidRPr="00510388" w:rsidRDefault="009B0A54" w:rsidP="002F63AE">
            <w:pPr>
              <w:rPr>
                <w:rFonts w:ascii="Calibri" w:hAnsi="Calibri"/>
                <w:sz w:val="20"/>
                <w:szCs w:val="20"/>
              </w:rPr>
            </w:pPr>
            <w:r w:rsidRPr="00510388">
              <w:rPr>
                <w:rFonts w:ascii="Calibri" w:hAnsi="Calibri"/>
                <w:sz w:val="20"/>
                <w:szCs w:val="20"/>
              </w:rPr>
              <w:t xml:space="preserve">Use </w:t>
            </w:r>
            <w:r>
              <w:rPr>
                <w:rFonts w:ascii="Calibri" w:hAnsi="Calibri"/>
                <w:sz w:val="20"/>
                <w:szCs w:val="20"/>
              </w:rPr>
              <w:t xml:space="preserve">and simplify </w:t>
            </w:r>
            <w:r w:rsidRPr="00510388">
              <w:rPr>
                <w:rFonts w:ascii="Calibri" w:hAnsi="Calibri"/>
                <w:sz w:val="20"/>
                <w:szCs w:val="20"/>
              </w:rPr>
              <w:t xml:space="preserve">text from </w:t>
            </w:r>
            <w:r>
              <w:rPr>
                <w:rFonts w:ascii="Calibri" w:hAnsi="Calibri"/>
                <w:sz w:val="20"/>
                <w:szCs w:val="20"/>
              </w:rPr>
              <w:t>Icarus</w:t>
            </w:r>
          </w:p>
        </w:tc>
        <w:tc>
          <w:tcPr>
            <w:tcW w:w="2077" w:type="dxa"/>
          </w:tcPr>
          <w:p w:rsidR="009B0A54" w:rsidRPr="00510388" w:rsidRDefault="009B0A54" w:rsidP="002F63AE">
            <w:pPr>
              <w:rPr>
                <w:rFonts w:ascii="Calibri" w:hAnsi="Calibri"/>
                <w:sz w:val="20"/>
                <w:szCs w:val="20"/>
              </w:rPr>
            </w:pPr>
            <w:r>
              <w:rPr>
                <w:rFonts w:ascii="Calibri" w:hAnsi="Calibri"/>
                <w:sz w:val="20"/>
                <w:szCs w:val="20"/>
              </w:rPr>
              <w:t>Adapt and simplify text from Riders on the Storm to match assumptions from SSP4</w:t>
            </w:r>
          </w:p>
        </w:tc>
        <w:tc>
          <w:tcPr>
            <w:tcW w:w="1858" w:type="dxa"/>
          </w:tcPr>
          <w:p w:rsidR="009B0A54" w:rsidRPr="00510388" w:rsidRDefault="009B0A54" w:rsidP="002F63AE">
            <w:pPr>
              <w:rPr>
                <w:rFonts w:ascii="Calibri" w:hAnsi="Calibri"/>
                <w:sz w:val="20"/>
                <w:szCs w:val="20"/>
              </w:rPr>
            </w:pPr>
            <w:r>
              <w:rPr>
                <w:rFonts w:ascii="Calibri" w:hAnsi="Calibri"/>
                <w:sz w:val="20"/>
                <w:szCs w:val="20"/>
              </w:rPr>
              <w:t>Use text from SSP5 and extend where needed based on uncertainties from Should I…</w:t>
            </w:r>
          </w:p>
        </w:tc>
      </w:tr>
      <w:tr w:rsidR="009B0A54" w:rsidRPr="00510388" w:rsidTr="002F63AE">
        <w:tc>
          <w:tcPr>
            <w:tcW w:w="1242" w:type="dxa"/>
          </w:tcPr>
          <w:p w:rsidR="009B0A54" w:rsidRPr="00510388" w:rsidRDefault="009B0A54" w:rsidP="002F63AE">
            <w:pPr>
              <w:rPr>
                <w:rFonts w:ascii="Calibri" w:hAnsi="Calibri"/>
                <w:sz w:val="20"/>
                <w:szCs w:val="20"/>
              </w:rPr>
            </w:pPr>
            <w:r w:rsidRPr="00510388">
              <w:rPr>
                <w:rFonts w:ascii="Calibri" w:hAnsi="Calibri"/>
                <w:sz w:val="20"/>
                <w:szCs w:val="20"/>
              </w:rPr>
              <w:t>2040-2070</w:t>
            </w:r>
          </w:p>
        </w:tc>
        <w:tc>
          <w:tcPr>
            <w:tcW w:w="2268" w:type="dxa"/>
          </w:tcPr>
          <w:p w:rsidR="009B0A54" w:rsidRPr="00510388" w:rsidRDefault="009B0A54" w:rsidP="002F63AE">
            <w:pPr>
              <w:rPr>
                <w:rFonts w:ascii="Calibri" w:hAnsi="Calibri"/>
                <w:sz w:val="20"/>
                <w:szCs w:val="20"/>
              </w:rPr>
            </w:pPr>
            <w:r>
              <w:rPr>
                <w:rFonts w:ascii="Calibri" w:hAnsi="Calibri"/>
                <w:sz w:val="20"/>
                <w:szCs w:val="20"/>
              </w:rPr>
              <w:t>Extrapolate text from We are the World and adapt “ending”</w:t>
            </w:r>
          </w:p>
        </w:tc>
        <w:tc>
          <w:tcPr>
            <w:tcW w:w="1843" w:type="dxa"/>
          </w:tcPr>
          <w:p w:rsidR="009B0A54" w:rsidRPr="00510388" w:rsidRDefault="009B0A54" w:rsidP="002F63AE">
            <w:pPr>
              <w:rPr>
                <w:rFonts w:ascii="Calibri" w:hAnsi="Calibri"/>
                <w:sz w:val="20"/>
                <w:szCs w:val="20"/>
              </w:rPr>
            </w:pPr>
            <w:r>
              <w:rPr>
                <w:rFonts w:ascii="Calibri" w:hAnsi="Calibri"/>
                <w:sz w:val="20"/>
                <w:szCs w:val="20"/>
              </w:rPr>
              <w:t>Extrapolate text from Icarus and adapt “ending”</w:t>
            </w:r>
          </w:p>
        </w:tc>
        <w:tc>
          <w:tcPr>
            <w:tcW w:w="2077" w:type="dxa"/>
          </w:tcPr>
          <w:p w:rsidR="009B0A54" w:rsidRPr="00510388" w:rsidRDefault="009B0A54" w:rsidP="002F63AE">
            <w:pPr>
              <w:rPr>
                <w:rFonts w:ascii="Calibri" w:hAnsi="Calibri"/>
                <w:sz w:val="20"/>
                <w:szCs w:val="20"/>
              </w:rPr>
            </w:pPr>
            <w:r>
              <w:rPr>
                <w:rFonts w:ascii="Calibri" w:hAnsi="Calibri"/>
                <w:sz w:val="20"/>
                <w:szCs w:val="20"/>
              </w:rPr>
              <w:t>Adapt and extrapolate text from Riders on the Storm to match assumptions from SSP4</w:t>
            </w:r>
          </w:p>
        </w:tc>
        <w:tc>
          <w:tcPr>
            <w:tcW w:w="1858" w:type="dxa"/>
          </w:tcPr>
          <w:p w:rsidR="009B0A54" w:rsidRPr="00510388" w:rsidRDefault="009B0A54" w:rsidP="002F63AE">
            <w:pPr>
              <w:rPr>
                <w:rFonts w:ascii="Calibri" w:hAnsi="Calibri"/>
                <w:sz w:val="20"/>
                <w:szCs w:val="20"/>
              </w:rPr>
            </w:pPr>
            <w:r>
              <w:rPr>
                <w:rFonts w:ascii="Calibri" w:hAnsi="Calibri"/>
                <w:sz w:val="20"/>
                <w:szCs w:val="20"/>
              </w:rPr>
              <w:t>Use and elaborate text from global SSP5 based on uncertainties from Should I…</w:t>
            </w:r>
          </w:p>
        </w:tc>
      </w:tr>
      <w:tr w:rsidR="009B0A54" w:rsidRPr="00510388" w:rsidTr="002F63AE">
        <w:tc>
          <w:tcPr>
            <w:tcW w:w="1242" w:type="dxa"/>
          </w:tcPr>
          <w:p w:rsidR="009B0A54" w:rsidRPr="00510388" w:rsidRDefault="009B0A54" w:rsidP="002F63AE">
            <w:pPr>
              <w:rPr>
                <w:rFonts w:ascii="Calibri" w:hAnsi="Calibri"/>
                <w:sz w:val="20"/>
                <w:szCs w:val="20"/>
              </w:rPr>
            </w:pPr>
            <w:r w:rsidRPr="00510388">
              <w:rPr>
                <w:rFonts w:ascii="Calibri" w:hAnsi="Calibri"/>
                <w:sz w:val="20"/>
                <w:szCs w:val="20"/>
              </w:rPr>
              <w:t>2070-2100</w:t>
            </w:r>
          </w:p>
        </w:tc>
        <w:tc>
          <w:tcPr>
            <w:tcW w:w="2268" w:type="dxa"/>
          </w:tcPr>
          <w:p w:rsidR="009B0A54" w:rsidRPr="00510388" w:rsidRDefault="009B0A54" w:rsidP="002F63AE">
            <w:pPr>
              <w:rPr>
                <w:rFonts w:ascii="Calibri" w:hAnsi="Calibri"/>
                <w:sz w:val="20"/>
                <w:szCs w:val="20"/>
              </w:rPr>
            </w:pPr>
            <w:r>
              <w:rPr>
                <w:rFonts w:ascii="Calibri" w:hAnsi="Calibri"/>
                <w:sz w:val="20"/>
                <w:szCs w:val="20"/>
              </w:rPr>
              <w:t xml:space="preserve">Use and elaborate text from global SSP1 </w:t>
            </w:r>
          </w:p>
        </w:tc>
        <w:tc>
          <w:tcPr>
            <w:tcW w:w="1843" w:type="dxa"/>
          </w:tcPr>
          <w:p w:rsidR="009B0A54" w:rsidRPr="00510388" w:rsidRDefault="009B0A54" w:rsidP="002F63AE">
            <w:pPr>
              <w:rPr>
                <w:rFonts w:ascii="Calibri" w:hAnsi="Calibri"/>
                <w:sz w:val="20"/>
                <w:szCs w:val="20"/>
              </w:rPr>
            </w:pPr>
            <w:r>
              <w:rPr>
                <w:rFonts w:ascii="Calibri" w:hAnsi="Calibri"/>
                <w:sz w:val="20"/>
                <w:szCs w:val="20"/>
              </w:rPr>
              <w:t>Use and elaborate text from global SSP3</w:t>
            </w:r>
          </w:p>
        </w:tc>
        <w:tc>
          <w:tcPr>
            <w:tcW w:w="2077" w:type="dxa"/>
          </w:tcPr>
          <w:p w:rsidR="009B0A54" w:rsidRPr="00510388" w:rsidRDefault="009B0A54" w:rsidP="002F63AE">
            <w:pPr>
              <w:rPr>
                <w:rFonts w:ascii="Calibri" w:hAnsi="Calibri"/>
                <w:sz w:val="20"/>
                <w:szCs w:val="20"/>
              </w:rPr>
            </w:pPr>
            <w:r>
              <w:rPr>
                <w:rFonts w:ascii="Calibri" w:hAnsi="Calibri"/>
                <w:sz w:val="20"/>
                <w:szCs w:val="20"/>
              </w:rPr>
              <w:t>Use and elaborate text from global SSP4 based on uncertainties from Riders on the Storm</w:t>
            </w:r>
          </w:p>
        </w:tc>
        <w:tc>
          <w:tcPr>
            <w:tcW w:w="1858" w:type="dxa"/>
          </w:tcPr>
          <w:p w:rsidR="009B0A54" w:rsidRPr="00510388" w:rsidRDefault="009B0A54" w:rsidP="002F63AE">
            <w:pPr>
              <w:rPr>
                <w:rFonts w:ascii="Calibri" w:hAnsi="Calibri"/>
                <w:sz w:val="20"/>
                <w:szCs w:val="20"/>
              </w:rPr>
            </w:pPr>
            <w:r>
              <w:rPr>
                <w:rFonts w:ascii="Calibri" w:hAnsi="Calibri"/>
                <w:sz w:val="20"/>
                <w:szCs w:val="20"/>
              </w:rPr>
              <w:t>Use and elaborate text from global SSP5 based on uncertainties from Should I…</w:t>
            </w:r>
          </w:p>
        </w:tc>
      </w:tr>
    </w:tbl>
    <w:p w:rsidR="009B0A54" w:rsidRPr="00974E45" w:rsidRDefault="009B0A54" w:rsidP="009B0A54">
      <w:pPr>
        <w:rPr>
          <w:rFonts w:asciiTheme="minorHAnsi" w:hAnsiTheme="minorHAnsi"/>
        </w:rPr>
      </w:pPr>
    </w:p>
    <w:p w:rsidR="009B0A54" w:rsidRDefault="009B0A54" w:rsidP="009B0A54"/>
    <w:p w:rsidR="009B0A54" w:rsidRDefault="009B0A54" w:rsidP="009B0A54"/>
    <w:p w:rsidR="009B0A54" w:rsidRDefault="009B0A54">
      <w:pPr>
        <w:rPr>
          <w:rFonts w:asciiTheme="minorHAnsi" w:hAnsiTheme="minorHAnsi"/>
          <w:b/>
        </w:rPr>
      </w:pPr>
      <w:r>
        <w:rPr>
          <w:rFonts w:asciiTheme="minorHAnsi" w:hAnsiTheme="minorHAnsi"/>
          <w:b/>
        </w:rPr>
        <w:br w:type="page"/>
      </w:r>
    </w:p>
    <w:p w:rsidR="007D1AE2" w:rsidRPr="007D1AE2" w:rsidRDefault="00FC1392" w:rsidP="007D1AE2">
      <w:pPr>
        <w:rPr>
          <w:rFonts w:asciiTheme="minorHAnsi" w:hAnsiTheme="minorHAnsi"/>
          <w:b/>
        </w:rPr>
      </w:pPr>
      <w:r>
        <w:rPr>
          <w:rFonts w:asciiTheme="minorHAnsi" w:hAnsiTheme="minorHAnsi"/>
          <w:b/>
        </w:rPr>
        <w:lastRenderedPageBreak/>
        <w:t>ESM</w:t>
      </w:r>
      <w:r w:rsidR="00390617">
        <w:rPr>
          <w:rFonts w:asciiTheme="minorHAnsi" w:hAnsiTheme="minorHAnsi"/>
          <w:b/>
        </w:rPr>
        <w:t>9</w:t>
      </w:r>
      <w:r w:rsidR="007D1AE2">
        <w:rPr>
          <w:rFonts w:asciiTheme="minorHAnsi" w:hAnsiTheme="minorHAnsi"/>
          <w:b/>
        </w:rPr>
        <w:t xml:space="preserve"> </w:t>
      </w:r>
      <w:r w:rsidR="007D1AE2" w:rsidRPr="007D1AE2">
        <w:rPr>
          <w:rFonts w:asciiTheme="minorHAnsi" w:hAnsiTheme="minorHAnsi"/>
          <w:b/>
        </w:rPr>
        <w:t>Detailed illustration of the matching process</w:t>
      </w:r>
    </w:p>
    <w:p w:rsidR="007D1AE2" w:rsidRDefault="007D1AE2" w:rsidP="007D1AE2">
      <w:pPr>
        <w:rPr>
          <w:rFonts w:asciiTheme="minorHAnsi" w:hAnsiTheme="minorHAnsi"/>
        </w:rPr>
      </w:pPr>
    </w:p>
    <w:p w:rsidR="007D1AE2" w:rsidRPr="007D1AE2" w:rsidRDefault="00FC1392" w:rsidP="007D1AE2">
      <w:pPr>
        <w:rPr>
          <w:rFonts w:asciiTheme="minorHAnsi" w:hAnsiTheme="minorHAnsi"/>
          <w:b/>
        </w:rPr>
      </w:pPr>
      <w:r>
        <w:rPr>
          <w:rFonts w:asciiTheme="minorHAnsi" w:hAnsiTheme="minorHAnsi"/>
          <w:b/>
        </w:rPr>
        <w:t>ESM</w:t>
      </w:r>
      <w:r w:rsidR="00390617">
        <w:rPr>
          <w:rFonts w:asciiTheme="minorHAnsi" w:hAnsiTheme="minorHAnsi"/>
          <w:b/>
        </w:rPr>
        <w:t>9</w:t>
      </w:r>
      <w:r w:rsidR="0013455F">
        <w:rPr>
          <w:rFonts w:asciiTheme="minorHAnsi" w:hAnsiTheme="minorHAnsi"/>
          <w:b/>
        </w:rPr>
        <w:t>.</w:t>
      </w:r>
      <w:r w:rsidR="007D1AE2">
        <w:rPr>
          <w:rFonts w:asciiTheme="minorHAnsi" w:hAnsiTheme="minorHAnsi"/>
          <w:b/>
        </w:rPr>
        <w:t xml:space="preserve">1 </w:t>
      </w:r>
      <w:r w:rsidR="007D1AE2" w:rsidRPr="007D1AE2">
        <w:rPr>
          <w:rFonts w:asciiTheme="minorHAnsi" w:hAnsiTheme="minorHAnsi"/>
          <w:b/>
        </w:rPr>
        <w:t xml:space="preserve">Elaborate example – European </w:t>
      </w:r>
      <w:r w:rsidR="007D1AE2" w:rsidRPr="00295E10">
        <w:rPr>
          <w:rFonts w:asciiTheme="minorHAnsi" w:hAnsiTheme="minorHAnsi"/>
          <w:b/>
          <w:i/>
        </w:rPr>
        <w:t>We Are the World</w:t>
      </w:r>
      <w:r w:rsidR="007D1AE2" w:rsidRPr="007D1AE2">
        <w:rPr>
          <w:rFonts w:asciiTheme="minorHAnsi" w:hAnsiTheme="minorHAnsi"/>
          <w:b/>
        </w:rPr>
        <w:t xml:space="preserve"> and global SSP1</w:t>
      </w:r>
    </w:p>
    <w:p w:rsidR="007D1AE2" w:rsidRDefault="007D1AE2" w:rsidP="007D1AE2">
      <w:pPr>
        <w:rPr>
          <w:rFonts w:asciiTheme="minorHAnsi" w:hAnsiTheme="minorHAnsi"/>
        </w:rPr>
      </w:pPr>
    </w:p>
    <w:p w:rsidR="007D1AE2" w:rsidRPr="007D1AE2" w:rsidRDefault="007D1AE2" w:rsidP="007D1AE2">
      <w:pPr>
        <w:rPr>
          <w:rFonts w:asciiTheme="minorHAnsi" w:hAnsiTheme="minorHAnsi"/>
          <w:b/>
        </w:rPr>
      </w:pPr>
      <w:r w:rsidRPr="007D1AE2">
        <w:rPr>
          <w:rFonts w:asciiTheme="minorHAnsi" w:hAnsiTheme="minorHAnsi"/>
          <w:b/>
        </w:rPr>
        <w:t>Overall matching</w:t>
      </w:r>
    </w:p>
    <w:p w:rsidR="007D1AE2" w:rsidRPr="007D1AE2" w:rsidRDefault="007D1AE2" w:rsidP="007D1AE2">
      <w:pPr>
        <w:rPr>
          <w:rFonts w:asciiTheme="minorHAnsi" w:hAnsiTheme="minorHAnsi"/>
        </w:rPr>
      </w:pPr>
      <w:r w:rsidRPr="007D1AE2">
        <w:rPr>
          <w:rFonts w:asciiTheme="minorHAnsi" w:hAnsiTheme="minorHAnsi"/>
        </w:rPr>
        <w:t>We are the World can be summarised as: ‘Effective governments change the focus from GDP to welfare, which leads to a redistribution of wealth, and thus to less inequality and more (global) cooperation. Efforts to transform Europe and the rest of the world into a sustaina</w:t>
      </w:r>
      <w:r w:rsidR="00911709">
        <w:rPr>
          <w:rFonts w:asciiTheme="minorHAnsi" w:hAnsiTheme="minorHAnsi"/>
        </w:rPr>
        <w:t>ble environment are successful</w:t>
      </w:r>
      <w:r w:rsidRPr="007D1AE2">
        <w:rPr>
          <w:rFonts w:asciiTheme="minorHAnsi" w:hAnsiTheme="minorHAnsi"/>
        </w:rPr>
        <w:t xml:space="preserve">’. Global SSP1 can be summarised as: ‘The world shifts gradually, but pervasively, toward a more sustainable path, emphasising more inclusive development that respects environmental boundaries.’. Overall, the stories portray a very similar sustainable future, both emphasising global cooperation, (environmental) sustainability, and the role of effective governments. As concluded in Table 3 </w:t>
      </w:r>
      <w:r>
        <w:rPr>
          <w:rFonts w:asciiTheme="minorHAnsi" w:hAnsiTheme="minorHAnsi"/>
        </w:rPr>
        <w:t xml:space="preserve">(see main text) </w:t>
      </w:r>
      <w:r w:rsidRPr="007D1AE2">
        <w:rPr>
          <w:rFonts w:asciiTheme="minorHAnsi" w:hAnsiTheme="minorHAnsi"/>
        </w:rPr>
        <w:t xml:space="preserve">there is a strong match between the two scenarios. </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b/>
        </w:rPr>
      </w:pPr>
      <w:r w:rsidRPr="007D1AE2">
        <w:rPr>
          <w:rFonts w:asciiTheme="minorHAnsi" w:hAnsiTheme="minorHAnsi"/>
          <w:b/>
        </w:rPr>
        <w:t xml:space="preserve">Comparing uncertainties </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 xml:space="preserve">Table </w:t>
      </w:r>
      <w:r>
        <w:rPr>
          <w:rFonts w:asciiTheme="minorHAnsi" w:hAnsiTheme="minorHAnsi"/>
        </w:rPr>
        <w:t>ESM</w:t>
      </w:r>
      <w:r w:rsidR="00390617">
        <w:rPr>
          <w:rFonts w:asciiTheme="minorHAnsi" w:hAnsiTheme="minorHAnsi"/>
        </w:rPr>
        <w:t>5</w:t>
      </w:r>
      <w:r w:rsidRPr="007D1AE2">
        <w:rPr>
          <w:rFonts w:asciiTheme="minorHAnsi" w:hAnsiTheme="minorHAnsi"/>
        </w:rPr>
        <w:t>. Uncertainties and their polarity (We are the World), and comparable main assumptions from global SSP1.</w:t>
      </w:r>
    </w:p>
    <w:tbl>
      <w:tblPr>
        <w:tblStyle w:val="TableGrid"/>
        <w:tblW w:w="9180" w:type="dxa"/>
        <w:tblLayout w:type="fixed"/>
        <w:tblLook w:val="04A0" w:firstRow="1" w:lastRow="0" w:firstColumn="1" w:lastColumn="0" w:noHBand="0" w:noVBand="1"/>
      </w:tblPr>
      <w:tblGrid>
        <w:gridCol w:w="3794"/>
        <w:gridCol w:w="2551"/>
        <w:gridCol w:w="2835"/>
      </w:tblGrid>
      <w:tr w:rsidR="007D1AE2" w:rsidRPr="005A7720" w:rsidTr="00725135">
        <w:trPr>
          <w:trHeight w:val="195"/>
        </w:trPr>
        <w:tc>
          <w:tcPr>
            <w:tcW w:w="3794" w:type="dxa"/>
          </w:tcPr>
          <w:p w:rsidR="007D1AE2" w:rsidRPr="005A7720" w:rsidRDefault="007D1AE2" w:rsidP="00725135">
            <w:pPr>
              <w:rPr>
                <w:rFonts w:asciiTheme="minorHAnsi" w:hAnsiTheme="minorHAnsi" w:cs="Arial"/>
                <w:b/>
                <w:sz w:val="18"/>
                <w:szCs w:val="18"/>
              </w:rPr>
            </w:pPr>
            <w:r w:rsidRPr="005A7720">
              <w:rPr>
                <w:rFonts w:asciiTheme="minorHAnsi" w:hAnsiTheme="minorHAnsi" w:cs="Arial"/>
                <w:b/>
                <w:sz w:val="18"/>
                <w:szCs w:val="18"/>
              </w:rPr>
              <w:t>Uncertainty/main element</w:t>
            </w:r>
          </w:p>
        </w:tc>
        <w:tc>
          <w:tcPr>
            <w:tcW w:w="2551" w:type="dxa"/>
          </w:tcPr>
          <w:p w:rsidR="007D1AE2" w:rsidRPr="005A7720" w:rsidRDefault="007D1AE2" w:rsidP="00725135">
            <w:pPr>
              <w:rPr>
                <w:rFonts w:asciiTheme="minorHAnsi" w:hAnsiTheme="minorHAnsi" w:cs="Arial"/>
                <w:b/>
                <w:sz w:val="18"/>
                <w:szCs w:val="18"/>
              </w:rPr>
            </w:pPr>
            <w:r w:rsidRPr="005A7720">
              <w:rPr>
                <w:rFonts w:asciiTheme="minorHAnsi" w:hAnsiTheme="minorHAnsi" w:cs="Arial"/>
                <w:b/>
                <w:sz w:val="18"/>
                <w:szCs w:val="18"/>
              </w:rPr>
              <w:t>We are the World</w:t>
            </w:r>
          </w:p>
        </w:tc>
        <w:tc>
          <w:tcPr>
            <w:tcW w:w="2835" w:type="dxa"/>
          </w:tcPr>
          <w:p w:rsidR="007D1AE2" w:rsidRPr="005A7720" w:rsidRDefault="007D1AE2" w:rsidP="00725135">
            <w:pPr>
              <w:tabs>
                <w:tab w:val="left" w:pos="2760"/>
              </w:tabs>
              <w:ind w:right="175"/>
              <w:rPr>
                <w:rFonts w:asciiTheme="minorHAnsi" w:hAnsiTheme="minorHAnsi" w:cs="Arial"/>
                <w:b/>
                <w:sz w:val="18"/>
                <w:szCs w:val="18"/>
              </w:rPr>
            </w:pPr>
            <w:r w:rsidRPr="005A7720">
              <w:rPr>
                <w:rFonts w:asciiTheme="minorHAnsi" w:hAnsiTheme="minorHAnsi" w:cs="Arial"/>
                <w:b/>
                <w:sz w:val="18"/>
                <w:szCs w:val="18"/>
              </w:rPr>
              <w:t>Global SSP1</w:t>
            </w:r>
          </w:p>
        </w:tc>
      </w:tr>
      <w:tr w:rsidR="007D1AE2" w:rsidRPr="005A7720" w:rsidTr="00725135">
        <w:trPr>
          <w:trHeight w:val="271"/>
        </w:trPr>
        <w:tc>
          <w:tcPr>
            <w:tcW w:w="3794" w:type="dxa"/>
          </w:tcPr>
          <w:p w:rsidR="007D1AE2" w:rsidRPr="005A7720" w:rsidRDefault="007D1AE2" w:rsidP="00725135">
            <w:pPr>
              <w:ind w:right="-108"/>
              <w:rPr>
                <w:rFonts w:asciiTheme="minorHAnsi" w:hAnsiTheme="minorHAnsi" w:cs="Arial"/>
                <w:sz w:val="18"/>
                <w:szCs w:val="18"/>
              </w:rPr>
            </w:pPr>
            <w:r w:rsidRPr="005A7720">
              <w:rPr>
                <w:rFonts w:asciiTheme="minorHAnsi" w:hAnsiTheme="minorHAnsi" w:cs="Arial"/>
                <w:sz w:val="18"/>
                <w:szCs w:val="18"/>
              </w:rPr>
              <w:t>Decision making level (WATW)</w:t>
            </w:r>
          </w:p>
          <w:p w:rsidR="007D1AE2" w:rsidRPr="005A7720" w:rsidRDefault="007D1AE2" w:rsidP="00725135">
            <w:pPr>
              <w:ind w:right="-108"/>
              <w:rPr>
                <w:rFonts w:asciiTheme="minorHAnsi" w:hAnsiTheme="minorHAnsi" w:cs="Arial"/>
                <w:sz w:val="18"/>
                <w:szCs w:val="18"/>
              </w:rPr>
            </w:pPr>
            <w:r w:rsidRPr="005A7720">
              <w:rPr>
                <w:rFonts w:asciiTheme="minorHAnsi" w:hAnsiTheme="minorHAnsi" w:cs="Arial"/>
                <w:sz w:val="18"/>
                <w:szCs w:val="18"/>
              </w:rPr>
              <w:t>Globalisation (SSP1)</w:t>
            </w:r>
          </w:p>
        </w:tc>
        <w:tc>
          <w:tcPr>
            <w:tcW w:w="2551" w:type="dxa"/>
          </w:tcPr>
          <w:p w:rsidR="007D1AE2" w:rsidRPr="006E499B" w:rsidRDefault="007D1AE2" w:rsidP="00725135">
            <w:pPr>
              <w:ind w:right="-108"/>
              <w:rPr>
                <w:rFonts w:asciiTheme="minorHAnsi" w:hAnsiTheme="minorHAnsi" w:cs="Arial"/>
                <w:sz w:val="18"/>
                <w:szCs w:val="18"/>
              </w:rPr>
            </w:pPr>
            <w:r>
              <w:rPr>
                <w:rFonts w:asciiTheme="minorHAnsi" w:hAnsiTheme="minorHAnsi" w:cs="Arial"/>
                <w:sz w:val="18"/>
                <w:szCs w:val="18"/>
              </w:rPr>
              <w:t>Large</w:t>
            </w:r>
            <w:r w:rsidRPr="006E499B">
              <w:rPr>
                <w:rFonts w:asciiTheme="minorHAnsi" w:hAnsiTheme="minorHAnsi" w:cs="Arial"/>
                <w:sz w:val="18"/>
                <w:szCs w:val="18"/>
              </w:rPr>
              <w:t xml:space="preserve"> cultural blocs</w:t>
            </w:r>
            <w:r>
              <w:rPr>
                <w:rFonts w:asciiTheme="minorHAnsi" w:hAnsiTheme="minorHAnsi" w:cs="Arial"/>
                <w:sz w:val="18"/>
                <w:szCs w:val="18"/>
              </w:rPr>
              <w:t xml:space="preserve">, with </w:t>
            </w:r>
          </w:p>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b</w:t>
            </w:r>
            <w:r w:rsidRPr="006E499B">
              <w:rPr>
                <w:rFonts w:asciiTheme="minorHAnsi" w:hAnsiTheme="minorHAnsi" w:cs="Arial"/>
                <w:sz w:val="18"/>
                <w:szCs w:val="18"/>
              </w:rPr>
              <w:t>ottom-up initiative</w:t>
            </w:r>
            <w:r>
              <w:rPr>
                <w:rFonts w:asciiTheme="minorHAnsi" w:hAnsiTheme="minorHAnsi" w:cs="Arial"/>
                <w:sz w:val="18"/>
                <w:szCs w:val="18"/>
              </w:rPr>
              <w:t>s, Ideas flow with constraints</w:t>
            </w:r>
          </w:p>
        </w:tc>
        <w:tc>
          <w:tcPr>
            <w:tcW w:w="2835"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Connected markets, regional production</w:t>
            </w:r>
          </w:p>
        </w:tc>
      </w:tr>
      <w:tr w:rsidR="007D1AE2" w:rsidRPr="005A7720" w:rsidTr="00725135">
        <w:trPr>
          <w:trHeight w:val="256"/>
        </w:trPr>
        <w:tc>
          <w:tcPr>
            <w:tcW w:w="3794" w:type="dxa"/>
          </w:tcPr>
          <w:p w:rsidR="007D1AE2" w:rsidRPr="005A7720" w:rsidRDefault="007D1AE2" w:rsidP="00725135">
            <w:pPr>
              <w:ind w:right="-108"/>
              <w:rPr>
                <w:rFonts w:asciiTheme="minorHAnsi" w:hAnsiTheme="minorHAnsi" w:cs="Arial"/>
                <w:sz w:val="18"/>
                <w:szCs w:val="18"/>
              </w:rPr>
            </w:pPr>
            <w:r w:rsidRPr="005A7720">
              <w:rPr>
                <w:rFonts w:asciiTheme="minorHAnsi" w:hAnsiTheme="minorHAnsi" w:cs="Arial"/>
                <w:sz w:val="18"/>
                <w:szCs w:val="18"/>
              </w:rPr>
              <w:t>Geopolitical stability (WATW)</w:t>
            </w:r>
          </w:p>
          <w:p w:rsidR="007D1AE2" w:rsidRPr="005A7720" w:rsidRDefault="007D1AE2" w:rsidP="00725135">
            <w:pPr>
              <w:ind w:right="-108"/>
              <w:rPr>
                <w:rFonts w:asciiTheme="minorHAnsi" w:hAnsiTheme="minorHAnsi" w:cs="Arial"/>
                <w:sz w:val="18"/>
                <w:szCs w:val="18"/>
              </w:rPr>
            </w:pPr>
            <w:r w:rsidRPr="005A7720">
              <w:rPr>
                <w:rFonts w:asciiTheme="minorHAnsi" w:hAnsiTheme="minorHAnsi" w:cs="Arial"/>
                <w:sz w:val="18"/>
                <w:szCs w:val="18"/>
              </w:rPr>
              <w:t>Political orientation (SSP1)</w:t>
            </w:r>
          </w:p>
        </w:tc>
        <w:tc>
          <w:tcPr>
            <w:tcW w:w="2551"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High stability, focus on sustainable development</w:t>
            </w:r>
          </w:p>
        </w:tc>
        <w:tc>
          <w:tcPr>
            <w:tcW w:w="2835"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Toward sustainable development</w:t>
            </w:r>
          </w:p>
        </w:tc>
      </w:tr>
      <w:tr w:rsidR="007D1AE2" w:rsidRPr="005A7720" w:rsidTr="00725135">
        <w:trPr>
          <w:trHeight w:val="271"/>
        </w:trPr>
        <w:tc>
          <w:tcPr>
            <w:tcW w:w="3794" w:type="dxa"/>
          </w:tcPr>
          <w:p w:rsidR="007D1AE2" w:rsidRPr="005A7720" w:rsidRDefault="007D1AE2" w:rsidP="00725135">
            <w:pPr>
              <w:ind w:right="-108"/>
              <w:rPr>
                <w:rFonts w:asciiTheme="minorHAnsi" w:hAnsiTheme="minorHAnsi" w:cs="Arial"/>
                <w:sz w:val="18"/>
                <w:szCs w:val="18"/>
              </w:rPr>
            </w:pPr>
            <w:r w:rsidRPr="005A7720">
              <w:rPr>
                <w:rFonts w:asciiTheme="minorHAnsi" w:hAnsiTheme="minorHAnsi" w:cs="Arial"/>
                <w:sz w:val="18"/>
                <w:szCs w:val="18"/>
              </w:rPr>
              <w:t>International cooperation</w:t>
            </w:r>
          </w:p>
        </w:tc>
        <w:tc>
          <w:tcPr>
            <w:tcW w:w="2551"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Weak, but later strong</w:t>
            </w:r>
          </w:p>
        </w:tc>
        <w:tc>
          <w:tcPr>
            <w:tcW w:w="2835"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Moderate</w:t>
            </w:r>
          </w:p>
        </w:tc>
      </w:tr>
      <w:tr w:rsidR="007D1AE2" w:rsidRPr="005A7720" w:rsidTr="00725135">
        <w:trPr>
          <w:trHeight w:val="312"/>
        </w:trPr>
        <w:tc>
          <w:tcPr>
            <w:tcW w:w="3794" w:type="dxa"/>
          </w:tcPr>
          <w:p w:rsidR="007D1AE2" w:rsidRPr="005A7720" w:rsidRDefault="007D1AE2" w:rsidP="00725135">
            <w:pPr>
              <w:rPr>
                <w:rFonts w:asciiTheme="minorHAnsi" w:hAnsiTheme="minorHAnsi" w:cs="Arial"/>
                <w:sz w:val="18"/>
                <w:szCs w:val="18"/>
              </w:rPr>
            </w:pPr>
            <w:r w:rsidRPr="005A7720">
              <w:rPr>
                <w:rFonts w:asciiTheme="minorHAnsi" w:hAnsiTheme="minorHAnsi" w:cs="Arial"/>
                <w:sz w:val="18"/>
                <w:szCs w:val="18"/>
              </w:rPr>
              <w:t>Social respect (WATW)</w:t>
            </w:r>
          </w:p>
          <w:p w:rsidR="007D1AE2" w:rsidRPr="005A7720" w:rsidRDefault="007D1AE2" w:rsidP="00725135">
            <w:pPr>
              <w:rPr>
                <w:rFonts w:asciiTheme="minorHAnsi" w:hAnsiTheme="minorHAnsi" w:cs="Arial"/>
                <w:sz w:val="18"/>
                <w:szCs w:val="18"/>
              </w:rPr>
            </w:pPr>
            <w:r w:rsidRPr="005A7720">
              <w:rPr>
                <w:rFonts w:asciiTheme="minorHAnsi" w:hAnsiTheme="minorHAnsi" w:cs="Arial"/>
                <w:sz w:val="18"/>
                <w:szCs w:val="18"/>
              </w:rPr>
              <w:t>Social cohesion (SSP1)</w:t>
            </w:r>
          </w:p>
        </w:tc>
        <w:tc>
          <w:tcPr>
            <w:tcW w:w="2551" w:type="dxa"/>
          </w:tcPr>
          <w:p w:rsidR="007D1AE2" w:rsidRPr="005A7720" w:rsidRDefault="007D1AE2" w:rsidP="00725135">
            <w:pPr>
              <w:rPr>
                <w:rFonts w:asciiTheme="minorHAnsi" w:hAnsiTheme="minorHAnsi" w:cs="Arial"/>
                <w:sz w:val="18"/>
                <w:szCs w:val="18"/>
              </w:rPr>
            </w:pPr>
            <w:r>
              <w:rPr>
                <w:rFonts w:asciiTheme="minorHAnsi" w:hAnsiTheme="minorHAnsi" w:cs="Arial"/>
                <w:sz w:val="18"/>
                <w:szCs w:val="18"/>
              </w:rPr>
              <w:t xml:space="preserve">High toward the end  </w:t>
            </w:r>
          </w:p>
        </w:tc>
        <w:tc>
          <w:tcPr>
            <w:tcW w:w="2835"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 xml:space="preserve">High </w:t>
            </w:r>
          </w:p>
        </w:tc>
      </w:tr>
      <w:tr w:rsidR="007D1AE2" w:rsidRPr="005A7720" w:rsidTr="00725135">
        <w:trPr>
          <w:trHeight w:val="271"/>
        </w:trPr>
        <w:tc>
          <w:tcPr>
            <w:tcW w:w="3794" w:type="dxa"/>
          </w:tcPr>
          <w:p w:rsidR="007D1AE2" w:rsidRPr="005A7720" w:rsidRDefault="007D1AE2" w:rsidP="00725135">
            <w:pPr>
              <w:rPr>
                <w:rFonts w:asciiTheme="minorHAnsi" w:hAnsiTheme="minorHAnsi" w:cs="Arial"/>
                <w:sz w:val="18"/>
                <w:szCs w:val="18"/>
              </w:rPr>
            </w:pPr>
            <w:r w:rsidRPr="005A7720">
              <w:rPr>
                <w:rFonts w:asciiTheme="minorHAnsi" w:hAnsiTheme="minorHAnsi" w:cs="Arial"/>
                <w:sz w:val="18"/>
                <w:szCs w:val="18"/>
              </w:rPr>
              <w:t xml:space="preserve">Population/migration </w:t>
            </w:r>
          </w:p>
        </w:tc>
        <w:tc>
          <w:tcPr>
            <w:tcW w:w="2551" w:type="dxa"/>
          </w:tcPr>
          <w:p w:rsidR="007D1AE2" w:rsidRPr="005A7720" w:rsidRDefault="007D1AE2" w:rsidP="00725135">
            <w:pPr>
              <w:rPr>
                <w:rFonts w:asciiTheme="minorHAnsi" w:hAnsiTheme="minorHAnsi" w:cs="Arial"/>
                <w:sz w:val="18"/>
                <w:szCs w:val="18"/>
              </w:rPr>
            </w:pPr>
            <w:r>
              <w:rPr>
                <w:rFonts w:asciiTheme="minorHAnsi" w:hAnsiTheme="minorHAnsi" w:cs="Arial"/>
                <w:sz w:val="18"/>
                <w:szCs w:val="18"/>
              </w:rPr>
              <w:t>Migration high within regions; medium between regions (highly skilled)</w:t>
            </w:r>
          </w:p>
        </w:tc>
        <w:tc>
          <w:tcPr>
            <w:tcW w:w="2835"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Low growth, medium migration</w:t>
            </w:r>
          </w:p>
        </w:tc>
      </w:tr>
      <w:tr w:rsidR="007D1AE2" w:rsidRPr="005A7720" w:rsidTr="00725135">
        <w:trPr>
          <w:trHeight w:val="256"/>
        </w:trPr>
        <w:tc>
          <w:tcPr>
            <w:tcW w:w="3794" w:type="dxa"/>
          </w:tcPr>
          <w:p w:rsidR="007D1AE2" w:rsidRPr="005A7720" w:rsidRDefault="007D1AE2" w:rsidP="00725135">
            <w:pPr>
              <w:rPr>
                <w:rFonts w:asciiTheme="minorHAnsi" w:hAnsiTheme="minorHAnsi" w:cs="Arial"/>
                <w:sz w:val="18"/>
                <w:szCs w:val="18"/>
              </w:rPr>
            </w:pPr>
            <w:r w:rsidRPr="005A7720">
              <w:rPr>
                <w:rFonts w:asciiTheme="minorHAnsi" w:hAnsiTheme="minorHAnsi" w:cs="Arial"/>
                <w:sz w:val="18"/>
                <w:szCs w:val="18"/>
              </w:rPr>
              <w:t xml:space="preserve">Economic development </w:t>
            </w:r>
          </w:p>
        </w:tc>
        <w:tc>
          <w:tcPr>
            <w:tcW w:w="2551" w:type="dxa"/>
          </w:tcPr>
          <w:p w:rsidR="007D1AE2" w:rsidRPr="005A7720" w:rsidRDefault="007D1AE2" w:rsidP="00725135">
            <w:pPr>
              <w:rPr>
                <w:rFonts w:asciiTheme="minorHAnsi" w:hAnsiTheme="minorHAnsi" w:cs="Arial"/>
                <w:sz w:val="18"/>
                <w:szCs w:val="18"/>
              </w:rPr>
            </w:pPr>
            <w:r>
              <w:rPr>
                <w:rFonts w:asciiTheme="minorHAnsi" w:hAnsiTheme="minorHAnsi" w:cs="Arial"/>
                <w:sz w:val="18"/>
                <w:szCs w:val="18"/>
              </w:rPr>
              <w:t>Low but sustainable growth</w:t>
            </w:r>
          </w:p>
        </w:tc>
        <w:tc>
          <w:tcPr>
            <w:tcW w:w="2835"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Medium to high growth</w:t>
            </w:r>
          </w:p>
        </w:tc>
      </w:tr>
      <w:tr w:rsidR="007D1AE2" w:rsidRPr="005A7720" w:rsidTr="00725135">
        <w:trPr>
          <w:trHeight w:val="290"/>
        </w:trPr>
        <w:tc>
          <w:tcPr>
            <w:tcW w:w="3794" w:type="dxa"/>
          </w:tcPr>
          <w:p w:rsidR="007D1AE2" w:rsidRPr="005A7720" w:rsidRDefault="007D1AE2" w:rsidP="00725135">
            <w:pPr>
              <w:rPr>
                <w:rFonts w:asciiTheme="minorHAnsi" w:hAnsiTheme="minorHAnsi" w:cs="Arial"/>
                <w:sz w:val="18"/>
                <w:szCs w:val="18"/>
              </w:rPr>
            </w:pPr>
            <w:r w:rsidRPr="005A7720">
              <w:rPr>
                <w:rFonts w:asciiTheme="minorHAnsi" w:hAnsiTheme="minorHAnsi" w:cs="Arial"/>
                <w:sz w:val="18"/>
                <w:szCs w:val="18"/>
              </w:rPr>
              <w:t xml:space="preserve">Attitude towards human health </w:t>
            </w:r>
            <w:r>
              <w:rPr>
                <w:rFonts w:asciiTheme="minorHAnsi" w:hAnsiTheme="minorHAnsi" w:cs="Arial"/>
                <w:sz w:val="18"/>
                <w:szCs w:val="18"/>
              </w:rPr>
              <w:t>(WATW)</w:t>
            </w:r>
          </w:p>
          <w:p w:rsidR="007D1AE2" w:rsidRPr="005A7720" w:rsidRDefault="007D1AE2" w:rsidP="00725135">
            <w:pPr>
              <w:rPr>
                <w:rFonts w:asciiTheme="minorHAnsi" w:hAnsiTheme="minorHAnsi" w:cs="Arial"/>
                <w:sz w:val="18"/>
                <w:szCs w:val="18"/>
              </w:rPr>
            </w:pPr>
            <w:r w:rsidRPr="005A7720">
              <w:rPr>
                <w:rFonts w:asciiTheme="minorHAnsi" w:hAnsiTheme="minorHAnsi" w:cs="Arial"/>
                <w:sz w:val="18"/>
                <w:szCs w:val="18"/>
              </w:rPr>
              <w:t>Health investments</w:t>
            </w:r>
            <w:r>
              <w:rPr>
                <w:rFonts w:asciiTheme="minorHAnsi" w:hAnsiTheme="minorHAnsi" w:cs="Arial"/>
                <w:sz w:val="18"/>
                <w:szCs w:val="18"/>
              </w:rPr>
              <w:t xml:space="preserve"> (SSP1)</w:t>
            </w:r>
          </w:p>
        </w:tc>
        <w:tc>
          <w:tcPr>
            <w:tcW w:w="2551" w:type="dxa"/>
          </w:tcPr>
          <w:p w:rsidR="007D1AE2" w:rsidRPr="005A7720" w:rsidRDefault="007D1AE2" w:rsidP="00725135">
            <w:pPr>
              <w:rPr>
                <w:rFonts w:asciiTheme="minorHAnsi" w:hAnsiTheme="minorHAnsi" w:cs="Arial"/>
                <w:sz w:val="18"/>
                <w:szCs w:val="18"/>
              </w:rPr>
            </w:pPr>
            <w:r>
              <w:rPr>
                <w:rFonts w:asciiTheme="minorHAnsi" w:hAnsiTheme="minorHAnsi" w:cs="Arial"/>
                <w:sz w:val="18"/>
                <w:szCs w:val="18"/>
              </w:rPr>
              <w:t>Respectful attitude</w:t>
            </w:r>
          </w:p>
        </w:tc>
        <w:tc>
          <w:tcPr>
            <w:tcW w:w="2835"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High investments</w:t>
            </w:r>
          </w:p>
        </w:tc>
      </w:tr>
      <w:tr w:rsidR="007D1AE2" w:rsidRPr="005A7720" w:rsidTr="00725135">
        <w:trPr>
          <w:trHeight w:val="256"/>
        </w:trPr>
        <w:tc>
          <w:tcPr>
            <w:tcW w:w="3794" w:type="dxa"/>
          </w:tcPr>
          <w:p w:rsidR="007D1AE2" w:rsidRPr="005A7720" w:rsidRDefault="007D1AE2" w:rsidP="00725135">
            <w:pPr>
              <w:rPr>
                <w:rFonts w:asciiTheme="minorHAnsi" w:hAnsiTheme="minorHAnsi" w:cs="Arial"/>
                <w:sz w:val="18"/>
                <w:szCs w:val="18"/>
              </w:rPr>
            </w:pPr>
            <w:r w:rsidRPr="005A7720">
              <w:rPr>
                <w:rFonts w:asciiTheme="minorHAnsi" w:hAnsiTheme="minorHAnsi" w:cs="Arial"/>
                <w:sz w:val="18"/>
                <w:szCs w:val="18"/>
              </w:rPr>
              <w:t xml:space="preserve">Social cohesion </w:t>
            </w:r>
          </w:p>
        </w:tc>
        <w:tc>
          <w:tcPr>
            <w:tcW w:w="2551" w:type="dxa"/>
          </w:tcPr>
          <w:p w:rsidR="007D1AE2" w:rsidRPr="005A7720" w:rsidRDefault="007D1AE2" w:rsidP="00725135">
            <w:pPr>
              <w:rPr>
                <w:rFonts w:asciiTheme="minorHAnsi" w:hAnsiTheme="minorHAnsi" w:cs="Arial"/>
                <w:sz w:val="18"/>
                <w:szCs w:val="18"/>
              </w:rPr>
            </w:pPr>
            <w:r>
              <w:rPr>
                <w:rFonts w:asciiTheme="minorHAnsi" w:hAnsiTheme="minorHAnsi" w:cs="Arial"/>
                <w:sz w:val="18"/>
                <w:szCs w:val="18"/>
              </w:rPr>
              <w:t>High, with differences</w:t>
            </w:r>
          </w:p>
        </w:tc>
        <w:tc>
          <w:tcPr>
            <w:tcW w:w="2835"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High</w:t>
            </w:r>
          </w:p>
        </w:tc>
      </w:tr>
      <w:tr w:rsidR="007D1AE2" w:rsidRPr="005A7720" w:rsidTr="00725135">
        <w:trPr>
          <w:trHeight w:val="392"/>
        </w:trPr>
        <w:tc>
          <w:tcPr>
            <w:tcW w:w="3794" w:type="dxa"/>
          </w:tcPr>
          <w:p w:rsidR="007D1AE2" w:rsidRPr="005A7720" w:rsidRDefault="007D1AE2" w:rsidP="00725135">
            <w:pPr>
              <w:rPr>
                <w:rFonts w:asciiTheme="minorHAnsi" w:hAnsiTheme="minorHAnsi" w:cs="Arial"/>
                <w:sz w:val="18"/>
                <w:szCs w:val="18"/>
              </w:rPr>
            </w:pPr>
            <w:r w:rsidRPr="005A7720">
              <w:rPr>
                <w:rFonts w:asciiTheme="minorHAnsi" w:hAnsiTheme="minorHAnsi" w:cs="Arial"/>
                <w:sz w:val="18"/>
                <w:szCs w:val="18"/>
              </w:rPr>
              <w:t>Solutions by innovation (WATW)</w:t>
            </w:r>
          </w:p>
          <w:p w:rsidR="007D1AE2" w:rsidRPr="005A7720" w:rsidRDefault="007D1AE2" w:rsidP="00725135">
            <w:pPr>
              <w:rPr>
                <w:rFonts w:asciiTheme="minorHAnsi" w:hAnsiTheme="minorHAnsi" w:cs="Arial"/>
                <w:sz w:val="18"/>
                <w:szCs w:val="18"/>
              </w:rPr>
            </w:pPr>
            <w:r w:rsidRPr="005A7720">
              <w:rPr>
                <w:rFonts w:asciiTheme="minorHAnsi" w:hAnsiTheme="minorHAnsi" w:cs="Arial"/>
                <w:sz w:val="18"/>
                <w:szCs w:val="18"/>
              </w:rPr>
              <w:t>Institutions and Technology development (SSP1)</w:t>
            </w:r>
          </w:p>
        </w:tc>
        <w:tc>
          <w:tcPr>
            <w:tcW w:w="2551" w:type="dxa"/>
          </w:tcPr>
          <w:p w:rsidR="007D1AE2" w:rsidRPr="005A7720" w:rsidRDefault="007D1AE2" w:rsidP="00725135">
            <w:pPr>
              <w:rPr>
                <w:rFonts w:asciiTheme="minorHAnsi" w:hAnsiTheme="minorHAnsi" w:cs="Arial"/>
                <w:sz w:val="18"/>
                <w:szCs w:val="18"/>
              </w:rPr>
            </w:pPr>
            <w:r>
              <w:rPr>
                <w:rFonts w:asciiTheme="minorHAnsi" w:hAnsiTheme="minorHAnsi" w:cs="Arial"/>
                <w:sz w:val="18"/>
                <w:szCs w:val="18"/>
              </w:rPr>
              <w:t>Effective solutions and major breakthroughs in environmental technology</w:t>
            </w:r>
          </w:p>
        </w:tc>
        <w:tc>
          <w:tcPr>
            <w:tcW w:w="2835"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Effective institutions and rapid technological development and transfer</w:t>
            </w:r>
          </w:p>
        </w:tc>
      </w:tr>
      <w:tr w:rsidR="007D1AE2" w:rsidRPr="005A7720" w:rsidTr="00725135">
        <w:trPr>
          <w:trHeight w:val="256"/>
        </w:trPr>
        <w:tc>
          <w:tcPr>
            <w:tcW w:w="3794" w:type="dxa"/>
          </w:tcPr>
          <w:p w:rsidR="007D1AE2" w:rsidRPr="005A7720" w:rsidRDefault="007D1AE2" w:rsidP="00725135">
            <w:pPr>
              <w:rPr>
                <w:rFonts w:asciiTheme="minorHAnsi" w:hAnsiTheme="minorHAnsi" w:cs="Arial"/>
                <w:sz w:val="18"/>
                <w:szCs w:val="18"/>
              </w:rPr>
            </w:pPr>
            <w:r w:rsidRPr="005A7720">
              <w:rPr>
                <w:rFonts w:asciiTheme="minorHAnsi" w:hAnsiTheme="minorHAnsi" w:cs="Arial"/>
                <w:sz w:val="18"/>
                <w:szCs w:val="18"/>
              </w:rPr>
              <w:t>Social belief systems (WATW)</w:t>
            </w:r>
          </w:p>
          <w:p w:rsidR="007D1AE2" w:rsidRPr="005A7720" w:rsidRDefault="007D1AE2" w:rsidP="00725135">
            <w:pPr>
              <w:rPr>
                <w:rFonts w:asciiTheme="minorHAnsi" w:hAnsiTheme="minorHAnsi" w:cs="Arial"/>
                <w:sz w:val="18"/>
                <w:szCs w:val="18"/>
              </w:rPr>
            </w:pPr>
            <w:r w:rsidRPr="005A7720">
              <w:rPr>
                <w:rFonts w:asciiTheme="minorHAnsi" w:hAnsiTheme="minorHAnsi" w:cs="Arial"/>
                <w:sz w:val="18"/>
                <w:szCs w:val="18"/>
              </w:rPr>
              <w:t>Social participation (SSP1)</w:t>
            </w:r>
          </w:p>
        </w:tc>
        <w:tc>
          <w:tcPr>
            <w:tcW w:w="2551" w:type="dxa"/>
          </w:tcPr>
          <w:p w:rsidR="007D1AE2" w:rsidRPr="005A7720" w:rsidRDefault="007D1AE2" w:rsidP="00725135">
            <w:pPr>
              <w:rPr>
                <w:rFonts w:asciiTheme="minorHAnsi" w:hAnsiTheme="minorHAnsi" w:cs="Arial"/>
                <w:sz w:val="18"/>
                <w:szCs w:val="18"/>
              </w:rPr>
            </w:pPr>
            <w:r>
              <w:rPr>
                <w:rFonts w:asciiTheme="minorHAnsi" w:hAnsiTheme="minorHAnsi" w:cs="Arial"/>
                <w:sz w:val="18"/>
                <w:szCs w:val="18"/>
              </w:rPr>
              <w:t xml:space="preserve">Plural and respectful </w:t>
            </w:r>
          </w:p>
        </w:tc>
        <w:tc>
          <w:tcPr>
            <w:tcW w:w="2835"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High</w:t>
            </w:r>
          </w:p>
        </w:tc>
      </w:tr>
      <w:tr w:rsidR="007D1AE2" w:rsidRPr="005A7720" w:rsidTr="00725135">
        <w:trPr>
          <w:trHeight w:val="256"/>
        </w:trPr>
        <w:tc>
          <w:tcPr>
            <w:tcW w:w="3794" w:type="dxa"/>
          </w:tcPr>
          <w:p w:rsidR="007D1AE2" w:rsidRPr="005A7720" w:rsidRDefault="007D1AE2" w:rsidP="00725135">
            <w:pPr>
              <w:rPr>
                <w:rFonts w:asciiTheme="minorHAnsi" w:hAnsiTheme="minorHAnsi" w:cs="Arial"/>
                <w:sz w:val="18"/>
                <w:szCs w:val="18"/>
              </w:rPr>
            </w:pPr>
            <w:r w:rsidRPr="005A7720">
              <w:rPr>
                <w:rFonts w:asciiTheme="minorHAnsi" w:hAnsiTheme="minorHAnsi" w:cs="Arial"/>
                <w:sz w:val="18"/>
                <w:szCs w:val="18"/>
              </w:rPr>
              <w:t xml:space="preserve">Education </w:t>
            </w:r>
          </w:p>
        </w:tc>
        <w:tc>
          <w:tcPr>
            <w:tcW w:w="2551" w:type="dxa"/>
          </w:tcPr>
          <w:p w:rsidR="007D1AE2" w:rsidRPr="005A7720" w:rsidRDefault="007D1AE2" w:rsidP="00725135">
            <w:pPr>
              <w:rPr>
                <w:rFonts w:asciiTheme="minorHAnsi" w:hAnsiTheme="minorHAnsi" w:cs="Arial"/>
                <w:sz w:val="18"/>
                <w:szCs w:val="18"/>
              </w:rPr>
            </w:pPr>
            <w:r>
              <w:rPr>
                <w:rFonts w:asciiTheme="minorHAnsi" w:hAnsiTheme="minorHAnsi" w:cs="Arial"/>
                <w:sz w:val="18"/>
                <w:szCs w:val="18"/>
              </w:rPr>
              <w:t>Initially low investments, but gradually improving</w:t>
            </w:r>
          </w:p>
        </w:tc>
        <w:tc>
          <w:tcPr>
            <w:tcW w:w="2835" w:type="dxa"/>
          </w:tcPr>
          <w:p w:rsidR="007D1AE2" w:rsidRPr="005A7720" w:rsidRDefault="007D1AE2" w:rsidP="00725135">
            <w:pPr>
              <w:ind w:right="-108"/>
              <w:rPr>
                <w:rFonts w:asciiTheme="minorHAnsi" w:hAnsiTheme="minorHAnsi" w:cs="Arial"/>
                <w:sz w:val="18"/>
                <w:szCs w:val="18"/>
              </w:rPr>
            </w:pPr>
            <w:r>
              <w:rPr>
                <w:rFonts w:asciiTheme="minorHAnsi" w:hAnsiTheme="minorHAnsi" w:cs="Arial"/>
                <w:sz w:val="18"/>
                <w:szCs w:val="18"/>
              </w:rPr>
              <w:t>High</w:t>
            </w:r>
          </w:p>
        </w:tc>
      </w:tr>
    </w:tbl>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 xml:space="preserve">For most of the elements (see Table </w:t>
      </w:r>
      <w:r>
        <w:rPr>
          <w:rFonts w:asciiTheme="minorHAnsi" w:hAnsiTheme="minorHAnsi"/>
        </w:rPr>
        <w:t>ESM</w:t>
      </w:r>
      <w:r w:rsidR="00390617">
        <w:rPr>
          <w:rFonts w:asciiTheme="minorHAnsi" w:hAnsiTheme="minorHAnsi"/>
        </w:rPr>
        <w:t>2</w:t>
      </w:r>
      <w:r w:rsidRPr="007D1AE2">
        <w:rPr>
          <w:rFonts w:asciiTheme="minorHAnsi" w:hAnsiTheme="minorHAnsi"/>
        </w:rPr>
        <w:t>), there is complete agreement between both scenarios, but despite the large similarities, two key differences surfaced during the workshop:</w:t>
      </w:r>
    </w:p>
    <w:p w:rsidR="007D1AE2" w:rsidRPr="007D1AE2" w:rsidRDefault="007D1AE2" w:rsidP="007D1AE2">
      <w:pPr>
        <w:rPr>
          <w:rFonts w:asciiTheme="minorHAnsi" w:hAnsiTheme="minorHAnsi"/>
        </w:rPr>
      </w:pPr>
      <w:r w:rsidRPr="007D1AE2">
        <w:rPr>
          <w:rFonts w:asciiTheme="minorHAnsi" w:hAnsiTheme="minorHAnsi"/>
        </w:rPr>
        <w:t xml:space="preserve">1. We are the World starts with an economic crisis that first deepens before it is solved. Investments in sustainable development (technologies, policy making, health, education, etc.) are initially low because of the lack of financial resources. Global SSP1 does not have this initial dip. Global SSP1 further assumes a medium to high economic growth, whereas We </w:t>
      </w:r>
      <w:r w:rsidRPr="007D1AE2">
        <w:rPr>
          <w:rFonts w:asciiTheme="minorHAnsi" w:hAnsiTheme="minorHAnsi"/>
        </w:rPr>
        <w:lastRenderedPageBreak/>
        <w:t>are the World assumes the economic crisis to be followed by a phase of low, but steady sustainable growth.</w:t>
      </w:r>
    </w:p>
    <w:p w:rsidR="007D1AE2" w:rsidRPr="007D1AE2" w:rsidRDefault="007D1AE2" w:rsidP="007D1AE2">
      <w:pPr>
        <w:rPr>
          <w:rFonts w:asciiTheme="minorHAnsi" w:hAnsiTheme="minorHAnsi"/>
        </w:rPr>
      </w:pPr>
      <w:r w:rsidRPr="007D1AE2">
        <w:rPr>
          <w:rFonts w:asciiTheme="minorHAnsi" w:hAnsiTheme="minorHAnsi"/>
        </w:rPr>
        <w:t xml:space="preserve">2. In We are the World, by 2050 the world’s problems are largely solved in a conflict free Europe and world. In SSP1, the process is slower. </w:t>
      </w:r>
    </w:p>
    <w:p w:rsidR="007D1AE2" w:rsidRPr="007D1AE2" w:rsidRDefault="007D1AE2" w:rsidP="007D1AE2">
      <w:pPr>
        <w:rPr>
          <w:rFonts w:asciiTheme="minorHAnsi" w:hAnsiTheme="minorHAnsi"/>
        </w:rPr>
      </w:pPr>
    </w:p>
    <w:p w:rsidR="007D1AE2" w:rsidRPr="007D1AE2" w:rsidRDefault="007D1AE2" w:rsidP="007D1AE2">
      <w:pPr>
        <w:rPr>
          <w:rFonts w:asciiTheme="minorHAnsi" w:hAnsiTheme="minorHAnsi"/>
        </w:rPr>
      </w:pPr>
      <w:r w:rsidRPr="007D1AE2">
        <w:rPr>
          <w:rFonts w:asciiTheme="minorHAnsi" w:hAnsiTheme="minorHAnsi"/>
        </w:rPr>
        <w:t xml:space="preserve">A </w:t>
      </w:r>
      <w:r w:rsidR="00911709">
        <w:rPr>
          <w:rFonts w:asciiTheme="minorHAnsi" w:hAnsiTheme="minorHAnsi"/>
        </w:rPr>
        <w:t>Eur-SSP</w:t>
      </w:r>
      <w:r w:rsidRPr="007D1AE2">
        <w:rPr>
          <w:rFonts w:asciiTheme="minorHAnsi" w:hAnsiTheme="minorHAnsi"/>
        </w:rPr>
        <w:t>1 equivalent to the global SSP1 was constructed by using the text from We are the World (2010-2070) and the text of the global SSP1 (2070-2100) with the following main adaptations:</w:t>
      </w:r>
    </w:p>
    <w:p w:rsidR="007D1AE2" w:rsidRPr="007D1AE2" w:rsidRDefault="007D1AE2" w:rsidP="007D1AE2">
      <w:pPr>
        <w:rPr>
          <w:rFonts w:asciiTheme="minorHAnsi" w:hAnsiTheme="minorHAnsi"/>
        </w:rPr>
      </w:pPr>
      <w:r w:rsidRPr="007D1AE2">
        <w:rPr>
          <w:rFonts w:asciiTheme="minorHAnsi" w:hAnsiTheme="minorHAnsi"/>
        </w:rPr>
        <w:t>2010-2040: The beginning of the story was changed such that the effects of the economic crisis are also a catalyst of change regarding integrated policies. The slower economic development in Europe was maintained as  it is in line with the medium growth assumptions for high-income countries, but specific statements about recurring periods of economic recession were removed.</w:t>
      </w:r>
    </w:p>
    <w:p w:rsidR="007D1AE2" w:rsidRPr="007D1AE2" w:rsidRDefault="007D1AE2" w:rsidP="007D1AE2">
      <w:pPr>
        <w:rPr>
          <w:rFonts w:asciiTheme="minorHAnsi" w:hAnsiTheme="minorHAnsi"/>
        </w:rPr>
      </w:pPr>
      <w:r w:rsidRPr="007D1AE2">
        <w:rPr>
          <w:rFonts w:asciiTheme="minorHAnsi" w:hAnsiTheme="minorHAnsi"/>
        </w:rPr>
        <w:t>2040-2070: Some key developments in We are the World that originally happened before 2050 were assumed to happen (much) later. Good examples are behavioural and lifestyle change, and accompanying changes in consumption that are now assumed to take place around 2070.</w:t>
      </w:r>
    </w:p>
    <w:p w:rsidR="007D1AE2" w:rsidRPr="007D1AE2" w:rsidRDefault="007D1AE2" w:rsidP="007D1AE2">
      <w:pPr>
        <w:rPr>
          <w:rFonts w:asciiTheme="minorHAnsi" w:hAnsiTheme="minorHAnsi"/>
        </w:rPr>
      </w:pPr>
      <w:r w:rsidRPr="007D1AE2">
        <w:rPr>
          <w:rFonts w:asciiTheme="minorHAnsi" w:hAnsiTheme="minorHAnsi"/>
        </w:rPr>
        <w:t xml:space="preserve">2070-2100: Economic growth assumptions follow the assumptions of global SSP1 with a “continued steady pace” in a largely globalised world.  This change moves </w:t>
      </w:r>
      <w:r w:rsidR="00911709">
        <w:rPr>
          <w:rFonts w:asciiTheme="minorHAnsi" w:hAnsiTheme="minorHAnsi"/>
        </w:rPr>
        <w:t>Eur-SSP</w:t>
      </w:r>
      <w:r w:rsidRPr="007D1AE2">
        <w:rPr>
          <w:rFonts w:asciiTheme="minorHAnsi" w:hAnsiTheme="minorHAnsi"/>
        </w:rPr>
        <w:t>1 away from We are the World and the so-called ‘SSP1 variant’ (see O’Neill et al., 2015) that assumes a lower economic growth in a regionalising world.</w:t>
      </w:r>
    </w:p>
    <w:p w:rsidR="007D1AE2" w:rsidRDefault="007D1AE2">
      <w:pPr>
        <w:rPr>
          <w:rFonts w:asciiTheme="minorHAnsi" w:hAnsiTheme="minorHAnsi"/>
        </w:rPr>
      </w:pPr>
    </w:p>
    <w:p w:rsidR="007D1AE2" w:rsidRDefault="00FC1392">
      <w:pPr>
        <w:rPr>
          <w:rFonts w:asciiTheme="minorHAnsi" w:hAnsiTheme="minorHAnsi"/>
          <w:b/>
        </w:rPr>
      </w:pPr>
      <w:r>
        <w:rPr>
          <w:rFonts w:asciiTheme="minorHAnsi" w:hAnsiTheme="minorHAnsi"/>
          <w:b/>
        </w:rPr>
        <w:t>ESM</w:t>
      </w:r>
      <w:r w:rsidR="00390617">
        <w:rPr>
          <w:rFonts w:asciiTheme="minorHAnsi" w:hAnsiTheme="minorHAnsi"/>
          <w:b/>
        </w:rPr>
        <w:t>9</w:t>
      </w:r>
      <w:r w:rsidR="00295E10" w:rsidRPr="009853D9">
        <w:rPr>
          <w:rFonts w:asciiTheme="minorHAnsi" w:hAnsiTheme="minorHAnsi"/>
          <w:b/>
        </w:rPr>
        <w:t>.2 Synopti</w:t>
      </w:r>
      <w:r w:rsidR="009853D9" w:rsidRPr="009853D9">
        <w:rPr>
          <w:rFonts w:asciiTheme="minorHAnsi" w:hAnsiTheme="minorHAnsi"/>
          <w:b/>
        </w:rPr>
        <w:t xml:space="preserve">c overview of matching process other scenarios </w:t>
      </w:r>
    </w:p>
    <w:p w:rsidR="009853D9" w:rsidRDefault="009853D9">
      <w:pPr>
        <w:rPr>
          <w:rFonts w:asciiTheme="minorHAnsi" w:hAnsiTheme="minorHAnsi"/>
          <w:b/>
        </w:rPr>
      </w:pPr>
    </w:p>
    <w:p w:rsidR="009853D9" w:rsidRDefault="00971AC7">
      <w:pPr>
        <w:rPr>
          <w:rFonts w:asciiTheme="minorHAnsi" w:hAnsiTheme="minorHAnsi"/>
        </w:rPr>
      </w:pPr>
      <w:r>
        <w:rPr>
          <w:rFonts w:asciiTheme="minorHAnsi" w:hAnsiTheme="minorHAnsi"/>
          <w:b/>
        </w:rPr>
        <w:t>Similarties</w:t>
      </w:r>
      <w:r w:rsidR="000F468C">
        <w:rPr>
          <w:rFonts w:asciiTheme="minorHAnsi" w:hAnsiTheme="minorHAnsi"/>
          <w:b/>
        </w:rPr>
        <w:t xml:space="preserve"> and differences</w:t>
      </w:r>
    </w:p>
    <w:p w:rsidR="00971AC7" w:rsidRDefault="00971AC7" w:rsidP="009853D9">
      <w:pPr>
        <w:rPr>
          <w:rFonts w:asciiTheme="minorHAnsi" w:hAnsiTheme="minorHAnsi"/>
        </w:rPr>
      </w:pPr>
    </w:p>
    <w:p w:rsidR="0051540F" w:rsidRDefault="00971AC7" w:rsidP="009853D9">
      <w:pPr>
        <w:rPr>
          <w:rFonts w:asciiTheme="minorHAnsi" w:hAnsiTheme="minorHAnsi"/>
        </w:rPr>
      </w:pPr>
      <w:r>
        <w:rPr>
          <w:rFonts w:asciiTheme="minorHAnsi" w:hAnsiTheme="minorHAnsi"/>
        </w:rPr>
        <w:t xml:space="preserve">SSP3 </w:t>
      </w:r>
      <w:r w:rsidR="0051540F">
        <w:rPr>
          <w:rFonts w:asciiTheme="minorHAnsi" w:hAnsiTheme="minorHAnsi"/>
        </w:rPr>
        <w:t>–</w:t>
      </w:r>
      <w:r>
        <w:rPr>
          <w:rFonts w:asciiTheme="minorHAnsi" w:hAnsiTheme="minorHAnsi"/>
        </w:rPr>
        <w:t xml:space="preserve"> Icarus</w:t>
      </w:r>
    </w:p>
    <w:p w:rsidR="009853D9" w:rsidRDefault="009853D9" w:rsidP="009853D9">
      <w:pPr>
        <w:rPr>
          <w:rFonts w:asciiTheme="minorHAnsi" w:hAnsiTheme="minorHAnsi"/>
        </w:rPr>
      </w:pPr>
      <w:r>
        <w:rPr>
          <w:rFonts w:asciiTheme="minorHAnsi" w:hAnsiTheme="minorHAnsi"/>
        </w:rPr>
        <w:t>Icarus can be summarised as: ‘S</w:t>
      </w:r>
      <w:r w:rsidRPr="009853D9">
        <w:rPr>
          <w:rFonts w:asciiTheme="minorHAnsi" w:hAnsiTheme="minorHAnsi"/>
        </w:rPr>
        <w:t>hort-term policy planning and a stagnating economy lead to the disintegration of social fabric and the shortage of goods and services.</w:t>
      </w:r>
      <w:r>
        <w:rPr>
          <w:rFonts w:asciiTheme="minorHAnsi" w:hAnsiTheme="minorHAnsi"/>
        </w:rPr>
        <w:t>’. Global SSP3 is characterised as: ‘</w:t>
      </w:r>
      <w:r w:rsidRPr="009853D9">
        <w:rPr>
          <w:rFonts w:asciiTheme="minorHAnsi" w:hAnsiTheme="minorHAnsi"/>
        </w:rPr>
        <w:t>A resurgent nationalism, concerns about competitiveness and</w:t>
      </w:r>
      <w:r>
        <w:rPr>
          <w:rFonts w:asciiTheme="minorHAnsi" w:hAnsiTheme="minorHAnsi"/>
        </w:rPr>
        <w:t xml:space="preserve"> </w:t>
      </w:r>
      <w:r w:rsidRPr="009853D9">
        <w:rPr>
          <w:rFonts w:asciiTheme="minorHAnsi" w:hAnsiTheme="minorHAnsi"/>
        </w:rPr>
        <w:t>security, and regional conflicts push countries to increasingly</w:t>
      </w:r>
      <w:r>
        <w:rPr>
          <w:rFonts w:asciiTheme="minorHAnsi" w:hAnsiTheme="minorHAnsi"/>
        </w:rPr>
        <w:t xml:space="preserve"> </w:t>
      </w:r>
      <w:r w:rsidRPr="009853D9">
        <w:rPr>
          <w:rFonts w:asciiTheme="minorHAnsi" w:hAnsiTheme="minorHAnsi"/>
        </w:rPr>
        <w:t>focus on regional issues.</w:t>
      </w:r>
      <w:r>
        <w:rPr>
          <w:rFonts w:asciiTheme="minorHAnsi" w:hAnsiTheme="minorHAnsi"/>
        </w:rPr>
        <w:t xml:space="preserve">’. Key elements and main narrative characteristics are very similar. Overall, both scenarios portray a similar type of (dystopian) future, as concluded in Table 3. A key difference is the magnitude of change with developments in Icarus leading to a disintegration of social fabric, while SSP3 is more moderate in its outlook, </w:t>
      </w:r>
      <w:r w:rsidR="00971AC7">
        <w:rPr>
          <w:rFonts w:asciiTheme="minorHAnsi" w:hAnsiTheme="minorHAnsi"/>
        </w:rPr>
        <w:t>but</w:t>
      </w:r>
      <w:r>
        <w:rPr>
          <w:rFonts w:asciiTheme="minorHAnsi" w:hAnsiTheme="minorHAnsi"/>
        </w:rPr>
        <w:t xml:space="preserve"> ‘…</w:t>
      </w:r>
      <w:r w:rsidR="00971AC7">
        <w:rPr>
          <w:rFonts w:asciiTheme="minorHAnsi" w:hAnsiTheme="minorHAnsi"/>
        </w:rPr>
        <w:t xml:space="preserve"> with </w:t>
      </w:r>
      <w:r w:rsidRPr="009853D9">
        <w:rPr>
          <w:rFonts w:asciiTheme="minorHAnsi" w:hAnsiTheme="minorHAnsi"/>
        </w:rPr>
        <w:t>many countries struggling to maintain living standards</w:t>
      </w:r>
      <w:r>
        <w:rPr>
          <w:rFonts w:asciiTheme="minorHAnsi" w:hAnsiTheme="minorHAnsi"/>
        </w:rPr>
        <w:t>…’.</w:t>
      </w:r>
    </w:p>
    <w:p w:rsidR="00971AC7" w:rsidRDefault="00971AC7" w:rsidP="009853D9">
      <w:pPr>
        <w:rPr>
          <w:rFonts w:asciiTheme="minorHAnsi" w:hAnsiTheme="minorHAnsi"/>
        </w:rPr>
      </w:pPr>
    </w:p>
    <w:p w:rsidR="00971AC7" w:rsidRDefault="00971AC7" w:rsidP="009853D9">
      <w:pPr>
        <w:rPr>
          <w:rFonts w:asciiTheme="minorHAnsi" w:hAnsiTheme="minorHAnsi"/>
        </w:rPr>
      </w:pPr>
      <w:r>
        <w:rPr>
          <w:rFonts w:asciiTheme="minorHAnsi" w:hAnsiTheme="minorHAnsi"/>
        </w:rPr>
        <w:t>SSP4 – Riders on the Storm</w:t>
      </w:r>
    </w:p>
    <w:p w:rsidR="000F468C" w:rsidRPr="000F468C" w:rsidRDefault="000F468C" w:rsidP="000F468C">
      <w:pPr>
        <w:rPr>
          <w:rFonts w:asciiTheme="minorHAnsi" w:hAnsiTheme="minorHAnsi"/>
        </w:rPr>
      </w:pPr>
      <w:r>
        <w:rPr>
          <w:rFonts w:asciiTheme="minorHAnsi" w:hAnsiTheme="minorHAnsi"/>
        </w:rPr>
        <w:t>Riders on the Storm can be summarised as: ‘</w:t>
      </w:r>
      <w:r w:rsidRPr="000F468C">
        <w:rPr>
          <w:rFonts w:asciiTheme="minorHAnsi" w:hAnsiTheme="minorHAnsi"/>
        </w:rPr>
        <w:t>Strong economic recessions hit hard, but are successfully countered with renewables and green technologies. Europe is an important player in a turbulent world.</w:t>
      </w:r>
      <w:r>
        <w:rPr>
          <w:rFonts w:asciiTheme="minorHAnsi" w:hAnsiTheme="minorHAnsi"/>
        </w:rPr>
        <w:t>’. Global SSP4 is characterised by: ‘</w:t>
      </w:r>
      <w:r w:rsidRPr="000F468C">
        <w:rPr>
          <w:rFonts w:asciiTheme="minorHAnsi" w:hAnsiTheme="minorHAnsi"/>
        </w:rPr>
        <w:t>Highly unequal investments in human capital, combined with</w:t>
      </w:r>
      <w:r>
        <w:rPr>
          <w:rFonts w:asciiTheme="minorHAnsi" w:hAnsiTheme="minorHAnsi"/>
        </w:rPr>
        <w:t xml:space="preserve"> </w:t>
      </w:r>
      <w:r w:rsidRPr="000F468C">
        <w:rPr>
          <w:rFonts w:asciiTheme="minorHAnsi" w:hAnsiTheme="minorHAnsi"/>
        </w:rPr>
        <w:t>increasing disparities in economic opportunity and political</w:t>
      </w:r>
    </w:p>
    <w:p w:rsidR="000F468C" w:rsidRDefault="000F468C" w:rsidP="000F468C">
      <w:pPr>
        <w:rPr>
          <w:rFonts w:asciiTheme="minorHAnsi" w:hAnsiTheme="minorHAnsi"/>
        </w:rPr>
      </w:pPr>
      <w:r w:rsidRPr="000F468C">
        <w:rPr>
          <w:rFonts w:asciiTheme="minorHAnsi" w:hAnsiTheme="minorHAnsi"/>
        </w:rPr>
        <w:t>power, lead to increasing inequalities and stratification both</w:t>
      </w:r>
      <w:r>
        <w:rPr>
          <w:rFonts w:asciiTheme="minorHAnsi" w:hAnsiTheme="minorHAnsi"/>
        </w:rPr>
        <w:t xml:space="preserve"> </w:t>
      </w:r>
      <w:r w:rsidRPr="000F468C">
        <w:rPr>
          <w:rFonts w:asciiTheme="minorHAnsi" w:hAnsiTheme="minorHAnsi"/>
        </w:rPr>
        <w:t>across and within countries.</w:t>
      </w:r>
      <w:r>
        <w:rPr>
          <w:rFonts w:asciiTheme="minorHAnsi" w:hAnsiTheme="minorHAnsi"/>
        </w:rPr>
        <w:t xml:space="preserve">’. Overall, there are similarities and differences between both scenarios. They are very similar in their assumptions related to increasing inequality, the key assumption underlying SSP4. Also, (green) technology development taken place in both. They are different, however, in </w:t>
      </w:r>
      <w:r>
        <w:rPr>
          <w:rFonts w:asciiTheme="minorHAnsi" w:hAnsiTheme="minorHAnsi"/>
        </w:rPr>
        <w:lastRenderedPageBreak/>
        <w:t xml:space="preserve">assumptions related to economic growth, policy effectiveness, and wealth of the upper class.  </w:t>
      </w:r>
    </w:p>
    <w:p w:rsidR="000F468C" w:rsidRDefault="000F468C" w:rsidP="000F468C">
      <w:pPr>
        <w:rPr>
          <w:rFonts w:asciiTheme="minorHAnsi" w:hAnsiTheme="minorHAnsi"/>
        </w:rPr>
      </w:pPr>
    </w:p>
    <w:p w:rsidR="000F468C" w:rsidRDefault="000F468C" w:rsidP="000F468C">
      <w:pPr>
        <w:rPr>
          <w:rFonts w:asciiTheme="minorHAnsi" w:hAnsiTheme="minorHAnsi"/>
        </w:rPr>
      </w:pPr>
      <w:r>
        <w:rPr>
          <w:rFonts w:asciiTheme="minorHAnsi" w:hAnsiTheme="minorHAnsi"/>
        </w:rPr>
        <w:t>SSP5 – Should I Stay or Should I go?</w:t>
      </w:r>
    </w:p>
    <w:p w:rsidR="00971AC7" w:rsidRDefault="000F468C" w:rsidP="000F468C">
      <w:pPr>
        <w:rPr>
          <w:rFonts w:asciiTheme="minorHAnsi" w:hAnsiTheme="minorHAnsi"/>
        </w:rPr>
      </w:pPr>
      <w:r>
        <w:rPr>
          <w:rFonts w:asciiTheme="minorHAnsi" w:hAnsiTheme="minorHAnsi"/>
        </w:rPr>
        <w:t>Should I Stay can be summarised as: ‘F</w:t>
      </w:r>
      <w:r w:rsidRPr="000F468C">
        <w:rPr>
          <w:rFonts w:asciiTheme="minorHAnsi" w:hAnsiTheme="minorHAnsi"/>
        </w:rPr>
        <w:t>ailure to address the economic crisis leads to an increased gap between rich and poor, political instability and conflicts; people live in an insecure and instable world.</w:t>
      </w:r>
      <w:r>
        <w:rPr>
          <w:rFonts w:asciiTheme="minorHAnsi" w:hAnsiTheme="minorHAnsi"/>
        </w:rPr>
        <w:t>’. Global SSP5 is characterised by: ‘</w:t>
      </w:r>
      <w:r w:rsidRPr="000F468C">
        <w:rPr>
          <w:rFonts w:asciiTheme="minorHAnsi" w:hAnsiTheme="minorHAnsi"/>
        </w:rPr>
        <w:t>Driven by the economic success of industrialized and emerging</w:t>
      </w:r>
      <w:r>
        <w:rPr>
          <w:rFonts w:asciiTheme="minorHAnsi" w:hAnsiTheme="minorHAnsi"/>
        </w:rPr>
        <w:t xml:space="preserve"> </w:t>
      </w:r>
      <w:r w:rsidRPr="000F468C">
        <w:rPr>
          <w:rFonts w:asciiTheme="minorHAnsi" w:hAnsiTheme="minorHAnsi"/>
        </w:rPr>
        <w:t>economies, this world places increasing faith in competitive</w:t>
      </w:r>
      <w:r>
        <w:rPr>
          <w:rFonts w:asciiTheme="minorHAnsi" w:hAnsiTheme="minorHAnsi"/>
        </w:rPr>
        <w:t xml:space="preserve"> </w:t>
      </w:r>
      <w:r w:rsidRPr="000F468C">
        <w:rPr>
          <w:rFonts w:asciiTheme="minorHAnsi" w:hAnsiTheme="minorHAnsi"/>
        </w:rPr>
        <w:t>markets, innovation and participatory societies to produce</w:t>
      </w:r>
      <w:r>
        <w:rPr>
          <w:rFonts w:asciiTheme="minorHAnsi" w:hAnsiTheme="minorHAnsi"/>
        </w:rPr>
        <w:t xml:space="preserve"> </w:t>
      </w:r>
      <w:r w:rsidRPr="000F468C">
        <w:rPr>
          <w:rFonts w:asciiTheme="minorHAnsi" w:hAnsiTheme="minorHAnsi"/>
        </w:rPr>
        <w:t>rapid technological progress and development of human capital</w:t>
      </w:r>
      <w:r>
        <w:rPr>
          <w:rFonts w:asciiTheme="minorHAnsi" w:hAnsiTheme="minorHAnsi"/>
        </w:rPr>
        <w:t xml:space="preserve"> </w:t>
      </w:r>
      <w:r w:rsidRPr="000F468C">
        <w:rPr>
          <w:rFonts w:asciiTheme="minorHAnsi" w:hAnsiTheme="minorHAnsi"/>
        </w:rPr>
        <w:t>as the path to sustainable development.</w:t>
      </w:r>
      <w:r>
        <w:rPr>
          <w:rFonts w:asciiTheme="minorHAnsi" w:hAnsiTheme="minorHAnsi"/>
        </w:rPr>
        <w:t xml:space="preserve">’. Clearly, these two scenarios portray two radically different worlds that cannot be combined. Should I Stay, in fact, resembles the Barbarisation scenario as proposed by the </w:t>
      </w:r>
      <w:r w:rsidR="00911709">
        <w:rPr>
          <w:rFonts w:asciiTheme="minorHAnsi" w:hAnsiTheme="minorHAnsi"/>
        </w:rPr>
        <w:t>Global Scenario Group</w:t>
      </w:r>
      <w:r>
        <w:rPr>
          <w:rFonts w:asciiTheme="minorHAnsi" w:hAnsiTheme="minorHAnsi"/>
        </w:rPr>
        <w:t xml:space="preserve">, a dystopian outlook that is more extreme than Icarus. SSP5, in turn, depicts a healthy society in an economically prosperous world, driven by technology. </w:t>
      </w:r>
    </w:p>
    <w:p w:rsidR="000F468C" w:rsidRDefault="000F468C" w:rsidP="009853D9">
      <w:pPr>
        <w:rPr>
          <w:rFonts w:asciiTheme="minorHAnsi" w:hAnsiTheme="minorHAnsi"/>
        </w:rPr>
      </w:pPr>
    </w:p>
    <w:p w:rsidR="000F468C" w:rsidRDefault="000F468C" w:rsidP="009853D9">
      <w:pPr>
        <w:rPr>
          <w:rFonts w:asciiTheme="minorHAnsi" w:hAnsiTheme="minorHAnsi"/>
        </w:rPr>
      </w:pPr>
    </w:p>
    <w:p w:rsidR="00971AC7" w:rsidRDefault="0051540F" w:rsidP="009853D9">
      <w:pPr>
        <w:rPr>
          <w:rFonts w:asciiTheme="minorHAnsi" w:hAnsiTheme="minorHAnsi"/>
          <w:b/>
        </w:rPr>
      </w:pPr>
      <w:r>
        <w:rPr>
          <w:rFonts w:asciiTheme="minorHAnsi" w:hAnsiTheme="minorHAnsi"/>
          <w:b/>
        </w:rPr>
        <w:t>Key issues and solutions</w:t>
      </w:r>
    </w:p>
    <w:p w:rsidR="00971AC7" w:rsidRDefault="00971AC7" w:rsidP="009853D9">
      <w:pPr>
        <w:rPr>
          <w:rFonts w:asciiTheme="minorHAnsi" w:hAnsiTheme="minorHAnsi"/>
        </w:rPr>
      </w:pPr>
    </w:p>
    <w:p w:rsidR="00971AC7" w:rsidRDefault="00971AC7" w:rsidP="009853D9">
      <w:pPr>
        <w:rPr>
          <w:rFonts w:asciiTheme="minorHAnsi" w:hAnsiTheme="minorHAnsi"/>
        </w:rPr>
      </w:pPr>
      <w:r>
        <w:rPr>
          <w:rFonts w:asciiTheme="minorHAnsi" w:hAnsiTheme="minorHAnsi"/>
        </w:rPr>
        <w:t xml:space="preserve">SSP3 </w:t>
      </w:r>
      <w:r w:rsidR="0051540F">
        <w:rPr>
          <w:rFonts w:asciiTheme="minorHAnsi" w:hAnsiTheme="minorHAnsi"/>
        </w:rPr>
        <w:t>–</w:t>
      </w:r>
      <w:r>
        <w:rPr>
          <w:rFonts w:asciiTheme="minorHAnsi" w:hAnsiTheme="minorHAnsi"/>
        </w:rPr>
        <w:t xml:space="preserve"> Icarus</w:t>
      </w:r>
    </w:p>
    <w:p w:rsidR="0051540F" w:rsidRDefault="0051540F" w:rsidP="009853D9">
      <w:pPr>
        <w:rPr>
          <w:rFonts w:asciiTheme="minorHAnsi" w:hAnsiTheme="minorHAnsi"/>
        </w:rPr>
      </w:pPr>
      <w:r>
        <w:rPr>
          <w:rFonts w:asciiTheme="minorHAnsi" w:hAnsiTheme="minorHAnsi"/>
        </w:rPr>
        <w:t>The most important mismatch between global SSP3 and Icarus was the ending of Icarus that offers a change of direction and counter movements in Europe towards 2050. This does not match the gradual downward spiral of SSP3 until the end of century. The ending of Icarus was therefore adapted with counter movements appearing later (around 2070) and their effect being temporary.  The new ending emphasises that ‘</w:t>
      </w:r>
      <w:r w:rsidRPr="0051540F">
        <w:rPr>
          <w:rFonts w:asciiTheme="minorHAnsi" w:hAnsiTheme="minorHAnsi"/>
        </w:rPr>
        <w:t>Europe is not worse off than the rest of the world</w:t>
      </w:r>
      <w:r>
        <w:rPr>
          <w:rFonts w:asciiTheme="minorHAnsi" w:hAnsiTheme="minorHAnsi"/>
        </w:rPr>
        <w:t>…’ in the spirit of the global SSP3 rather than Icarus.</w:t>
      </w:r>
    </w:p>
    <w:p w:rsidR="000F468C" w:rsidRDefault="000F468C" w:rsidP="009853D9">
      <w:pPr>
        <w:rPr>
          <w:rFonts w:asciiTheme="minorHAnsi" w:hAnsiTheme="minorHAnsi"/>
        </w:rPr>
      </w:pPr>
    </w:p>
    <w:p w:rsidR="000F468C" w:rsidRDefault="000F468C" w:rsidP="009853D9">
      <w:pPr>
        <w:rPr>
          <w:rFonts w:asciiTheme="minorHAnsi" w:hAnsiTheme="minorHAnsi"/>
        </w:rPr>
      </w:pPr>
      <w:r>
        <w:rPr>
          <w:rFonts w:asciiTheme="minorHAnsi" w:hAnsiTheme="minorHAnsi"/>
        </w:rPr>
        <w:t>SSP4 – Riders on the Storm</w:t>
      </w:r>
    </w:p>
    <w:p w:rsidR="000F468C" w:rsidRDefault="000F468C" w:rsidP="009853D9">
      <w:pPr>
        <w:rPr>
          <w:rFonts w:asciiTheme="minorHAnsi" w:hAnsiTheme="minorHAnsi"/>
        </w:rPr>
      </w:pPr>
      <w:r>
        <w:rPr>
          <w:rFonts w:asciiTheme="minorHAnsi" w:hAnsiTheme="minorHAnsi"/>
        </w:rPr>
        <w:t xml:space="preserve">The most important mismatch between global SSP4 and Riders on the Storm was the low political and economic power of the “haves” (in ROTS) as compared to the powerful green elite in SSP4. The text of Riders on the Storm was first simplified and then expanded to match the assumptions of the global SSP4. The main thrust of the Eur-SSP4 is one with in which </w:t>
      </w:r>
      <w:r w:rsidRPr="000F468C">
        <w:rPr>
          <w:rFonts w:asciiTheme="minorHAnsi" w:hAnsiTheme="minorHAnsi"/>
        </w:rPr>
        <w:t>Europe is an important player in a world full of tensions</w:t>
      </w:r>
      <w:r>
        <w:rPr>
          <w:rFonts w:asciiTheme="minorHAnsi" w:hAnsiTheme="minorHAnsi"/>
        </w:rPr>
        <w:t>, with a more related more positive economic outlook. Most adaptations were needed in the trends of quantifiable model variables. Assumptions related to Financial capital, food imports, and agricultural yields were adapted upwards.</w:t>
      </w:r>
    </w:p>
    <w:p w:rsidR="000F468C" w:rsidRDefault="000F468C" w:rsidP="009853D9">
      <w:pPr>
        <w:rPr>
          <w:rFonts w:asciiTheme="minorHAnsi" w:hAnsiTheme="minorHAnsi"/>
        </w:rPr>
      </w:pPr>
    </w:p>
    <w:p w:rsidR="000F468C" w:rsidRDefault="000F468C" w:rsidP="009853D9">
      <w:pPr>
        <w:rPr>
          <w:rFonts w:asciiTheme="minorHAnsi" w:hAnsiTheme="minorHAnsi"/>
        </w:rPr>
      </w:pPr>
      <w:r>
        <w:rPr>
          <w:rFonts w:asciiTheme="minorHAnsi" w:hAnsiTheme="minorHAnsi"/>
        </w:rPr>
        <w:t>SSP5 – Should I Stay or Should I Go?</w:t>
      </w:r>
    </w:p>
    <w:p w:rsidR="000F468C" w:rsidRDefault="000F468C" w:rsidP="009853D9">
      <w:pPr>
        <w:rPr>
          <w:rFonts w:asciiTheme="minorHAnsi" w:hAnsiTheme="minorHAnsi"/>
        </w:rPr>
      </w:pPr>
      <w:r>
        <w:rPr>
          <w:rFonts w:asciiTheme="minorHAnsi" w:hAnsiTheme="minorHAnsi"/>
        </w:rPr>
        <w:t>Fundamental differences lead to the choice to refrain from using the European scenario, but rather develop a new European outlook based on the global SSP5. The global narrative was used as a starting point, including where possible aspects of the European Should I Stay scenario. This relates mostly to the depletion of natural resources.</w:t>
      </w:r>
    </w:p>
    <w:p w:rsidR="0011794F" w:rsidRDefault="0011794F">
      <w:pPr>
        <w:rPr>
          <w:rFonts w:asciiTheme="minorHAnsi" w:hAnsiTheme="minorHAnsi"/>
        </w:rPr>
      </w:pPr>
      <w:r>
        <w:rPr>
          <w:rFonts w:asciiTheme="minorHAnsi" w:hAnsiTheme="minorHAnsi"/>
        </w:rPr>
        <w:br w:type="page"/>
      </w:r>
    </w:p>
    <w:p w:rsidR="0011794F" w:rsidRDefault="00390617" w:rsidP="00B906B9">
      <w:pPr>
        <w:rPr>
          <w:rFonts w:ascii="Calibri" w:hAnsi="Calibri"/>
          <w:b/>
        </w:rPr>
      </w:pPr>
      <w:r>
        <w:rPr>
          <w:rFonts w:ascii="Calibri" w:hAnsi="Calibri"/>
          <w:b/>
        </w:rPr>
        <w:lastRenderedPageBreak/>
        <w:t>ESM10</w:t>
      </w:r>
      <w:r w:rsidR="0011794F">
        <w:rPr>
          <w:rFonts w:ascii="Calibri" w:hAnsi="Calibri"/>
          <w:b/>
        </w:rPr>
        <w:t xml:space="preserve"> Quantifiable information in the Eur-SSPs</w:t>
      </w:r>
    </w:p>
    <w:p w:rsidR="0011794F" w:rsidRDefault="0011794F" w:rsidP="00B906B9">
      <w:pPr>
        <w:rPr>
          <w:rFonts w:ascii="Calibri" w:hAnsi="Calibri"/>
        </w:rPr>
      </w:pPr>
      <w:r>
        <w:rPr>
          <w:rFonts w:ascii="Calibri" w:hAnsi="Calibri"/>
        </w:rPr>
        <w:t xml:space="preserve">The estimated trends for a selected number of model variables for three time slices are presented in Table </w:t>
      </w:r>
      <w:r w:rsidR="00390617">
        <w:rPr>
          <w:rFonts w:ascii="Calibri" w:hAnsi="Calibri"/>
        </w:rPr>
        <w:t>ESM6</w:t>
      </w:r>
      <w:r>
        <w:rPr>
          <w:rFonts w:ascii="Calibri" w:hAnsi="Calibri"/>
        </w:rPr>
        <w:t>. For more information on how these trends were derived and how they were translated from qualitative directions of change to actual numbers, we refer to Pedde et al. (under review).</w:t>
      </w:r>
    </w:p>
    <w:p w:rsidR="0011794F" w:rsidRDefault="0011794F" w:rsidP="00B906B9">
      <w:pPr>
        <w:rPr>
          <w:rFonts w:ascii="Calibri" w:hAnsi="Calibri"/>
        </w:rPr>
      </w:pPr>
    </w:p>
    <w:p w:rsidR="0011794F" w:rsidRPr="00F3507D" w:rsidRDefault="00390617" w:rsidP="0011794F">
      <w:pPr>
        <w:rPr>
          <w:rFonts w:ascii="Calibri" w:hAnsi="Calibri"/>
        </w:rPr>
      </w:pPr>
      <w:r>
        <w:rPr>
          <w:rFonts w:ascii="Calibri" w:hAnsi="Calibri"/>
        </w:rPr>
        <w:t>Table ESM6</w:t>
      </w:r>
      <w:r w:rsidR="0011794F">
        <w:rPr>
          <w:rFonts w:ascii="Calibri" w:hAnsi="Calibri"/>
        </w:rPr>
        <w:t xml:space="preserve">. Trends per time slice (2010-2040; 2040-2070; 2070-2100) for most important model variables. 0 indicates no change; +/++/+++ indicate low/medium/high increase as compared to 2010; -/--/--- indicate low/medium/high decrease compared to 2010. </w:t>
      </w:r>
    </w:p>
    <w:p w:rsidR="0011794F" w:rsidRDefault="0011794F" w:rsidP="0011794F">
      <w:pPr>
        <w:rPr>
          <w:rFonts w:ascii="Calibri" w:hAnsi="Calibri"/>
          <w:b/>
        </w:rPr>
      </w:pPr>
    </w:p>
    <w:tbl>
      <w:tblPr>
        <w:tblStyle w:val="TableGrid"/>
        <w:tblpPr w:leftFromText="181" w:rightFromText="181" w:vertAnchor="text" w:horzAnchor="margin" w:tblpY="-269"/>
        <w:tblOverlap w:val="never"/>
        <w:tblW w:w="0" w:type="auto"/>
        <w:tblLook w:val="04A0" w:firstRow="1" w:lastRow="0" w:firstColumn="1" w:lastColumn="0" w:noHBand="0" w:noVBand="1"/>
      </w:tblPr>
      <w:tblGrid>
        <w:gridCol w:w="2362"/>
        <w:gridCol w:w="1673"/>
        <w:gridCol w:w="1687"/>
        <w:gridCol w:w="1763"/>
        <w:gridCol w:w="1577"/>
      </w:tblGrid>
      <w:tr w:rsidR="0011794F" w:rsidRPr="00D67B9A" w:rsidTr="003A289B">
        <w:tc>
          <w:tcPr>
            <w:tcW w:w="2413"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b/>
                <w:sz w:val="18"/>
                <w:szCs w:val="18"/>
                <w:lang w:val="en-GB"/>
              </w:rPr>
            </w:pPr>
            <w:r>
              <w:rPr>
                <w:rFonts w:asciiTheme="minorHAnsi" w:hAnsiTheme="minorHAnsi" w:cs="Arial"/>
                <w:b/>
                <w:sz w:val="18"/>
                <w:szCs w:val="18"/>
                <w:lang w:val="en-GB"/>
              </w:rPr>
              <w:t>Model variables</w:t>
            </w:r>
          </w:p>
        </w:tc>
        <w:tc>
          <w:tcPr>
            <w:tcW w:w="1712" w:type="dxa"/>
            <w:tcBorders>
              <w:top w:val="single" w:sz="4" w:space="0" w:color="auto"/>
              <w:left w:val="single" w:sz="4" w:space="0" w:color="auto"/>
              <w:bottom w:val="single" w:sz="4" w:space="0" w:color="auto"/>
              <w:right w:val="single" w:sz="4" w:space="0" w:color="auto"/>
            </w:tcBorders>
            <w:hideMark/>
          </w:tcPr>
          <w:p w:rsidR="0011794F" w:rsidRDefault="0011794F" w:rsidP="003A289B">
            <w:pPr>
              <w:rPr>
                <w:rFonts w:asciiTheme="minorHAnsi" w:hAnsiTheme="minorHAnsi" w:cs="Arial"/>
                <w:b/>
                <w:sz w:val="18"/>
                <w:szCs w:val="18"/>
                <w:lang w:val="en-GB"/>
              </w:rPr>
            </w:pPr>
            <w:r>
              <w:rPr>
                <w:rFonts w:asciiTheme="minorHAnsi" w:hAnsiTheme="minorHAnsi" w:cs="Arial"/>
                <w:b/>
                <w:sz w:val="18"/>
                <w:szCs w:val="18"/>
                <w:lang w:val="en-GB"/>
              </w:rPr>
              <w:t>Eu-</w:t>
            </w:r>
            <w:r w:rsidRPr="00D67B9A">
              <w:rPr>
                <w:rFonts w:asciiTheme="minorHAnsi" w:hAnsiTheme="minorHAnsi" w:cs="Arial"/>
                <w:b/>
                <w:sz w:val="18"/>
                <w:szCs w:val="18"/>
                <w:lang w:val="en-GB"/>
              </w:rPr>
              <w:t>SSP1</w:t>
            </w:r>
          </w:p>
          <w:p w:rsidR="0011794F" w:rsidRPr="00D67B9A" w:rsidRDefault="0011794F" w:rsidP="003A289B">
            <w:pPr>
              <w:rPr>
                <w:rFonts w:asciiTheme="minorHAnsi" w:hAnsiTheme="minorHAnsi" w:cs="Arial"/>
                <w:b/>
                <w:sz w:val="18"/>
                <w:szCs w:val="18"/>
                <w:lang w:val="en-GB"/>
              </w:rPr>
            </w:pPr>
            <w:r>
              <w:rPr>
                <w:rFonts w:asciiTheme="minorHAnsi" w:hAnsiTheme="minorHAnsi" w:cs="Arial"/>
                <w:b/>
                <w:sz w:val="18"/>
                <w:szCs w:val="18"/>
                <w:lang w:val="en-GB"/>
              </w:rPr>
              <w:t>We are the W</w:t>
            </w:r>
            <w:r w:rsidRPr="00D67B9A">
              <w:rPr>
                <w:rFonts w:asciiTheme="minorHAnsi" w:hAnsiTheme="minorHAnsi" w:cs="Arial"/>
                <w:b/>
                <w:sz w:val="18"/>
                <w:szCs w:val="18"/>
                <w:lang w:val="en-GB"/>
              </w:rPr>
              <w:t>orld</w:t>
            </w:r>
          </w:p>
        </w:tc>
        <w:tc>
          <w:tcPr>
            <w:tcW w:w="1724" w:type="dxa"/>
            <w:tcBorders>
              <w:top w:val="single" w:sz="4" w:space="0" w:color="auto"/>
              <w:left w:val="single" w:sz="4" w:space="0" w:color="auto"/>
              <w:bottom w:val="single" w:sz="4" w:space="0" w:color="auto"/>
              <w:right w:val="single" w:sz="4" w:space="0" w:color="auto"/>
            </w:tcBorders>
            <w:hideMark/>
          </w:tcPr>
          <w:p w:rsidR="0011794F" w:rsidRDefault="0011794F" w:rsidP="003A289B">
            <w:pPr>
              <w:rPr>
                <w:rFonts w:asciiTheme="minorHAnsi" w:hAnsiTheme="minorHAnsi" w:cs="Arial"/>
                <w:b/>
                <w:sz w:val="18"/>
                <w:szCs w:val="18"/>
                <w:lang w:val="en-GB"/>
              </w:rPr>
            </w:pPr>
            <w:r>
              <w:rPr>
                <w:rFonts w:asciiTheme="minorHAnsi" w:hAnsiTheme="minorHAnsi" w:cs="Arial"/>
                <w:b/>
                <w:sz w:val="18"/>
                <w:szCs w:val="18"/>
                <w:lang w:val="en-GB"/>
              </w:rPr>
              <w:t>Eu-SSP3</w:t>
            </w:r>
          </w:p>
          <w:p w:rsidR="0011794F" w:rsidRPr="00D67B9A" w:rsidRDefault="0011794F" w:rsidP="003A289B">
            <w:pPr>
              <w:rPr>
                <w:rFonts w:asciiTheme="minorHAnsi" w:hAnsiTheme="minorHAnsi" w:cs="Arial"/>
                <w:b/>
                <w:sz w:val="18"/>
                <w:szCs w:val="18"/>
                <w:lang w:val="en-GB"/>
              </w:rPr>
            </w:pPr>
            <w:r>
              <w:rPr>
                <w:rFonts w:asciiTheme="minorHAnsi" w:hAnsiTheme="minorHAnsi" w:cs="Arial"/>
                <w:b/>
                <w:sz w:val="18"/>
                <w:szCs w:val="18"/>
                <w:lang w:val="en-GB"/>
              </w:rPr>
              <w:t>Icarus</w:t>
            </w:r>
          </w:p>
        </w:tc>
        <w:tc>
          <w:tcPr>
            <w:tcW w:w="1799" w:type="dxa"/>
            <w:tcBorders>
              <w:top w:val="single" w:sz="4" w:space="0" w:color="auto"/>
              <w:left w:val="single" w:sz="4" w:space="0" w:color="auto"/>
              <w:bottom w:val="single" w:sz="4" w:space="0" w:color="auto"/>
              <w:right w:val="single" w:sz="4" w:space="0" w:color="auto"/>
            </w:tcBorders>
            <w:hideMark/>
          </w:tcPr>
          <w:p w:rsidR="0011794F" w:rsidRDefault="0011794F" w:rsidP="003A289B">
            <w:pPr>
              <w:rPr>
                <w:rFonts w:asciiTheme="minorHAnsi" w:hAnsiTheme="minorHAnsi" w:cs="Arial"/>
                <w:b/>
                <w:sz w:val="18"/>
                <w:szCs w:val="18"/>
                <w:lang w:val="en-GB"/>
              </w:rPr>
            </w:pPr>
            <w:r>
              <w:rPr>
                <w:rFonts w:asciiTheme="minorHAnsi" w:hAnsiTheme="minorHAnsi" w:cs="Arial"/>
                <w:b/>
                <w:sz w:val="18"/>
                <w:szCs w:val="18"/>
                <w:lang w:val="en-GB"/>
              </w:rPr>
              <w:t>Eu-SSP4</w:t>
            </w:r>
          </w:p>
          <w:p w:rsidR="0011794F" w:rsidRPr="00D67B9A" w:rsidRDefault="0011794F" w:rsidP="003A289B">
            <w:pPr>
              <w:rPr>
                <w:rFonts w:asciiTheme="minorHAnsi" w:hAnsiTheme="minorHAnsi" w:cs="Arial"/>
                <w:b/>
                <w:sz w:val="18"/>
                <w:szCs w:val="18"/>
                <w:vertAlign w:val="superscript"/>
                <w:lang w:val="en-GB"/>
              </w:rPr>
            </w:pPr>
            <w:r w:rsidRPr="00D67B9A">
              <w:rPr>
                <w:rFonts w:asciiTheme="minorHAnsi" w:hAnsiTheme="minorHAnsi" w:cs="Arial"/>
                <w:b/>
                <w:sz w:val="18"/>
                <w:szCs w:val="18"/>
                <w:lang w:val="en-GB"/>
              </w:rPr>
              <w:t>Riders on the Storm</w:t>
            </w:r>
          </w:p>
        </w:tc>
        <w:tc>
          <w:tcPr>
            <w:tcW w:w="1595" w:type="dxa"/>
            <w:tcBorders>
              <w:top w:val="single" w:sz="4" w:space="0" w:color="auto"/>
              <w:left w:val="single" w:sz="4" w:space="0" w:color="auto"/>
              <w:bottom w:val="single" w:sz="4" w:space="0" w:color="auto"/>
              <w:right w:val="single" w:sz="4" w:space="0" w:color="auto"/>
            </w:tcBorders>
            <w:hideMark/>
          </w:tcPr>
          <w:p w:rsidR="0011794F" w:rsidRDefault="0011794F" w:rsidP="003A289B">
            <w:pPr>
              <w:rPr>
                <w:rFonts w:asciiTheme="minorHAnsi" w:hAnsiTheme="minorHAnsi" w:cs="Arial"/>
                <w:b/>
                <w:sz w:val="18"/>
                <w:szCs w:val="18"/>
                <w:lang w:val="en-GB"/>
              </w:rPr>
            </w:pPr>
            <w:r>
              <w:rPr>
                <w:rFonts w:asciiTheme="minorHAnsi" w:hAnsiTheme="minorHAnsi" w:cs="Arial"/>
                <w:b/>
                <w:sz w:val="18"/>
                <w:szCs w:val="18"/>
                <w:lang w:val="en-GB"/>
              </w:rPr>
              <w:t>Eu-</w:t>
            </w:r>
            <w:r w:rsidRPr="00D67B9A">
              <w:rPr>
                <w:rFonts w:asciiTheme="minorHAnsi" w:hAnsiTheme="minorHAnsi" w:cs="Arial"/>
                <w:b/>
                <w:sz w:val="18"/>
                <w:szCs w:val="18"/>
                <w:lang w:val="en-GB"/>
              </w:rPr>
              <w:t>SSP5</w:t>
            </w:r>
          </w:p>
          <w:p w:rsidR="0011794F" w:rsidRPr="00D67B9A" w:rsidRDefault="0011794F" w:rsidP="003A289B">
            <w:pPr>
              <w:rPr>
                <w:rFonts w:asciiTheme="minorHAnsi" w:hAnsiTheme="minorHAnsi" w:cs="Arial"/>
                <w:b/>
                <w:sz w:val="18"/>
                <w:szCs w:val="18"/>
                <w:vertAlign w:val="superscript"/>
                <w:lang w:val="en-GB"/>
              </w:rPr>
            </w:pPr>
            <w:r>
              <w:rPr>
                <w:rFonts w:asciiTheme="minorHAnsi" w:hAnsiTheme="minorHAnsi" w:cs="Arial"/>
                <w:b/>
                <w:sz w:val="18"/>
                <w:szCs w:val="18"/>
                <w:lang w:val="en-GB"/>
              </w:rPr>
              <w:t>Fossil fuelled Development</w:t>
            </w: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Water savings due to behavioural change</w:t>
            </w:r>
          </w:p>
        </w:tc>
        <w:tc>
          <w:tcPr>
            <w:tcW w:w="1712"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 ++</w:t>
            </w:r>
          </w:p>
        </w:tc>
        <w:tc>
          <w:tcPr>
            <w:tcW w:w="1724"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0,0,0</w:t>
            </w:r>
          </w:p>
        </w:tc>
        <w:tc>
          <w:tcPr>
            <w:tcW w:w="1799"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0,0,0</w:t>
            </w:r>
          </w:p>
        </w:tc>
        <w:tc>
          <w:tcPr>
            <w:tcW w:w="1595"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0, -</w:t>
            </w:r>
          </w:p>
        </w:tc>
      </w:tr>
      <w:tr w:rsidR="0011794F" w:rsidRPr="00D67B9A" w:rsidTr="003A289B">
        <w:trPr>
          <w:trHeight w:val="195"/>
        </w:trPr>
        <w:tc>
          <w:tcPr>
            <w:tcW w:w="2413"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Meat consumption</w:t>
            </w:r>
          </w:p>
        </w:tc>
        <w:tc>
          <w:tcPr>
            <w:tcW w:w="1712"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 --</w:t>
            </w:r>
          </w:p>
        </w:tc>
        <w:tc>
          <w:tcPr>
            <w:tcW w:w="1724"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0,0,-</w:t>
            </w:r>
          </w:p>
        </w:tc>
        <w:tc>
          <w:tcPr>
            <w:tcW w:w="1799"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0,0,-</w:t>
            </w:r>
          </w:p>
        </w:tc>
        <w:tc>
          <w:tcPr>
            <w:tcW w:w="1595"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18"/>
                <w:szCs w:val="18"/>
                <w:lang w:val="en-GB"/>
              </w:rPr>
            </w:pPr>
            <w:r>
              <w:rPr>
                <w:rFonts w:asciiTheme="minorHAnsi" w:hAnsiTheme="minorHAnsi" w:cs="Arial"/>
                <w:sz w:val="20"/>
                <w:szCs w:val="20"/>
                <w:lang w:val="en-GB"/>
              </w:rPr>
              <w:t>+, ++, ++</w:t>
            </w: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Household externalities</w:t>
            </w:r>
          </w:p>
        </w:tc>
        <w:tc>
          <w:tcPr>
            <w:tcW w:w="1712"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 --</w:t>
            </w:r>
          </w:p>
        </w:tc>
        <w:tc>
          <w:tcPr>
            <w:tcW w:w="1724"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w:t>
            </w:r>
          </w:p>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No change in North</w:t>
            </w:r>
            <w:r>
              <w:rPr>
                <w:rFonts w:asciiTheme="minorHAnsi" w:hAnsiTheme="minorHAnsi" w:cs="Arial"/>
                <w:sz w:val="20"/>
                <w:szCs w:val="20"/>
                <w:lang w:val="en-GB"/>
              </w:rPr>
              <w:t>ern</w:t>
            </w:r>
            <w:r w:rsidRPr="00D67B9A">
              <w:rPr>
                <w:rFonts w:asciiTheme="minorHAnsi" w:hAnsiTheme="minorHAnsi" w:cs="Arial"/>
                <w:sz w:val="20"/>
                <w:szCs w:val="20"/>
                <w:lang w:val="en-GB"/>
              </w:rPr>
              <w:t xml:space="preserve"> Europe</w:t>
            </w:r>
          </w:p>
        </w:tc>
        <w:tc>
          <w:tcPr>
            <w:tcW w:w="1799"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 xml:space="preserve"> </w:t>
            </w:r>
            <w:r>
              <w:rPr>
                <w:rFonts w:asciiTheme="minorHAnsi" w:hAnsiTheme="minorHAnsi" w:cs="Arial"/>
                <w:sz w:val="20"/>
                <w:szCs w:val="20"/>
                <w:lang w:val="en-GB"/>
              </w:rPr>
              <w:t>0, -, -</w:t>
            </w:r>
          </w:p>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Stable North</w:t>
            </w:r>
            <w:r>
              <w:rPr>
                <w:rFonts w:asciiTheme="minorHAnsi" w:hAnsiTheme="minorHAnsi" w:cs="Arial"/>
                <w:sz w:val="20"/>
                <w:szCs w:val="20"/>
                <w:lang w:val="en-GB"/>
              </w:rPr>
              <w:t>ern and Western</w:t>
            </w:r>
            <w:r w:rsidRPr="00D67B9A">
              <w:rPr>
                <w:rFonts w:asciiTheme="minorHAnsi" w:hAnsiTheme="minorHAnsi" w:cs="Arial"/>
                <w:sz w:val="20"/>
                <w:szCs w:val="20"/>
                <w:lang w:val="en-GB"/>
              </w:rPr>
              <w:t xml:space="preserve"> Europe </w:t>
            </w:r>
          </w:p>
        </w:tc>
        <w:tc>
          <w:tcPr>
            <w:tcW w:w="1595"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18"/>
                <w:szCs w:val="18"/>
                <w:lang w:val="en-GB"/>
              </w:rPr>
            </w:pPr>
            <w:r>
              <w:rPr>
                <w:rFonts w:asciiTheme="minorHAnsi" w:hAnsiTheme="minorHAnsi" w:cs="Arial"/>
                <w:sz w:val="20"/>
                <w:szCs w:val="20"/>
                <w:lang w:val="en-GB"/>
              </w:rPr>
              <w:t>0, -, --</w:t>
            </w: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Water savings due to technological change</w:t>
            </w:r>
          </w:p>
        </w:tc>
        <w:tc>
          <w:tcPr>
            <w:tcW w:w="1712"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 ++</w:t>
            </w:r>
          </w:p>
          <w:p w:rsidR="0011794F" w:rsidRPr="00D67B9A" w:rsidRDefault="0011794F" w:rsidP="003A289B">
            <w:pPr>
              <w:rPr>
                <w:rFonts w:asciiTheme="minorHAnsi" w:hAnsiTheme="minorHAnsi" w:cs="Arial"/>
                <w:sz w:val="20"/>
                <w:szCs w:val="20"/>
                <w:lang w:val="en-GB"/>
              </w:rPr>
            </w:pPr>
          </w:p>
        </w:tc>
        <w:tc>
          <w:tcPr>
            <w:tcW w:w="1724"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 0</w:t>
            </w:r>
          </w:p>
        </w:tc>
        <w:tc>
          <w:tcPr>
            <w:tcW w:w="1799"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 +</w:t>
            </w:r>
          </w:p>
          <w:p w:rsidR="0011794F" w:rsidRPr="00D67B9A" w:rsidRDefault="0011794F" w:rsidP="003A289B">
            <w:pPr>
              <w:rPr>
                <w:rFonts w:asciiTheme="minorHAnsi" w:hAnsiTheme="minorHAnsi" w:cs="Arial"/>
                <w:sz w:val="20"/>
                <w:szCs w:val="20"/>
                <w:lang w:val="en-GB"/>
              </w:rPr>
            </w:pPr>
          </w:p>
        </w:tc>
        <w:tc>
          <w:tcPr>
            <w:tcW w:w="1595"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 +, +</w:t>
            </w:r>
          </w:p>
          <w:p w:rsidR="0011794F" w:rsidRPr="00D67B9A" w:rsidRDefault="0011794F" w:rsidP="003A289B">
            <w:pPr>
              <w:rPr>
                <w:rFonts w:asciiTheme="minorHAnsi" w:hAnsiTheme="minorHAnsi" w:cs="Arial"/>
                <w:sz w:val="18"/>
                <w:szCs w:val="18"/>
                <w:lang w:val="en-GB"/>
              </w:rPr>
            </w:pP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Set aside</w:t>
            </w:r>
            <w:r>
              <w:rPr>
                <w:rFonts w:asciiTheme="minorHAnsi" w:hAnsiTheme="minorHAnsi" w:cs="Arial"/>
                <w:sz w:val="20"/>
                <w:szCs w:val="20"/>
                <w:lang w:val="en-GB"/>
              </w:rPr>
              <w:t xml:space="preserve"> land</w:t>
            </w:r>
          </w:p>
        </w:tc>
        <w:tc>
          <w:tcPr>
            <w:tcW w:w="1712"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 ++</w:t>
            </w:r>
          </w:p>
          <w:p w:rsidR="0011794F" w:rsidRPr="00D67B9A" w:rsidRDefault="0011794F" w:rsidP="003A289B">
            <w:pPr>
              <w:rPr>
                <w:rFonts w:asciiTheme="minorHAnsi" w:hAnsiTheme="minorHAnsi" w:cs="Arial"/>
                <w:sz w:val="20"/>
                <w:szCs w:val="20"/>
                <w:lang w:val="en-GB"/>
              </w:rPr>
            </w:pPr>
          </w:p>
        </w:tc>
        <w:tc>
          <w:tcPr>
            <w:tcW w:w="1724"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0, -</w:t>
            </w:r>
          </w:p>
        </w:tc>
        <w:tc>
          <w:tcPr>
            <w:tcW w:w="1799"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 +</w:t>
            </w:r>
          </w:p>
          <w:p w:rsidR="0011794F" w:rsidRPr="00D67B9A" w:rsidRDefault="0011794F" w:rsidP="003A289B">
            <w:pPr>
              <w:rPr>
                <w:rFonts w:asciiTheme="minorHAnsi" w:hAnsiTheme="minorHAnsi" w:cs="Arial"/>
                <w:sz w:val="18"/>
                <w:szCs w:val="18"/>
                <w:lang w:val="en-GB"/>
              </w:rPr>
            </w:pPr>
          </w:p>
        </w:tc>
        <w:tc>
          <w:tcPr>
            <w:tcW w:w="1595"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18"/>
                <w:szCs w:val="18"/>
                <w:lang w:val="en-GB"/>
              </w:rPr>
            </w:pPr>
            <w:r>
              <w:rPr>
                <w:rFonts w:asciiTheme="minorHAnsi" w:hAnsiTheme="minorHAnsi" w:cs="Arial"/>
                <w:sz w:val="18"/>
                <w:szCs w:val="18"/>
                <w:lang w:val="en-GB"/>
              </w:rPr>
              <w:t xml:space="preserve">-,--,-- </w:t>
            </w:r>
            <w:r w:rsidRPr="00D67B9A">
              <w:rPr>
                <w:rFonts w:asciiTheme="minorHAnsi" w:hAnsiTheme="minorHAnsi" w:cs="Arial"/>
                <w:sz w:val="18"/>
                <w:szCs w:val="18"/>
                <w:lang w:val="en-GB"/>
              </w:rPr>
              <w:t xml:space="preserve"> </w:t>
            </w: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Attractiveness of the coast</w:t>
            </w:r>
          </w:p>
        </w:tc>
        <w:tc>
          <w:tcPr>
            <w:tcW w:w="1712"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 --</w:t>
            </w:r>
          </w:p>
          <w:p w:rsidR="0011794F" w:rsidRPr="00D67B9A" w:rsidRDefault="0011794F" w:rsidP="003A289B">
            <w:pPr>
              <w:rPr>
                <w:rFonts w:asciiTheme="minorHAnsi" w:hAnsiTheme="minorHAnsi" w:cs="Arial"/>
                <w:sz w:val="20"/>
                <w:szCs w:val="20"/>
                <w:lang w:val="en-GB"/>
              </w:rPr>
            </w:pPr>
          </w:p>
        </w:tc>
        <w:tc>
          <w:tcPr>
            <w:tcW w:w="1724"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w:t>
            </w:r>
          </w:p>
        </w:tc>
        <w:tc>
          <w:tcPr>
            <w:tcW w:w="1799"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lang w:val="en-GB"/>
              </w:rPr>
            </w:pPr>
            <w:r>
              <w:rPr>
                <w:rFonts w:asciiTheme="minorHAnsi" w:hAnsiTheme="minorHAnsi" w:cs="Arial"/>
                <w:sz w:val="20"/>
                <w:szCs w:val="20"/>
                <w:lang w:val="en-GB"/>
              </w:rPr>
              <w:t>0, -, 0</w:t>
            </w:r>
            <w:r w:rsidRPr="00D67B9A">
              <w:rPr>
                <w:rFonts w:asciiTheme="minorHAnsi" w:hAnsiTheme="minorHAnsi" w:cs="Arial"/>
                <w:sz w:val="20"/>
                <w:szCs w:val="20"/>
                <w:lang w:val="en-GB"/>
              </w:rPr>
              <w:t xml:space="preserve"> </w:t>
            </w:r>
          </w:p>
          <w:p w:rsidR="0011794F" w:rsidRPr="00D67B9A" w:rsidRDefault="0011794F" w:rsidP="003A289B">
            <w:pPr>
              <w:rPr>
                <w:rFonts w:asciiTheme="minorHAnsi" w:hAnsiTheme="minorHAnsi" w:cs="Arial"/>
                <w:sz w:val="18"/>
                <w:szCs w:val="18"/>
                <w:lang w:val="en-GB"/>
              </w:rPr>
            </w:pPr>
            <w:r>
              <w:rPr>
                <w:rFonts w:asciiTheme="minorHAnsi" w:hAnsiTheme="minorHAnsi" w:cs="Arial"/>
                <w:sz w:val="20"/>
                <w:szCs w:val="20"/>
                <w:lang w:val="en-GB"/>
              </w:rPr>
              <w:t>Elites limit access</w:t>
            </w:r>
            <w:r w:rsidRPr="00D67B9A">
              <w:rPr>
                <w:rFonts w:asciiTheme="minorHAnsi" w:hAnsiTheme="minorHAnsi" w:cs="Arial"/>
                <w:sz w:val="20"/>
                <w:szCs w:val="20"/>
                <w:lang w:val="en-GB"/>
              </w:rPr>
              <w:t xml:space="preserve"> </w:t>
            </w:r>
          </w:p>
        </w:tc>
        <w:tc>
          <w:tcPr>
            <w:tcW w:w="1595"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18"/>
                <w:szCs w:val="18"/>
                <w:lang w:val="en-GB"/>
              </w:rPr>
            </w:pPr>
            <w:r>
              <w:rPr>
                <w:rFonts w:asciiTheme="minorHAnsi" w:hAnsiTheme="minorHAnsi" w:cs="Arial"/>
                <w:sz w:val="20"/>
                <w:szCs w:val="20"/>
                <w:lang w:val="en-GB"/>
              </w:rPr>
              <w:t>0, +, ++</w:t>
            </w: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rPr>
            </w:pPr>
            <w:r>
              <w:rPr>
                <w:rFonts w:asciiTheme="minorHAnsi" w:hAnsiTheme="minorHAnsi" w:cs="Arial"/>
                <w:sz w:val="20"/>
                <w:szCs w:val="20"/>
              </w:rPr>
              <w:t>Energy price</w:t>
            </w:r>
          </w:p>
        </w:tc>
        <w:tc>
          <w:tcPr>
            <w:tcW w:w="1712"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0,+,+</w:t>
            </w:r>
          </w:p>
        </w:tc>
        <w:tc>
          <w:tcPr>
            <w:tcW w:w="1724"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 ++, +++</w:t>
            </w:r>
          </w:p>
        </w:tc>
        <w:tc>
          <w:tcPr>
            <w:tcW w:w="1799"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c>
          <w:tcPr>
            <w:tcW w:w="1595"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rPr>
            </w:pPr>
            <w:r>
              <w:rPr>
                <w:rFonts w:asciiTheme="minorHAnsi" w:hAnsiTheme="minorHAnsi" w:cs="Arial"/>
                <w:sz w:val="20"/>
                <w:szCs w:val="20"/>
              </w:rPr>
              <w:t>A</w:t>
            </w:r>
            <w:r w:rsidRPr="000C4856">
              <w:rPr>
                <w:rFonts w:asciiTheme="minorHAnsi" w:hAnsiTheme="minorHAnsi" w:cs="Arial"/>
                <w:sz w:val="20"/>
                <w:szCs w:val="20"/>
              </w:rPr>
              <w:t>rable land used for biofuel production</w:t>
            </w:r>
          </w:p>
        </w:tc>
        <w:tc>
          <w:tcPr>
            <w:tcW w:w="1712"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0,+,+</w:t>
            </w:r>
          </w:p>
        </w:tc>
        <w:tc>
          <w:tcPr>
            <w:tcW w:w="1724"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0,0,0</w:t>
            </w:r>
          </w:p>
        </w:tc>
        <w:tc>
          <w:tcPr>
            <w:tcW w:w="1799"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0,+,+</w:t>
            </w:r>
          </w:p>
        </w:tc>
        <w:tc>
          <w:tcPr>
            <w:tcW w:w="1595"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rPr>
            </w:pPr>
            <w:r>
              <w:rPr>
                <w:rFonts w:asciiTheme="minorHAnsi" w:hAnsiTheme="minorHAnsi" w:cs="Arial"/>
                <w:sz w:val="20"/>
                <w:szCs w:val="20"/>
              </w:rPr>
              <w:t>Food imports</w:t>
            </w:r>
          </w:p>
        </w:tc>
        <w:tc>
          <w:tcPr>
            <w:tcW w:w="1712"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c>
          <w:tcPr>
            <w:tcW w:w="1724"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0,-,-</w:t>
            </w:r>
          </w:p>
        </w:tc>
        <w:tc>
          <w:tcPr>
            <w:tcW w:w="1799"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c>
          <w:tcPr>
            <w:tcW w:w="1595"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lang w:val="en-GB"/>
              </w:rPr>
              <w:t>½+, +,++</w:t>
            </w: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rPr>
            </w:pPr>
            <w:r>
              <w:rPr>
                <w:rFonts w:asciiTheme="minorHAnsi" w:hAnsiTheme="minorHAnsi" w:cs="Arial"/>
                <w:sz w:val="20"/>
                <w:szCs w:val="20"/>
              </w:rPr>
              <w:t>Agricultural yields</w:t>
            </w:r>
          </w:p>
        </w:tc>
        <w:tc>
          <w:tcPr>
            <w:tcW w:w="1712"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0,-,--</w:t>
            </w:r>
          </w:p>
        </w:tc>
        <w:tc>
          <w:tcPr>
            <w:tcW w:w="1724"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c>
          <w:tcPr>
            <w:tcW w:w="1799"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c>
          <w:tcPr>
            <w:tcW w:w="1595"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rPr>
            </w:pPr>
            <w:r>
              <w:rPr>
                <w:rFonts w:asciiTheme="minorHAnsi" w:hAnsiTheme="minorHAnsi" w:cs="Arial"/>
                <w:sz w:val="20"/>
                <w:szCs w:val="20"/>
              </w:rPr>
              <w:t>Irrigation efficiency</w:t>
            </w:r>
          </w:p>
        </w:tc>
        <w:tc>
          <w:tcPr>
            <w:tcW w:w="1712"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c>
          <w:tcPr>
            <w:tcW w:w="1724"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c>
          <w:tcPr>
            <w:tcW w:w="1799"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c>
          <w:tcPr>
            <w:tcW w:w="1595"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rPr>
            </w:pPr>
            <w:r>
              <w:rPr>
                <w:rFonts w:asciiTheme="minorHAnsi" w:hAnsiTheme="minorHAnsi" w:cs="Arial"/>
                <w:sz w:val="20"/>
                <w:szCs w:val="20"/>
              </w:rPr>
              <w:t>Agricultural mechanisation</w:t>
            </w:r>
          </w:p>
        </w:tc>
        <w:tc>
          <w:tcPr>
            <w:tcW w:w="1712"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c>
          <w:tcPr>
            <w:tcW w:w="1724"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c>
          <w:tcPr>
            <w:tcW w:w="1799"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c>
          <w:tcPr>
            <w:tcW w:w="1595"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rPr>
            </w:pPr>
            <w:r>
              <w:rPr>
                <w:rFonts w:asciiTheme="minorHAnsi" w:hAnsiTheme="minorHAnsi" w:cs="Arial"/>
                <w:sz w:val="20"/>
                <w:szCs w:val="20"/>
              </w:rPr>
              <w:t>+,++,+++</w:t>
            </w: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Human capital</w:t>
            </w:r>
          </w:p>
        </w:tc>
        <w:tc>
          <w:tcPr>
            <w:tcW w:w="1712"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 ++</w:t>
            </w:r>
          </w:p>
        </w:tc>
        <w:tc>
          <w:tcPr>
            <w:tcW w:w="1724"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w:t>
            </w:r>
          </w:p>
        </w:tc>
        <w:tc>
          <w:tcPr>
            <w:tcW w:w="1799"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lang w:val="en-GB"/>
              </w:rPr>
            </w:pPr>
            <w:r>
              <w:rPr>
                <w:rFonts w:asciiTheme="minorHAnsi" w:hAnsiTheme="minorHAnsi" w:cs="Arial"/>
                <w:sz w:val="20"/>
                <w:szCs w:val="20"/>
                <w:lang w:val="en-GB"/>
              </w:rPr>
              <w:t>0, -, 0</w:t>
            </w:r>
          </w:p>
          <w:p w:rsidR="0011794F" w:rsidRPr="00D67B9A" w:rsidRDefault="0011794F" w:rsidP="003A289B">
            <w:pPr>
              <w:rPr>
                <w:rFonts w:asciiTheme="minorHAnsi" w:hAnsiTheme="minorHAnsi" w:cs="Arial"/>
                <w:sz w:val="18"/>
                <w:szCs w:val="18"/>
                <w:lang w:val="en-GB"/>
              </w:rPr>
            </w:pPr>
            <w:r w:rsidRPr="00D67B9A">
              <w:rPr>
                <w:rFonts w:asciiTheme="minorHAnsi" w:hAnsiTheme="minorHAnsi" w:cs="Arial"/>
                <w:sz w:val="20"/>
                <w:szCs w:val="20"/>
                <w:lang w:val="en-GB"/>
              </w:rPr>
              <w:t>Middle class re-emerges</w:t>
            </w:r>
          </w:p>
        </w:tc>
        <w:tc>
          <w:tcPr>
            <w:tcW w:w="1595"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18"/>
                <w:szCs w:val="18"/>
                <w:lang w:val="en-GB"/>
              </w:rPr>
            </w:pPr>
            <w:r>
              <w:rPr>
                <w:rFonts w:asciiTheme="minorHAnsi" w:hAnsiTheme="minorHAnsi" w:cs="Arial"/>
                <w:sz w:val="20"/>
                <w:szCs w:val="20"/>
                <w:lang w:val="en-GB"/>
              </w:rPr>
              <w:t>+</w:t>
            </w:r>
            <w:r w:rsidRPr="00D67B9A">
              <w:rPr>
                <w:rFonts w:asciiTheme="minorHAnsi" w:hAnsiTheme="minorHAnsi" w:cs="Arial"/>
                <w:sz w:val="20"/>
                <w:szCs w:val="20"/>
                <w:lang w:val="en-GB"/>
              </w:rPr>
              <w:t xml:space="preserve">, </w:t>
            </w:r>
            <w:r>
              <w:rPr>
                <w:rFonts w:asciiTheme="minorHAnsi" w:hAnsiTheme="minorHAnsi" w:cs="Arial"/>
                <w:sz w:val="20"/>
                <w:szCs w:val="20"/>
                <w:lang w:val="en-GB"/>
              </w:rPr>
              <w:t>+, ++</w:t>
            </w:r>
          </w:p>
        </w:tc>
      </w:tr>
      <w:tr w:rsidR="0011794F" w:rsidRPr="00D67B9A" w:rsidTr="003A289B">
        <w:tc>
          <w:tcPr>
            <w:tcW w:w="2413"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Social capital</w:t>
            </w:r>
          </w:p>
        </w:tc>
        <w:tc>
          <w:tcPr>
            <w:tcW w:w="1712"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 ++</w:t>
            </w:r>
          </w:p>
        </w:tc>
        <w:tc>
          <w:tcPr>
            <w:tcW w:w="1724" w:type="dxa"/>
            <w:tcBorders>
              <w:top w:val="single" w:sz="4" w:space="0" w:color="auto"/>
              <w:left w:val="single" w:sz="4" w:space="0" w:color="auto"/>
              <w:bottom w:val="single" w:sz="4" w:space="0" w:color="auto"/>
              <w:right w:val="single" w:sz="4" w:space="0" w:color="auto"/>
            </w:tcBorders>
          </w:tcPr>
          <w:p w:rsidR="0011794F" w:rsidRDefault="0011794F" w:rsidP="003A289B">
            <w:pPr>
              <w:rPr>
                <w:rFonts w:asciiTheme="minorHAnsi" w:hAnsiTheme="minorHAnsi" w:cs="Arial"/>
                <w:sz w:val="20"/>
                <w:szCs w:val="20"/>
                <w:lang w:val="en-GB"/>
              </w:rPr>
            </w:pPr>
            <w:r>
              <w:rPr>
                <w:rFonts w:asciiTheme="minorHAnsi" w:hAnsiTheme="minorHAnsi" w:cs="Arial"/>
                <w:sz w:val="20"/>
                <w:szCs w:val="20"/>
                <w:lang w:val="en-GB"/>
              </w:rPr>
              <w:t>0, +, 0</w:t>
            </w:r>
          </w:p>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P</w:t>
            </w:r>
            <w:r w:rsidRPr="00D67B9A">
              <w:rPr>
                <w:rFonts w:asciiTheme="minorHAnsi" w:hAnsiTheme="minorHAnsi" w:cs="Arial"/>
                <w:sz w:val="20"/>
                <w:szCs w:val="20"/>
                <w:lang w:val="en-GB"/>
              </w:rPr>
              <w:t xml:space="preserve">eople </w:t>
            </w:r>
            <w:r>
              <w:rPr>
                <w:rFonts w:asciiTheme="minorHAnsi" w:hAnsiTheme="minorHAnsi" w:cs="Arial"/>
                <w:sz w:val="20"/>
                <w:szCs w:val="20"/>
                <w:lang w:val="en-GB"/>
              </w:rPr>
              <w:t>group</w:t>
            </w:r>
            <w:r w:rsidRPr="00D67B9A">
              <w:rPr>
                <w:rFonts w:asciiTheme="minorHAnsi" w:hAnsiTheme="minorHAnsi" w:cs="Arial"/>
                <w:sz w:val="20"/>
                <w:szCs w:val="20"/>
                <w:lang w:val="en-GB"/>
              </w:rPr>
              <w:t xml:space="preserve"> against others</w:t>
            </w:r>
          </w:p>
        </w:tc>
        <w:tc>
          <w:tcPr>
            <w:tcW w:w="1799"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18"/>
                <w:szCs w:val="18"/>
                <w:lang w:val="en-GB"/>
              </w:rPr>
            </w:pPr>
            <w:r>
              <w:rPr>
                <w:rFonts w:asciiTheme="minorHAnsi" w:hAnsiTheme="minorHAnsi" w:cs="Arial"/>
                <w:sz w:val="20"/>
                <w:szCs w:val="20"/>
                <w:lang w:val="en-GB"/>
              </w:rPr>
              <w:t>0, -, 0</w:t>
            </w:r>
          </w:p>
        </w:tc>
        <w:tc>
          <w:tcPr>
            <w:tcW w:w="1595"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18"/>
                <w:szCs w:val="18"/>
                <w:lang w:val="en-GB"/>
              </w:rPr>
            </w:pPr>
            <w:r>
              <w:rPr>
                <w:rFonts w:asciiTheme="minorHAnsi" w:hAnsiTheme="minorHAnsi" w:cs="Arial"/>
                <w:sz w:val="20"/>
                <w:szCs w:val="20"/>
                <w:lang w:val="en-GB"/>
              </w:rPr>
              <w:t>+</w:t>
            </w:r>
            <w:r w:rsidRPr="00D67B9A">
              <w:rPr>
                <w:rFonts w:asciiTheme="minorHAnsi" w:hAnsiTheme="minorHAnsi" w:cs="Arial"/>
                <w:sz w:val="20"/>
                <w:szCs w:val="20"/>
                <w:lang w:val="en-GB"/>
              </w:rPr>
              <w:t xml:space="preserve">, </w:t>
            </w:r>
            <w:r>
              <w:rPr>
                <w:rFonts w:asciiTheme="minorHAnsi" w:hAnsiTheme="minorHAnsi" w:cs="Arial"/>
                <w:sz w:val="20"/>
                <w:szCs w:val="20"/>
                <w:lang w:val="en-GB"/>
              </w:rPr>
              <w:t>+, ++</w:t>
            </w:r>
          </w:p>
        </w:tc>
      </w:tr>
      <w:tr w:rsidR="0011794F" w:rsidRPr="00D67B9A" w:rsidTr="003A289B">
        <w:trPr>
          <w:trHeight w:val="609"/>
        </w:trPr>
        <w:tc>
          <w:tcPr>
            <w:tcW w:w="2413"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Manufactured capital</w:t>
            </w:r>
          </w:p>
        </w:tc>
        <w:tc>
          <w:tcPr>
            <w:tcW w:w="1712"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½+, +</w:t>
            </w:r>
          </w:p>
        </w:tc>
        <w:tc>
          <w:tcPr>
            <w:tcW w:w="1724"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w:t>
            </w:r>
          </w:p>
        </w:tc>
        <w:tc>
          <w:tcPr>
            <w:tcW w:w="1799"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0, +, +</w:t>
            </w:r>
          </w:p>
          <w:p w:rsidR="0011794F" w:rsidRPr="00D67B9A" w:rsidRDefault="0011794F" w:rsidP="003A289B">
            <w:pPr>
              <w:rPr>
                <w:rFonts w:asciiTheme="minorHAnsi" w:hAnsiTheme="minorHAnsi" w:cs="Arial"/>
                <w:sz w:val="20"/>
                <w:szCs w:val="20"/>
                <w:lang w:val="en-GB"/>
              </w:rPr>
            </w:pPr>
          </w:p>
        </w:tc>
        <w:tc>
          <w:tcPr>
            <w:tcW w:w="1595"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 +,++</w:t>
            </w:r>
          </w:p>
        </w:tc>
      </w:tr>
      <w:tr w:rsidR="0011794F" w:rsidRPr="00D67B9A" w:rsidTr="003A289B">
        <w:trPr>
          <w:trHeight w:val="862"/>
        </w:trPr>
        <w:tc>
          <w:tcPr>
            <w:tcW w:w="2413"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Financial capital</w:t>
            </w:r>
          </w:p>
        </w:tc>
        <w:tc>
          <w:tcPr>
            <w:tcW w:w="1712"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0, ½+, +</w:t>
            </w:r>
          </w:p>
        </w:tc>
        <w:tc>
          <w:tcPr>
            <w:tcW w:w="1724" w:type="dxa"/>
            <w:tcBorders>
              <w:top w:val="single" w:sz="4" w:space="0" w:color="auto"/>
              <w:left w:val="single" w:sz="4" w:space="0" w:color="auto"/>
              <w:bottom w:val="single" w:sz="4" w:space="0" w:color="auto"/>
              <w:right w:val="single" w:sz="4" w:space="0" w:color="auto"/>
            </w:tcBorders>
          </w:tcPr>
          <w:p w:rsidR="0011794F" w:rsidRPr="00D67B9A" w:rsidRDefault="0011794F" w:rsidP="003A289B">
            <w:pPr>
              <w:rPr>
                <w:rFonts w:asciiTheme="minorHAnsi" w:hAnsiTheme="minorHAnsi" w:cs="Arial"/>
                <w:sz w:val="20"/>
                <w:szCs w:val="20"/>
                <w:lang w:val="en-GB"/>
              </w:rPr>
            </w:pPr>
            <w:r>
              <w:rPr>
                <w:rFonts w:asciiTheme="minorHAnsi" w:hAnsiTheme="minorHAnsi" w:cs="Arial"/>
                <w:sz w:val="20"/>
                <w:szCs w:val="20"/>
                <w:lang w:val="en-GB"/>
              </w:rPr>
              <w:t>-,-,--</w:t>
            </w:r>
          </w:p>
        </w:tc>
        <w:tc>
          <w:tcPr>
            <w:tcW w:w="1799" w:type="dxa"/>
            <w:tcBorders>
              <w:top w:val="single" w:sz="4" w:space="0" w:color="auto"/>
              <w:left w:val="single" w:sz="4" w:space="0" w:color="auto"/>
              <w:bottom w:val="single" w:sz="4" w:space="0" w:color="auto"/>
              <w:right w:val="single" w:sz="4" w:space="0" w:color="auto"/>
            </w:tcBorders>
            <w:hideMark/>
          </w:tcPr>
          <w:p w:rsidR="0011794F" w:rsidRDefault="0011794F" w:rsidP="003A289B">
            <w:pPr>
              <w:rPr>
                <w:rFonts w:asciiTheme="minorHAnsi" w:hAnsiTheme="minorHAnsi" w:cs="Arial"/>
                <w:sz w:val="20"/>
                <w:szCs w:val="20"/>
                <w:lang w:val="en-GB"/>
              </w:rPr>
            </w:pPr>
            <w:r w:rsidRPr="00D67B9A">
              <w:rPr>
                <w:rFonts w:asciiTheme="minorHAnsi" w:hAnsiTheme="minorHAnsi" w:cs="Arial"/>
                <w:sz w:val="20"/>
                <w:szCs w:val="20"/>
                <w:lang w:val="en-GB"/>
              </w:rPr>
              <w:t>0, ++, ++</w:t>
            </w:r>
            <w:r>
              <w:rPr>
                <w:rFonts w:asciiTheme="minorHAnsi" w:hAnsiTheme="minorHAnsi" w:cs="Arial"/>
                <w:sz w:val="20"/>
                <w:szCs w:val="20"/>
                <w:lang w:val="en-GB"/>
              </w:rPr>
              <w:t xml:space="preserve"> </w:t>
            </w:r>
          </w:p>
          <w:p w:rsidR="0011794F" w:rsidRPr="00D67B9A" w:rsidRDefault="0011794F" w:rsidP="003A289B">
            <w:pPr>
              <w:rPr>
                <w:rFonts w:asciiTheme="minorHAnsi" w:hAnsiTheme="minorHAnsi" w:cs="Arial"/>
                <w:sz w:val="18"/>
                <w:szCs w:val="18"/>
                <w:lang w:val="en-GB"/>
              </w:rPr>
            </w:pPr>
            <w:r>
              <w:rPr>
                <w:rFonts w:asciiTheme="minorHAnsi" w:hAnsiTheme="minorHAnsi" w:cs="Arial"/>
                <w:sz w:val="20"/>
                <w:szCs w:val="20"/>
                <w:lang w:val="en-GB"/>
              </w:rPr>
              <w:t>Saturation after 2050</w:t>
            </w:r>
          </w:p>
        </w:tc>
        <w:tc>
          <w:tcPr>
            <w:tcW w:w="1595" w:type="dxa"/>
            <w:tcBorders>
              <w:top w:val="single" w:sz="4" w:space="0" w:color="auto"/>
              <w:left w:val="single" w:sz="4" w:space="0" w:color="auto"/>
              <w:bottom w:val="single" w:sz="4" w:space="0" w:color="auto"/>
              <w:right w:val="single" w:sz="4" w:space="0" w:color="auto"/>
            </w:tcBorders>
            <w:hideMark/>
          </w:tcPr>
          <w:p w:rsidR="0011794F" w:rsidRPr="00D67B9A" w:rsidRDefault="0011794F" w:rsidP="003A289B">
            <w:pPr>
              <w:rPr>
                <w:rFonts w:asciiTheme="minorHAnsi" w:hAnsiTheme="minorHAnsi" w:cs="Arial"/>
                <w:sz w:val="18"/>
                <w:szCs w:val="18"/>
                <w:lang w:val="en-GB"/>
              </w:rPr>
            </w:pPr>
            <w:r>
              <w:rPr>
                <w:rFonts w:asciiTheme="minorHAnsi" w:hAnsiTheme="minorHAnsi" w:cs="Arial"/>
                <w:sz w:val="20"/>
                <w:szCs w:val="20"/>
                <w:lang w:val="en-GB"/>
              </w:rPr>
              <w:t xml:space="preserve"> +, +,++</w:t>
            </w:r>
          </w:p>
        </w:tc>
      </w:tr>
    </w:tbl>
    <w:p w:rsidR="0011794F" w:rsidRDefault="0011794F" w:rsidP="0011794F">
      <w:pPr>
        <w:rPr>
          <w:rFonts w:ascii="Calibri" w:hAnsi="Calibri"/>
          <w:b/>
        </w:rPr>
      </w:pPr>
    </w:p>
    <w:p w:rsidR="0011794F" w:rsidRDefault="0011794F" w:rsidP="0011794F">
      <w:pPr>
        <w:rPr>
          <w:rFonts w:ascii="Calibri" w:hAnsi="Calibri"/>
          <w:b/>
        </w:rPr>
      </w:pPr>
    </w:p>
    <w:p w:rsidR="0011794F" w:rsidRPr="00B906B9" w:rsidRDefault="0011794F" w:rsidP="00B906B9">
      <w:pPr>
        <w:rPr>
          <w:rFonts w:ascii="Calibri" w:hAnsi="Calibri"/>
          <w:b/>
        </w:rPr>
      </w:pPr>
      <w:bookmarkStart w:id="0" w:name="_GoBack"/>
      <w:bookmarkEnd w:id="0"/>
    </w:p>
    <w:p w:rsidR="0011794F" w:rsidRDefault="0011794F" w:rsidP="0011794F">
      <w:pPr>
        <w:spacing w:line="360" w:lineRule="auto"/>
        <w:rPr>
          <w:rFonts w:ascii="Calibri" w:hAnsi="Calibri"/>
          <w:b/>
        </w:rPr>
      </w:pPr>
    </w:p>
    <w:p w:rsidR="0011794F" w:rsidRPr="00971AC7" w:rsidRDefault="0011794F" w:rsidP="009853D9">
      <w:pPr>
        <w:rPr>
          <w:rFonts w:asciiTheme="minorHAnsi" w:hAnsiTheme="minorHAnsi"/>
        </w:rPr>
      </w:pPr>
    </w:p>
    <w:sectPr w:rsidR="0011794F" w:rsidRPr="00971A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065AF"/>
    <w:multiLevelType w:val="hybridMultilevel"/>
    <w:tmpl w:val="5BD6BE22"/>
    <w:lvl w:ilvl="0" w:tplc="8CCE569E">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8B0C64"/>
    <w:multiLevelType w:val="multilevel"/>
    <w:tmpl w:val="6122BCEE"/>
    <w:styleLink w:val="Kasperheadings"/>
    <w:lvl w:ilvl="0">
      <w:start w:val="1"/>
      <w:numFmt w:val="decimal"/>
      <w:lvlText w:val="%1."/>
      <w:lvlJc w:val="left"/>
      <w:pPr>
        <w:ind w:left="360" w:hanging="360"/>
      </w:pPr>
      <w:rPr>
        <w:rFonts w:ascii="Times New Roman" w:hAnsi="Times New Roman" w:hint="default"/>
        <w:sz w:val="32"/>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AE2"/>
    <w:rsid w:val="00087ED4"/>
    <w:rsid w:val="00096DBD"/>
    <w:rsid w:val="000F468C"/>
    <w:rsid w:val="0011794F"/>
    <w:rsid w:val="0013455F"/>
    <w:rsid w:val="001851C7"/>
    <w:rsid w:val="002046FB"/>
    <w:rsid w:val="00224FD0"/>
    <w:rsid w:val="00290E43"/>
    <w:rsid w:val="00295E10"/>
    <w:rsid w:val="002C3535"/>
    <w:rsid w:val="00390617"/>
    <w:rsid w:val="003A79BD"/>
    <w:rsid w:val="003B26CB"/>
    <w:rsid w:val="0040148E"/>
    <w:rsid w:val="00423327"/>
    <w:rsid w:val="004E1884"/>
    <w:rsid w:val="0051540F"/>
    <w:rsid w:val="00575826"/>
    <w:rsid w:val="005F0706"/>
    <w:rsid w:val="005F17F2"/>
    <w:rsid w:val="00620E52"/>
    <w:rsid w:val="006B69AC"/>
    <w:rsid w:val="006E1148"/>
    <w:rsid w:val="007140EE"/>
    <w:rsid w:val="00720D31"/>
    <w:rsid w:val="007D1AE2"/>
    <w:rsid w:val="0085210F"/>
    <w:rsid w:val="008F6788"/>
    <w:rsid w:val="00901DC0"/>
    <w:rsid w:val="00911709"/>
    <w:rsid w:val="009353BC"/>
    <w:rsid w:val="00971AC7"/>
    <w:rsid w:val="00973C9D"/>
    <w:rsid w:val="009853D9"/>
    <w:rsid w:val="009B0A54"/>
    <w:rsid w:val="00A76B42"/>
    <w:rsid w:val="00B2283B"/>
    <w:rsid w:val="00B37F2D"/>
    <w:rsid w:val="00B51D3E"/>
    <w:rsid w:val="00B614F6"/>
    <w:rsid w:val="00B906B9"/>
    <w:rsid w:val="00C07DB6"/>
    <w:rsid w:val="00C43D78"/>
    <w:rsid w:val="00C43D89"/>
    <w:rsid w:val="00C921E7"/>
    <w:rsid w:val="00CF0258"/>
    <w:rsid w:val="00D22B12"/>
    <w:rsid w:val="00D80486"/>
    <w:rsid w:val="00DD07A1"/>
    <w:rsid w:val="00DF0391"/>
    <w:rsid w:val="00EA71BD"/>
    <w:rsid w:val="00F703CF"/>
    <w:rsid w:val="00FC1392"/>
    <w:rsid w:val="00FF42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CD4CE"/>
  <w15:docId w15:val="{08BC738D-C8F1-4D4A-8A7C-6FC3C27D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7"/>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AE2"/>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CF02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Heading1"/>
    <w:next w:val="Normal"/>
    <w:link w:val="Heading2Char"/>
    <w:uiPriority w:val="99"/>
    <w:qFormat/>
    <w:rsid w:val="00CF0258"/>
    <w:pPr>
      <w:spacing w:before="240" w:after="60"/>
      <w:outlineLvl w:val="1"/>
    </w:pPr>
    <w:rPr>
      <w:rFonts w:ascii="Times New Roman" w:hAnsi="Times New Roman" w:cs="Arial"/>
      <w:b w:val="0"/>
      <w:bCs w:val="0"/>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CF0258"/>
    <w:rPr>
      <w:rFonts w:ascii="Times New Roman" w:eastAsiaTheme="majorEastAsia" w:hAnsi="Times New Roman" w:cs="Arial"/>
      <w:i/>
      <w:iCs/>
      <w:color w:val="365F91" w:themeColor="accent1" w:themeShade="BF"/>
      <w:sz w:val="28"/>
      <w:szCs w:val="28"/>
    </w:rPr>
  </w:style>
  <w:style w:type="paragraph" w:styleId="ListContinue">
    <w:name w:val="List Continue"/>
    <w:basedOn w:val="Normal"/>
    <w:uiPriority w:val="99"/>
    <w:semiHidden/>
    <w:unhideWhenUsed/>
    <w:rsid w:val="00CF0258"/>
    <w:pPr>
      <w:spacing w:after="120"/>
      <w:ind w:left="283"/>
      <w:contextualSpacing/>
    </w:pPr>
  </w:style>
  <w:style w:type="numbering" w:customStyle="1" w:styleId="Kasperheadings">
    <w:name w:val="Kasper headings"/>
    <w:uiPriority w:val="99"/>
    <w:rsid w:val="00CF0258"/>
    <w:pPr>
      <w:numPr>
        <w:numId w:val="2"/>
      </w:numPr>
    </w:pPr>
  </w:style>
  <w:style w:type="character" w:customStyle="1" w:styleId="Heading1Char">
    <w:name w:val="Heading 1 Char"/>
    <w:basedOn w:val="DefaultParagraphFont"/>
    <w:link w:val="Heading1"/>
    <w:uiPriority w:val="9"/>
    <w:rsid w:val="00CF0258"/>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7D1AE2"/>
    <w:rPr>
      <w:sz w:val="16"/>
      <w:szCs w:val="16"/>
    </w:rPr>
  </w:style>
  <w:style w:type="paragraph" w:styleId="CommentText">
    <w:name w:val="annotation text"/>
    <w:basedOn w:val="Normal"/>
    <w:link w:val="CommentTextChar"/>
    <w:uiPriority w:val="99"/>
    <w:semiHidden/>
    <w:unhideWhenUsed/>
    <w:rsid w:val="007D1AE2"/>
    <w:rPr>
      <w:sz w:val="20"/>
      <w:szCs w:val="20"/>
    </w:rPr>
  </w:style>
  <w:style w:type="character" w:customStyle="1" w:styleId="CommentTextChar">
    <w:name w:val="Comment Text Char"/>
    <w:basedOn w:val="DefaultParagraphFont"/>
    <w:link w:val="CommentText"/>
    <w:uiPriority w:val="99"/>
    <w:semiHidden/>
    <w:rsid w:val="007D1AE2"/>
    <w:rPr>
      <w:rFonts w:ascii="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7D1AE2"/>
    <w:rPr>
      <w:rFonts w:ascii="Tahoma" w:hAnsi="Tahoma" w:cs="Tahoma"/>
      <w:sz w:val="16"/>
      <w:szCs w:val="16"/>
    </w:rPr>
  </w:style>
  <w:style w:type="character" w:customStyle="1" w:styleId="BalloonTextChar">
    <w:name w:val="Balloon Text Char"/>
    <w:basedOn w:val="DefaultParagraphFont"/>
    <w:link w:val="BalloonText"/>
    <w:uiPriority w:val="99"/>
    <w:semiHidden/>
    <w:rsid w:val="007D1AE2"/>
    <w:rPr>
      <w:rFonts w:ascii="Tahoma" w:hAnsi="Tahoma" w:cs="Tahoma"/>
      <w:sz w:val="16"/>
      <w:szCs w:val="16"/>
      <w:lang w:eastAsia="en-GB"/>
    </w:rPr>
  </w:style>
  <w:style w:type="table" w:styleId="TableGrid">
    <w:name w:val="Table Grid"/>
    <w:basedOn w:val="TableNormal"/>
    <w:uiPriority w:val="59"/>
    <w:rsid w:val="007D1AE2"/>
    <w:rPr>
      <w:rFonts w:asciiTheme="minorHAnsi" w:eastAsiaTheme="minorEastAsia"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4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9959D3F4.dotm</Template>
  <TotalTime>0</TotalTime>
  <Pages>16</Pages>
  <Words>5899</Words>
  <Characters>32450</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38273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 Kasper</dc:creator>
  <cp:lastModifiedBy>Kok, Kasper</cp:lastModifiedBy>
  <cp:revision>2</cp:revision>
  <dcterms:created xsi:type="dcterms:W3CDTF">2018-07-17T12:47:00Z</dcterms:created>
  <dcterms:modified xsi:type="dcterms:W3CDTF">2018-07-17T12:47:00Z</dcterms:modified>
</cp:coreProperties>
</file>