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25" w:rsidRPr="008A0775" w:rsidRDefault="003473C0" w:rsidP="00EF2425">
      <w:pPr>
        <w:spacing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Electronic </w:t>
      </w:r>
      <w:bookmarkStart w:id="0" w:name="_GoBack"/>
      <w:bookmarkEnd w:id="0"/>
      <w:r w:rsidR="00FE4788">
        <w:rPr>
          <w:rFonts w:asciiTheme="majorHAnsi" w:hAnsiTheme="majorHAnsi"/>
          <w:b/>
        </w:rPr>
        <w:t xml:space="preserve">Supplementary Material </w:t>
      </w:r>
      <w:r w:rsidR="00CF7760">
        <w:rPr>
          <w:rFonts w:asciiTheme="majorHAnsi" w:hAnsiTheme="majorHAnsi"/>
          <w:b/>
        </w:rPr>
        <w:t>1</w:t>
      </w:r>
      <w:r w:rsidR="00B137C3">
        <w:rPr>
          <w:rFonts w:asciiTheme="majorHAnsi" w:hAnsiTheme="majorHAnsi"/>
          <w:b/>
        </w:rPr>
        <w:t xml:space="preserve">. </w:t>
      </w:r>
      <w:r w:rsidR="00EF2425" w:rsidRPr="008A0775">
        <w:rPr>
          <w:rFonts w:asciiTheme="majorHAnsi" w:hAnsiTheme="majorHAnsi"/>
          <w:b/>
        </w:rPr>
        <w:t>Global drivers of anthropogenic disturbance affecting the Baltic Sea marine ecosystem</w:t>
      </w:r>
    </w:p>
    <w:tbl>
      <w:tblPr>
        <w:tblStyle w:val="TableGrid"/>
        <w:tblW w:w="13717" w:type="dxa"/>
        <w:tblLayout w:type="fixed"/>
        <w:tblLook w:val="04A0" w:firstRow="1" w:lastRow="0" w:firstColumn="1" w:lastColumn="0" w:noHBand="0" w:noVBand="1"/>
      </w:tblPr>
      <w:tblGrid>
        <w:gridCol w:w="1419"/>
        <w:gridCol w:w="2438"/>
        <w:gridCol w:w="2438"/>
        <w:gridCol w:w="2438"/>
        <w:gridCol w:w="2438"/>
        <w:gridCol w:w="2546"/>
      </w:tblGrid>
      <w:tr w:rsidR="00EF2425" w:rsidRPr="008A0775" w:rsidTr="008F617C">
        <w:tc>
          <w:tcPr>
            <w:tcW w:w="1419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Driver (source)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SSP1 : </w:t>
            </w:r>
            <w:r>
              <w:rPr>
                <w:rFonts w:asciiTheme="majorHAnsi" w:hAnsiTheme="majorHAnsi"/>
                <w:sz w:val="18"/>
                <w:szCs w:val="18"/>
              </w:rPr>
              <w:t>Sustainability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SSP2 : Middle of the road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SSP3 : </w:t>
            </w:r>
            <w:r>
              <w:rPr>
                <w:rFonts w:asciiTheme="majorHAnsi" w:hAnsiTheme="majorHAnsi"/>
                <w:sz w:val="18"/>
                <w:szCs w:val="18"/>
              </w:rPr>
              <w:t>Rivalry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SSP4 : </w:t>
            </w:r>
            <w:r>
              <w:rPr>
                <w:rFonts w:asciiTheme="majorHAnsi" w:hAnsiTheme="majorHAnsi"/>
                <w:sz w:val="18"/>
                <w:szCs w:val="18"/>
              </w:rPr>
              <w:t>Inequality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SSP5 : </w:t>
            </w:r>
            <w:r>
              <w:rPr>
                <w:rFonts w:asciiTheme="majorHAnsi" w:hAnsiTheme="majorHAnsi"/>
                <w:sz w:val="18"/>
                <w:szCs w:val="18"/>
              </w:rPr>
              <w:t>Fossil-fueled development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14CBC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  <w:lang w:val="da-DK"/>
              </w:rPr>
            </w:pP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>1. General global trends (O’Neill et al. 2015)</w:t>
            </w:r>
          </w:p>
        </w:tc>
        <w:tc>
          <w:tcPr>
            <w:tcW w:w="2438" w:type="dxa"/>
            <w:vAlign w:val="center"/>
          </w:tcPr>
          <w:p w:rsidR="00EF2425" w:rsidRPr="005C0EBF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Management of the commons improves persistently but slowly. Strong institutions. G</w:t>
            </w:r>
            <w:r w:rsidRPr="005C0EBF">
              <w:rPr>
                <w:rFonts w:asciiTheme="majorHAnsi" w:hAnsiTheme="majorHAnsi"/>
                <w:sz w:val="18"/>
                <w:szCs w:val="18"/>
              </w:rPr>
              <w:t>radual move towards less resource intensive lifestyles. Focus in human wellbeing and equity rather than economic growth.</w:t>
            </w:r>
            <w:r w:rsidRPr="005C0EBF">
              <w:rPr>
                <w:rFonts w:asciiTheme="majorHAnsi" w:hAnsiTheme="majorHAnsi"/>
                <w:sz w:val="18"/>
                <w:szCs w:val="18"/>
              </w:rPr>
              <w:br/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Socio-economic trends consistent with typical patterns of historical experience. Continued uneven income growth and societal stratification. Slow progress toward sustainable development goals. Reduced intensity of resource and energy use.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International fragmentation leads to regional rivalry and protectionism. Countries focus on achieving energy and food security goals within their own regions. Weak global institutions. Growing resource intensity. Consumption is material-intensive.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Rising inequality and stratification both across and within countries lead to pockets of extreme wealth and poverty. Low and highly unequal investment in education. Reduced middle class. 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Resource and energy intensive lifestyles prevail. Human development goals will be reached. Local environmental problems are met efficiently through technological solutions. Lack of global environmental concern.</w:t>
            </w:r>
          </w:p>
        </w:tc>
      </w:tr>
      <w:tr w:rsidR="00EF2425" w:rsidRPr="008A0775" w:rsidTr="008F617C">
        <w:tc>
          <w:tcPr>
            <w:tcW w:w="1419" w:type="dxa"/>
            <w:vAlign w:val="center"/>
          </w:tcPr>
          <w:p w:rsidR="00EF2425" w:rsidRPr="005C0EBF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>.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Population / </w:t>
            </w:r>
            <w:r w:rsidRPr="005C0EBF">
              <w:rPr>
                <w:rFonts w:asciiTheme="majorHAnsi" w:hAnsiTheme="majorHAnsi"/>
                <w:sz w:val="18"/>
                <w:szCs w:val="18"/>
              </w:rPr>
              <w:t>urbanization</w:t>
            </w:r>
            <w:r w:rsidRPr="005C0EBF">
              <w:rPr>
                <w:rFonts w:asciiTheme="majorHAnsi" w:hAnsiTheme="majorHAnsi"/>
                <w:sz w:val="18"/>
                <w:szCs w:val="18"/>
              </w:rPr>
              <w:br/>
              <w:t>(Samir &amp; Lutz 2016, Jiang &amp; O’Neill 2015)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population peaks around 2050 and decreases thereafter. In the BS region, population decreases (-10% by 2100) but with slower rate than globally. Population increases in Sweden, Finland and Denmark and decreases markedly in Latvia and Lithuania. The share of urban population grows from 71 to 96%.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population grows moderately and levels off 2070. In the BS region, population decreases (-9% by 2100) and faster than globally. Strong decline in Lithuania and Latvia (-40%), strong increase in Sweden (61%) and moderate increases in Finland and Denmark (27-34%). The share of urban population grows from 71 to 91%.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Global population grows fast in particular in developing countries and exceeds 12 billion in 2100. </w:t>
            </w:r>
            <w:r>
              <w:rPr>
                <w:rFonts w:asciiTheme="majorHAnsi" w:hAnsiTheme="majorHAnsi"/>
                <w:sz w:val="18"/>
                <w:szCs w:val="18"/>
              </w:rPr>
              <w:t>In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contra</w:t>
            </w:r>
            <w:r>
              <w:rPr>
                <w:rFonts w:asciiTheme="majorHAnsi" w:hAnsiTheme="majorHAnsi"/>
                <w:sz w:val="18"/>
                <w:szCs w:val="18"/>
              </w:rPr>
              <w:t>st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, the BS region population decreases (-37% by 2100). Largest reductions occur in Poland (-58%). The share of urban population grows from 71 to 82%.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Global population grows moderately and levels off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by 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2070. The population in the BS region decreases (32% by 2100). Largest reductions occur in Latvia, Lithuania and Poland. Sweden will gain more population. The share of urban population grows from 71 to 92%.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population peaks around 2050, but fertility remains high in high income countries. The population in the BS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region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increases (26% by 2100), but the growth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is unevenly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distribute</w:t>
            </w:r>
            <w:r>
              <w:rPr>
                <w:rFonts w:asciiTheme="majorHAnsi" w:hAnsiTheme="majorHAnsi"/>
                <w:sz w:val="18"/>
                <w:szCs w:val="18"/>
              </w:rPr>
              <w:t>d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. Gainers include Sweden and Denmark and losers Lithuania and Latvia. The share of urban population grows from 71 to 96%.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5C0EBF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t>.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Economic growth (Dellink et </w:t>
            </w:r>
            <w:r w:rsidRPr="005C0EBF">
              <w:rPr>
                <w:rFonts w:asciiTheme="majorHAnsi" w:hAnsiTheme="majorHAnsi"/>
                <w:sz w:val="18"/>
                <w:szCs w:val="18"/>
              </w:rPr>
              <w:t>al. 2015, Leimbach et al. 2015, Crespo 2015)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World per capita GDP grows at an average 2.2% rate. However, GDP growth rate declines </w:t>
            </w:r>
            <w:r>
              <w:rPr>
                <w:rFonts w:asciiTheme="majorHAnsi" w:hAnsiTheme="majorHAnsi"/>
                <w:sz w:val="18"/>
                <w:szCs w:val="18"/>
              </w:rPr>
              <w:t>over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time. The BS economies grow moderately but at slower rate than global average.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World per capita GDP grows at an average 2% rate. The BS economies grow moderately but at slower rate than global average.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World per capita GDP grows at an average 1% rate. The contribution of the BS region </w:t>
            </w:r>
            <w:r>
              <w:rPr>
                <w:rFonts w:asciiTheme="majorHAnsi" w:hAnsiTheme="majorHAnsi"/>
                <w:sz w:val="18"/>
                <w:szCs w:val="18"/>
              </w:rPr>
              <w:t>to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global production drastically reduces.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World per capita GDP grows at an average 1.7% rate. Economic growth is moderate in industrialized countries and low in </w:t>
            </w:r>
            <w:r w:rsidR="00FD32C9" w:rsidRPr="008A0775">
              <w:rPr>
                <w:rFonts w:asciiTheme="majorHAnsi" w:hAnsiTheme="majorHAnsi"/>
                <w:sz w:val="18"/>
                <w:szCs w:val="18"/>
              </w:rPr>
              <w:t>low-income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countries. Contribution of BS region to global production remains at about </w:t>
            </w:r>
            <w:r>
              <w:rPr>
                <w:rFonts w:asciiTheme="majorHAnsi" w:hAnsiTheme="majorHAnsi"/>
                <w:sz w:val="18"/>
                <w:szCs w:val="18"/>
              </w:rPr>
              <w:t>current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level.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World per capita GDP grows at an average 2.8% rate. Increasing faith in competitive markets, innovation and participatory societies lead to high economic growth in the BS region and globally.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>.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Technological development (O’Neill et al. 2015, Leimbach et al. 2015)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5C0EBF">
              <w:rPr>
                <w:rFonts w:asciiTheme="majorHAnsi" w:hAnsiTheme="majorHAnsi"/>
                <w:sz w:val="18"/>
                <w:szCs w:val="18"/>
              </w:rPr>
              <w:t>Directed development of environmentally friendly technologies. Moderate tech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nological progress: total factor productivity growth rate of a technology leader is 0.7% annually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Moderate technological development without fundamental breakthroughs. Moderate technological progress: total factor productivity growth rate of a technology leader is 0.7% annually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Investment</w:t>
            </w:r>
            <w:r>
              <w:rPr>
                <w:rFonts w:asciiTheme="majorHAnsi" w:hAnsiTheme="majorHAnsi"/>
                <w:sz w:val="18"/>
                <w:szCs w:val="18"/>
              </w:rPr>
              <w:t>s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in education </w:t>
            </w:r>
            <w:r>
              <w:rPr>
                <w:rFonts w:asciiTheme="majorHAnsi" w:hAnsiTheme="majorHAnsi"/>
                <w:sz w:val="18"/>
                <w:szCs w:val="18"/>
              </w:rPr>
              <w:t>and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technological development decline. Low technological progress: Total factor productivity growth rate of a technology leader is 0.3% annually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Technology development is high in the high-tech economy and sectors. Moderate technological progress: total factor productivity growth rate of a technology leader is 0.7% annually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Rapid technological progress: total factor productivity growth rate of a technology leader is 1.1% annually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14CBC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  <w:lang w:val="da-DK"/>
              </w:rPr>
            </w:pP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lastRenderedPageBreak/>
              <w:t>5. International trade (O’Neill et al 2015, Popp et al 2017, van Vuuren &amp; Carter 2014)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Moderate with strong regional production, globalized </w:t>
            </w:r>
            <w:r>
              <w:rPr>
                <w:rFonts w:asciiTheme="majorHAnsi" w:hAnsiTheme="majorHAnsi"/>
                <w:sz w:val="18"/>
                <w:szCs w:val="18"/>
              </w:rPr>
              <w:t>and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open trade</w:t>
            </w:r>
          </w:p>
        </w:tc>
        <w:tc>
          <w:tcPr>
            <w:tcW w:w="2438" w:type="dxa"/>
            <w:vAlign w:val="center"/>
          </w:tcPr>
          <w:p w:rsidR="00EF2425" w:rsidRPr="005C0EBF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5C0EBF">
              <w:rPr>
                <w:rFonts w:asciiTheme="majorHAnsi" w:hAnsiTheme="majorHAnsi"/>
                <w:sz w:val="18"/>
                <w:szCs w:val="18"/>
              </w:rPr>
              <w:t>Moderate, weak globalized trade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International trade is strongly constrained due to stringent trade barriers, regionalized trade. 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Globalized for connected elites, restricted access for non-connected population groups.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High, increasingly integrated global markets, regional specialization in production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14CBC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  <w:lang w:val="da-DK"/>
              </w:rPr>
            </w:pP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>6. Food demand (Popp et al. 2017)</w:t>
            </w:r>
          </w:p>
        </w:tc>
        <w:tc>
          <w:tcPr>
            <w:tcW w:w="2438" w:type="dxa"/>
            <w:vAlign w:val="center"/>
          </w:tcPr>
          <w:p w:rsidR="00EF2425" w:rsidRPr="005C0EBF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Gradual move towards healthier diets with reduced share o</w:t>
            </w:r>
            <w:r w:rsidRPr="005C0EBF">
              <w:rPr>
                <w:rFonts w:asciiTheme="majorHAnsi" w:hAnsiTheme="majorHAnsi"/>
                <w:sz w:val="18"/>
                <w:szCs w:val="18"/>
              </w:rPr>
              <w:t>f animal products. Focus on local production. The global demand increases 50% for crops and 30% for livestock products by 2050 in comparison to 2005 production but slightly decreases thereafter.</w:t>
            </w:r>
          </w:p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caloric consumption and animal calorie shares converge slowly toward current level in industrialized countries. The global demand increases 75% for crops and 95% for livestock products by 2100.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Due to food trade restrictions demand focuses on locally and regionally produced goods. Unhealthy diets with high animal protein share prevail. The global demand for crops steadily increases by 120% and for livestock products by 100% by the end of the century.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Food trade is globalized, but access to markets is limited to low income countries and non-connected population groups. Caloric consumption and animal calorie shares converge toward medium levels. Demand for crops and livestock products increase 60% by the end of the century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FD32C9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Diets with high animal shares prevail. Global demand for</w:t>
            </w:r>
            <w:r w:rsidR="00FD32C9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crops increase by 75% and </w:t>
            </w:r>
            <w:r w:rsidR="00FD32C9">
              <w:rPr>
                <w:rFonts w:asciiTheme="majorHAnsi" w:hAnsiTheme="majorHAnsi"/>
                <w:sz w:val="18"/>
                <w:szCs w:val="18"/>
              </w:rPr>
              <w:t xml:space="preserve">for 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livestock products by 140% by the end of the century.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14CBC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  <w:lang w:val="da-DK"/>
              </w:rPr>
            </w:pP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>7. Land use (Popp et al. 2017, Riahi et al 2016)</w:t>
            </w:r>
          </w:p>
        </w:tc>
        <w:tc>
          <w:tcPr>
            <w:tcW w:w="2438" w:type="dxa"/>
            <w:vAlign w:val="center"/>
          </w:tcPr>
          <w:p w:rsidR="00EF2425" w:rsidRPr="005C0EBF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cropland area remains constant (1.5 billion ha) but pasture area (3.4 billion ha in 2005) decreases 20% by 2100. Forest and natur</w:t>
            </w:r>
            <w:r>
              <w:rPr>
                <w:rFonts w:asciiTheme="majorHAnsi" w:hAnsiTheme="majorHAnsi"/>
                <w:sz w:val="18"/>
                <w:szCs w:val="18"/>
              </w:rPr>
              <w:t>e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land increase m</w:t>
            </w:r>
            <w:r w:rsidRPr="005C0EBF">
              <w:rPr>
                <w:rFonts w:asciiTheme="majorHAnsi" w:hAnsiTheme="majorHAnsi"/>
                <w:sz w:val="18"/>
                <w:szCs w:val="18"/>
              </w:rPr>
              <w:t>arkedly in all regions.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Moderate increase in global cropland (15%) and minor increase in pasture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land. Demand for animal products is satisfied through extensive livestock management at expense of forest and natur</w:t>
            </w:r>
            <w:r>
              <w:rPr>
                <w:rFonts w:asciiTheme="majorHAnsi" w:hAnsiTheme="majorHAnsi"/>
                <w:sz w:val="18"/>
                <w:szCs w:val="18"/>
              </w:rPr>
              <w:t>e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land.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Strong increase in global cropland area (+40%) and moderate increase in pasture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land (+5%) due to low agricultural intensification and high food demand. Forest and natur</w:t>
            </w:r>
            <w:r>
              <w:rPr>
                <w:rFonts w:asciiTheme="majorHAnsi" w:hAnsiTheme="majorHAnsi"/>
                <w:sz w:val="18"/>
                <w:szCs w:val="18"/>
              </w:rPr>
              <w:t>e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land is cleared for agriculture in particular in Africa and Latin America.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Minor increase of global cropland, strong increase of </w:t>
            </w:r>
            <w:r w:rsidR="00FD32C9" w:rsidRPr="008A0775">
              <w:rPr>
                <w:rFonts w:asciiTheme="majorHAnsi" w:hAnsiTheme="majorHAnsi"/>
                <w:sz w:val="18"/>
                <w:szCs w:val="18"/>
              </w:rPr>
              <w:t>pasture</w:t>
            </w:r>
            <w:r w:rsidR="00FD32C9">
              <w:rPr>
                <w:rFonts w:asciiTheme="majorHAnsi" w:hAnsiTheme="majorHAnsi"/>
                <w:sz w:val="18"/>
                <w:szCs w:val="18"/>
              </w:rPr>
              <w:t>land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(+10%)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cropland area increases fast (+25% by 2050) but decreases thereafter. Pasture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land area decreases markedly (-10%) by the end of the century 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14CBC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  <w:lang w:val="da-DK"/>
              </w:rPr>
            </w:pP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>8</w:t>
            </w:r>
            <w:r>
              <w:rPr>
                <w:rFonts w:asciiTheme="majorHAnsi" w:hAnsiTheme="majorHAnsi"/>
                <w:sz w:val="18"/>
                <w:szCs w:val="18"/>
                <w:lang w:val="da-DK"/>
              </w:rPr>
              <w:t>.</w:t>
            </w: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 xml:space="preserve"> Energy production (Bauer et al. 2016)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5C0EBF">
              <w:rPr>
                <w:rFonts w:asciiTheme="majorHAnsi" w:hAnsiTheme="majorHAnsi"/>
                <w:sz w:val="18"/>
                <w:szCs w:val="18"/>
              </w:rPr>
              <w:t>Global energy production incr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eases +60% and peaks after 2070. Energy production is predominantly based on renewables, focus on energy efficiency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Global energy production will grow </w:t>
            </w:r>
            <w:r>
              <w:rPr>
                <w:rFonts w:asciiTheme="majorHAnsi" w:hAnsiTheme="majorHAnsi"/>
                <w:sz w:val="18"/>
                <w:szCs w:val="18"/>
              </w:rPr>
              <w:t>250%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by the end of the century. Moderate growth of the energy sector. Fossil-fuel dominated energy mix with some investment in renewables. 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Global energy production doubles by the end of the century. Heavy reliance on fossil fuels. Energy security concerns support the use of domestic coal. 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Global energy production almost doubles by the end of the century. Increasing shares of renewables and low-carbon energy sources.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Global energy production triples by the end of the century. </w:t>
            </w:r>
            <w:r>
              <w:rPr>
                <w:rFonts w:asciiTheme="majorHAnsi" w:hAnsiTheme="majorHAnsi"/>
                <w:sz w:val="18"/>
                <w:szCs w:val="18"/>
              </w:rPr>
              <w:t>Energy supply is f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>ossil fuel based, no energy efficiency focus</w:t>
            </w:r>
          </w:p>
        </w:tc>
      </w:tr>
      <w:tr w:rsidR="00EF2425" w:rsidRPr="003D20E8" w:rsidTr="008F617C">
        <w:tc>
          <w:tcPr>
            <w:tcW w:w="1419" w:type="dxa"/>
            <w:vAlign w:val="center"/>
          </w:tcPr>
          <w:p w:rsidR="00EF2425" w:rsidRPr="00814CBC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  <w:lang w:val="da-DK"/>
              </w:rPr>
            </w:pP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>9</w:t>
            </w:r>
            <w:r>
              <w:rPr>
                <w:rFonts w:asciiTheme="majorHAnsi" w:hAnsiTheme="majorHAnsi"/>
                <w:sz w:val="18"/>
                <w:szCs w:val="18"/>
                <w:lang w:val="da-DK"/>
              </w:rPr>
              <w:t>.</w:t>
            </w: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 xml:space="preserve"> Environ</w:t>
            </w:r>
            <w:r>
              <w:rPr>
                <w:rFonts w:asciiTheme="majorHAnsi" w:hAnsiTheme="majorHAnsi"/>
                <w:sz w:val="18"/>
                <w:szCs w:val="18"/>
                <w:lang w:val="da-DK"/>
              </w:rPr>
              <w:t>-</w:t>
            </w:r>
            <w:r w:rsidRPr="00814CBC">
              <w:rPr>
                <w:rFonts w:asciiTheme="majorHAnsi" w:hAnsiTheme="majorHAnsi"/>
                <w:sz w:val="18"/>
                <w:szCs w:val="18"/>
                <w:lang w:val="da-DK"/>
              </w:rPr>
              <w:t>mental policies &amp; regulation (O’Neill et al 2015, Bauer et al. 2016)</w:t>
            </w:r>
          </w:p>
        </w:tc>
        <w:tc>
          <w:tcPr>
            <w:tcW w:w="2438" w:type="dxa"/>
            <w:vAlign w:val="center"/>
          </w:tcPr>
          <w:p w:rsidR="00EF2425" w:rsidRPr="00922B3E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5C0EBF">
              <w:rPr>
                <w:rFonts w:asciiTheme="majorHAnsi" w:hAnsiTheme="majorHAnsi"/>
                <w:sz w:val="18"/>
                <w:szCs w:val="18"/>
              </w:rPr>
              <w:t>Improved m</w:t>
            </w:r>
            <w:r w:rsidRPr="00922B3E">
              <w:rPr>
                <w:rFonts w:asciiTheme="majorHAnsi" w:hAnsiTheme="majorHAnsi"/>
                <w:sz w:val="18"/>
                <w:szCs w:val="18"/>
              </w:rPr>
              <w:t>anagement of local and global issues, tighter regulation of pollutants.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Concern for local pollutants but only moderate success in implementation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Low priority for environmental issues</w:t>
            </w:r>
          </w:p>
        </w:tc>
        <w:tc>
          <w:tcPr>
            <w:tcW w:w="2438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 xml:space="preserve">Environmental policies focus on local issues around middle or high income areas, little focus on vulnerable areas </w:t>
            </w:r>
            <w:r>
              <w:rPr>
                <w:rFonts w:asciiTheme="majorHAnsi" w:hAnsiTheme="majorHAnsi"/>
                <w:sz w:val="18"/>
                <w:szCs w:val="18"/>
              </w:rPr>
              <w:t>and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global issues</w:t>
            </w:r>
          </w:p>
        </w:tc>
        <w:tc>
          <w:tcPr>
            <w:tcW w:w="2546" w:type="dxa"/>
            <w:vAlign w:val="center"/>
          </w:tcPr>
          <w:p w:rsidR="00EF2425" w:rsidRPr="008A0775" w:rsidRDefault="00EF2425" w:rsidP="008F617C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8A0775">
              <w:rPr>
                <w:rFonts w:asciiTheme="majorHAnsi" w:hAnsiTheme="majorHAnsi"/>
                <w:sz w:val="18"/>
                <w:szCs w:val="18"/>
              </w:rPr>
              <w:t>Environmental policies focus on local environments that have a direct, shown impact on human wellbeing</w:t>
            </w:r>
            <w:r>
              <w:rPr>
                <w:rFonts w:asciiTheme="majorHAnsi" w:hAnsiTheme="majorHAnsi"/>
                <w:sz w:val="18"/>
                <w:szCs w:val="18"/>
              </w:rPr>
              <w:t>;</w:t>
            </w:r>
            <w:r w:rsidRPr="008A0775">
              <w:rPr>
                <w:rFonts w:asciiTheme="majorHAnsi" w:hAnsiTheme="majorHAnsi"/>
                <w:sz w:val="18"/>
                <w:szCs w:val="18"/>
              </w:rPr>
              <w:t xml:space="preserve"> little concern for global issues</w:t>
            </w:r>
          </w:p>
        </w:tc>
      </w:tr>
    </w:tbl>
    <w:p w:rsidR="00EF2425" w:rsidRPr="00D57C3F" w:rsidRDefault="00EF2425" w:rsidP="00EF2425">
      <w:pPr>
        <w:spacing w:line="360" w:lineRule="auto"/>
      </w:pPr>
    </w:p>
    <w:p w:rsidR="00785B0C" w:rsidRDefault="00785B0C"/>
    <w:sectPr w:rsidR="00785B0C" w:rsidSect="00EF2425">
      <w:pgSz w:w="15840" w:h="12240" w:orient="landscape"/>
      <w:pgMar w:top="1138" w:right="1699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25"/>
    <w:rsid w:val="003473C0"/>
    <w:rsid w:val="005C3D41"/>
    <w:rsid w:val="006939C1"/>
    <w:rsid w:val="0076411D"/>
    <w:rsid w:val="00785B0C"/>
    <w:rsid w:val="00B137C3"/>
    <w:rsid w:val="00CF7760"/>
    <w:rsid w:val="00E33568"/>
    <w:rsid w:val="00E64E36"/>
    <w:rsid w:val="00EF2425"/>
    <w:rsid w:val="00FD32C9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262A"/>
  <w15:chartTrackingRefBased/>
  <w15:docId w15:val="{4BDF00C2-4696-4004-B3EB-B88B88A6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425"/>
    <w:pPr>
      <w:spacing w:after="200" w:line="276" w:lineRule="auto"/>
    </w:pPr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425"/>
    <w:pPr>
      <w:spacing w:after="0" w:line="240" w:lineRule="auto"/>
    </w:pPr>
    <w:rPr>
      <w:rFonts w:ascii="Calibri" w:eastAsia="Calibri" w:hAnsi="Calibri" w:cs="Calibri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Zandersen</dc:creator>
  <cp:keywords/>
  <dc:description/>
  <cp:lastModifiedBy>Marianne Zandersen</cp:lastModifiedBy>
  <cp:revision>5</cp:revision>
  <dcterms:created xsi:type="dcterms:W3CDTF">2018-04-11T07:30:00Z</dcterms:created>
  <dcterms:modified xsi:type="dcterms:W3CDTF">2018-04-16T08:17:00Z</dcterms:modified>
</cp:coreProperties>
</file>