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038" w:rsidRDefault="008B0F9B" w:rsidP="00226038">
      <w:pPr>
        <w:pStyle w:val="Heading1"/>
      </w:pPr>
      <w:r>
        <w:t xml:space="preserve">Electronic </w:t>
      </w:r>
      <w:r w:rsidR="00226038">
        <w:t xml:space="preserve">Supplementary Material </w:t>
      </w:r>
      <w:r>
        <w:t>2</w:t>
      </w:r>
    </w:p>
    <w:p w:rsidR="00226038" w:rsidRPr="00DC62AD" w:rsidRDefault="00226038" w:rsidP="00226038">
      <w:pPr>
        <w:pStyle w:val="Heading1"/>
        <w:rPr>
          <w:b/>
        </w:rPr>
      </w:pPr>
      <w:r w:rsidRPr="00DC62AD">
        <w:rPr>
          <w:b/>
        </w:rPr>
        <w:t>1 SSP1 - Sustainability</w:t>
      </w:r>
    </w:p>
    <w:p w:rsidR="00226038" w:rsidRPr="007F4AA9" w:rsidRDefault="00226038" w:rsidP="00226038">
      <w:pPr>
        <w:pStyle w:val="Heading2"/>
      </w:pPr>
      <w:r w:rsidRPr="007F4AA9">
        <w:t>1.</w:t>
      </w:r>
      <w:r>
        <w:t>1</w:t>
      </w:r>
      <w:r w:rsidRPr="007F4AA9">
        <w:t xml:space="preserve"> General social trends</w:t>
      </w:r>
    </w:p>
    <w:p w:rsidR="00226038" w:rsidRPr="00991792" w:rsidRDefault="00226038" w:rsidP="00226038">
      <w:pPr>
        <w:spacing w:after="0" w:line="360" w:lineRule="auto"/>
        <w:jc w:val="both"/>
        <w:rPr>
          <w:rFonts w:ascii="Times New Roman" w:hAnsi="Times New Roman" w:cs="Times New Roman"/>
          <w:sz w:val="20"/>
          <w:szCs w:val="20"/>
        </w:rPr>
      </w:pPr>
      <w:r w:rsidRPr="00991792">
        <w:rPr>
          <w:rFonts w:ascii="Times New Roman" w:hAnsi="Times New Roman" w:cs="Times New Roman"/>
          <w:sz w:val="20"/>
          <w:szCs w:val="20"/>
        </w:rPr>
        <w:t>In a sustainable future, existing European Directives and international agreements on the environment are fully implemented in the medium term.</w:t>
      </w:r>
      <w:r>
        <w:rPr>
          <w:rFonts w:ascii="Times New Roman" w:hAnsi="Times New Roman" w:cs="Times New Roman"/>
          <w:sz w:val="20"/>
          <w:szCs w:val="20"/>
        </w:rPr>
        <w:t xml:space="preserve"> A</w:t>
      </w:r>
      <w:r w:rsidRPr="00991792">
        <w:rPr>
          <w:rFonts w:ascii="Times New Roman" w:hAnsi="Times New Roman" w:cs="Times New Roman"/>
          <w:sz w:val="20"/>
          <w:szCs w:val="20"/>
        </w:rPr>
        <w:t xml:space="preserve">ll countries in the Baltic Sea region strengthen cooperation and formulate in the long term strong environmental regulation. Technological development ensures a low material growth and low resource and energy intensity, which radically improves the environmental performance of industrial processes, shipping technology and agricultural management. </w:t>
      </w:r>
    </w:p>
    <w:p w:rsidR="00226038" w:rsidRPr="00991792" w:rsidRDefault="00226038" w:rsidP="00226038">
      <w:pPr>
        <w:spacing w:after="120" w:line="360" w:lineRule="auto"/>
        <w:jc w:val="both"/>
        <w:rPr>
          <w:rFonts w:ascii="Times New Roman" w:hAnsi="Times New Roman" w:cs="Times New Roman"/>
          <w:sz w:val="20"/>
          <w:szCs w:val="20"/>
        </w:rPr>
      </w:pPr>
      <w:r w:rsidRPr="00991792">
        <w:rPr>
          <w:rFonts w:ascii="Times New Roman" w:hAnsi="Times New Roman" w:cs="Times New Roman"/>
          <w:sz w:val="20"/>
          <w:szCs w:val="20"/>
        </w:rPr>
        <w:t>Urbanisation is rapid</w:t>
      </w:r>
      <w:r w:rsidR="00AB3D25">
        <w:rPr>
          <w:rFonts w:ascii="Times New Roman" w:hAnsi="Times New Roman" w:cs="Times New Roman"/>
          <w:sz w:val="20"/>
          <w:szCs w:val="20"/>
        </w:rPr>
        <w:t>,</w:t>
      </w:r>
      <w:r w:rsidRPr="00991792">
        <w:rPr>
          <w:rFonts w:ascii="Times New Roman" w:hAnsi="Times New Roman" w:cs="Times New Roman"/>
          <w:sz w:val="20"/>
          <w:szCs w:val="20"/>
        </w:rPr>
        <w:t xml:space="preserve"> but with increasing population density. Because of increased environmental consciousness and concern to increase material efficiencies, densification of cities avoids urban sprawl. More nature areas in vicinity to urban centres are established on former agricultural land to enhance recreation</w:t>
      </w:r>
      <w:r w:rsidR="00AB3D25">
        <w:rPr>
          <w:rFonts w:ascii="Times New Roman" w:hAnsi="Times New Roman" w:cs="Times New Roman"/>
          <w:sz w:val="20"/>
          <w:szCs w:val="20"/>
        </w:rPr>
        <w:t>al</w:t>
      </w:r>
      <w:r w:rsidRPr="00991792">
        <w:rPr>
          <w:rFonts w:ascii="Times New Roman" w:hAnsi="Times New Roman" w:cs="Times New Roman"/>
          <w:sz w:val="20"/>
          <w:szCs w:val="20"/>
        </w:rPr>
        <w:t xml:space="preserve"> opportunities. Food consumption changes towards more local and organic produce as well as a move towards an increasingly plant-based diet and sustainable seafood.</w:t>
      </w:r>
    </w:p>
    <w:p w:rsidR="00226038" w:rsidRPr="007F4AA9" w:rsidRDefault="00226038" w:rsidP="00226038">
      <w:pPr>
        <w:pStyle w:val="Heading2"/>
      </w:pPr>
      <w:r>
        <w:t>1.2</w:t>
      </w:r>
      <w:r w:rsidRPr="007F4AA9">
        <w:t xml:space="preserve"> Nutrients - agriculture</w:t>
      </w:r>
    </w:p>
    <w:p w:rsidR="00226038" w:rsidRPr="00991792" w:rsidRDefault="00226038" w:rsidP="00226038">
      <w:pPr>
        <w:spacing w:after="0" w:line="360" w:lineRule="auto"/>
        <w:jc w:val="both"/>
        <w:rPr>
          <w:rFonts w:ascii="Times New Roman" w:hAnsi="Times New Roman" w:cs="Times New Roman"/>
          <w:sz w:val="20"/>
          <w:szCs w:val="20"/>
        </w:rPr>
      </w:pPr>
      <w:r w:rsidRPr="00991792">
        <w:rPr>
          <w:rFonts w:ascii="Times New Roman" w:hAnsi="Times New Roman" w:cs="Times New Roman"/>
          <w:sz w:val="20"/>
          <w:szCs w:val="20"/>
        </w:rPr>
        <w:t xml:space="preserve">Due to major change in food consumption, agricultural land use decreases significantly due to increased efficiencies and reduced livestock numbers. The reduction in livestock also leads to a significant reduction in the application of manure. Organic agriculture plays an increasing role. Excess agricultural land is converted into perennial crops for bioenergy production or recreational nature areas in vicinity of urban areas. Intensity of farming increases. Farmers and policy makers focus on enhancing efficiency in order to minimize environmental pressures, leading to increased N use efficiency.  </w:t>
      </w:r>
    </w:p>
    <w:p w:rsidR="00226038" w:rsidRPr="007F4AA9" w:rsidRDefault="00226038" w:rsidP="00226038">
      <w:pPr>
        <w:pStyle w:val="Heading2"/>
      </w:pPr>
      <w:r>
        <w:t>1.</w:t>
      </w:r>
      <w:r w:rsidRPr="007F4AA9">
        <w:t>3 Nutrients – waste water treatment plants</w:t>
      </w:r>
    </w:p>
    <w:p w:rsidR="00226038" w:rsidRPr="00991792" w:rsidRDefault="00226038" w:rsidP="00226038">
      <w:pPr>
        <w:spacing w:before="120" w:after="0" w:line="360" w:lineRule="auto"/>
        <w:jc w:val="both"/>
        <w:rPr>
          <w:rFonts w:ascii="Times New Roman" w:hAnsi="Times New Roman" w:cs="Times New Roman"/>
          <w:sz w:val="20"/>
          <w:szCs w:val="20"/>
        </w:rPr>
      </w:pPr>
      <w:r w:rsidRPr="00991792">
        <w:rPr>
          <w:rFonts w:ascii="Times New Roman" w:hAnsi="Times New Roman" w:cs="Times New Roman"/>
          <w:sz w:val="20"/>
          <w:szCs w:val="20"/>
        </w:rPr>
        <w:t>Municipal wastewater treatment facilities in the Baltic Sea region apply increasingly sophisticated and comprehensive treatment. Existing facilities are updated and new plants are built to serve the growth of packed urban areas. The existing primary and secondary wastewater facilities are gradually updated to tertiary</w:t>
      </w:r>
      <w:r>
        <w:rPr>
          <w:rFonts w:ascii="Times New Roman" w:hAnsi="Times New Roman" w:cs="Times New Roman"/>
          <w:sz w:val="20"/>
          <w:szCs w:val="20"/>
        </w:rPr>
        <w:t xml:space="preserve"> level.</w:t>
      </w:r>
      <w:r w:rsidRPr="00991792">
        <w:rPr>
          <w:rFonts w:ascii="Times New Roman" w:hAnsi="Times New Roman" w:cs="Times New Roman"/>
          <w:sz w:val="20"/>
          <w:szCs w:val="20"/>
        </w:rPr>
        <w:t xml:space="preserve"> Innovations and increasingly advanced methods are introduced to improve the treatment of the existing tertiary plants. In rural areas outside the sewage system, septic systems and advanced onsite treatment systems become common. The EU Urban Waste Water Directive </w:t>
      </w:r>
      <w:r>
        <w:rPr>
          <w:rFonts w:ascii="Times New Roman" w:hAnsi="Times New Roman" w:cs="Times New Roman"/>
          <w:sz w:val="20"/>
          <w:szCs w:val="20"/>
        </w:rPr>
        <w:t>is</w:t>
      </w:r>
      <w:r w:rsidRPr="00991792">
        <w:rPr>
          <w:rFonts w:ascii="Times New Roman" w:hAnsi="Times New Roman" w:cs="Times New Roman"/>
          <w:sz w:val="20"/>
          <w:szCs w:val="20"/>
        </w:rPr>
        <w:t xml:space="preserve"> fully implemented in the EU countries in the medium term. </w:t>
      </w:r>
      <w:r>
        <w:rPr>
          <w:rFonts w:ascii="Times New Roman" w:hAnsi="Times New Roman" w:cs="Times New Roman"/>
          <w:sz w:val="20"/>
          <w:szCs w:val="20"/>
        </w:rPr>
        <w:t>I</w:t>
      </w:r>
      <w:r w:rsidRPr="00991792">
        <w:rPr>
          <w:rFonts w:ascii="Times New Roman" w:hAnsi="Times New Roman" w:cs="Times New Roman"/>
          <w:sz w:val="20"/>
          <w:szCs w:val="20"/>
        </w:rPr>
        <w:t>n the long term</w:t>
      </w:r>
      <w:r>
        <w:rPr>
          <w:rFonts w:ascii="Times New Roman" w:hAnsi="Times New Roman" w:cs="Times New Roman"/>
          <w:sz w:val="20"/>
          <w:szCs w:val="20"/>
        </w:rPr>
        <w:t>,</w:t>
      </w:r>
      <w:r w:rsidRPr="00991792">
        <w:rPr>
          <w:rFonts w:ascii="Times New Roman" w:hAnsi="Times New Roman" w:cs="Times New Roman"/>
          <w:sz w:val="20"/>
          <w:szCs w:val="20"/>
        </w:rPr>
        <w:t xml:space="preserve"> </w:t>
      </w:r>
      <w:r>
        <w:rPr>
          <w:rFonts w:ascii="Times New Roman" w:hAnsi="Times New Roman" w:cs="Times New Roman"/>
          <w:sz w:val="20"/>
          <w:szCs w:val="20"/>
        </w:rPr>
        <w:t>a</w:t>
      </w:r>
      <w:r w:rsidRPr="00991792">
        <w:rPr>
          <w:rFonts w:ascii="Times New Roman" w:hAnsi="Times New Roman" w:cs="Times New Roman"/>
          <w:sz w:val="20"/>
          <w:szCs w:val="20"/>
        </w:rPr>
        <w:t xml:space="preserve">ll countries and regions fully comply with the HELCOM recommendations set for municipal waste water treatment </w:t>
      </w:r>
      <w:r w:rsidRPr="00991792">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 "citationItems" : [ { "id" : "ITEM-1", "itemData" : { "author" : [ { "dropping-particle" : "", "family" : "HELCOM", "given" : "", "non-dropping-particle" : "", "parse-names" : false, "suffix" : "" } ], "id" : "ITEM-1", "issued" : { "date-parts" : [ [ "2007" ] ] }, "title" : "Municipal Waste Water Treatment. HELCOM Recommendation 28E/5", "type" : "report" }, "uris" : [ "http://www.mendeley.com/documents/?uuid=5c03bbbc-8235-4d13-954d-c047d85f2f54" ] } ], "mendeley" : { "formattedCitation" : "(HELCOM, 2007a)", "plainTextFormattedCitation" : "(HELCOM, 2007a)", "previouslyFormattedCitation" : "(HELCOM, 2007a)" }, "properties" : { "noteIndex" : 0 }, "schema" : "https://github.com/citation-style-language/schema/raw/master/csl-citation.json" }</w:instrText>
      </w:r>
      <w:r w:rsidRPr="00991792">
        <w:rPr>
          <w:rFonts w:ascii="Times New Roman" w:hAnsi="Times New Roman" w:cs="Times New Roman"/>
          <w:sz w:val="20"/>
          <w:szCs w:val="20"/>
        </w:rPr>
        <w:fldChar w:fldCharType="separate"/>
      </w:r>
      <w:r w:rsidRPr="00DB22A5">
        <w:rPr>
          <w:rFonts w:ascii="Times New Roman" w:hAnsi="Times New Roman" w:cs="Times New Roman"/>
          <w:noProof/>
          <w:sz w:val="20"/>
          <w:szCs w:val="20"/>
        </w:rPr>
        <w:t>(HELCOM, 2007a)</w:t>
      </w:r>
      <w:r w:rsidRPr="00991792">
        <w:rPr>
          <w:rFonts w:ascii="Times New Roman" w:hAnsi="Times New Roman" w:cs="Times New Roman"/>
          <w:sz w:val="20"/>
          <w:szCs w:val="20"/>
        </w:rPr>
        <w:fldChar w:fldCharType="end"/>
      </w:r>
      <w:r w:rsidRPr="00991792">
        <w:rPr>
          <w:rFonts w:ascii="Times New Roman" w:hAnsi="Times New Roman" w:cs="Times New Roman"/>
          <w:sz w:val="20"/>
          <w:szCs w:val="20"/>
        </w:rPr>
        <w:t xml:space="preserve">. The stringent HELCOM recommendations for on-site waste water treatment </w:t>
      </w:r>
      <w:r w:rsidRPr="00991792">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 "citationItems" : [ { "id" : "ITEM-1", "itemData" : { "author" : [ { "dropping-particle" : "", "family" : "HELCOM", "given" : "", "non-dropping-particle" : "", "parse-names" : false, "suffix" : "" } ], "id" : "ITEM-1", "issued" : { "date-parts" : [ [ "2007" ] ] }, "title" : "On-site waste water treatment of single family homes, small businesses and settlement up to 300 person equivalents. HELCOM recommendation 28E/6.", "type" : "report" }, "uris" : [ "http://www.mendeley.com/documents/?uuid=16f557bf-90a5-4107-bab2-55f081c2b8bb" ] } ], "mendeley" : { "formattedCitation" : "(HELCOM, 2007b)", "plainTextFormattedCitation" : "(HELCOM, 2007b)", "previouslyFormattedCitation" : "(HELCOM, 2007b)" }, "properties" : { "noteIndex" : 0 }, "schema" : "https://github.com/citation-style-language/schema/raw/master/csl-citation.json" }</w:instrText>
      </w:r>
      <w:r w:rsidRPr="00991792">
        <w:rPr>
          <w:rFonts w:ascii="Times New Roman" w:hAnsi="Times New Roman" w:cs="Times New Roman"/>
          <w:sz w:val="20"/>
          <w:szCs w:val="20"/>
        </w:rPr>
        <w:fldChar w:fldCharType="separate"/>
      </w:r>
      <w:r w:rsidRPr="00DB22A5">
        <w:rPr>
          <w:rFonts w:ascii="Times New Roman" w:hAnsi="Times New Roman" w:cs="Times New Roman"/>
          <w:noProof/>
          <w:sz w:val="20"/>
          <w:szCs w:val="20"/>
        </w:rPr>
        <w:t>(HELCOM, 2007b)</w:t>
      </w:r>
      <w:r w:rsidRPr="00991792">
        <w:rPr>
          <w:rFonts w:ascii="Times New Roman" w:hAnsi="Times New Roman" w:cs="Times New Roman"/>
          <w:sz w:val="20"/>
          <w:szCs w:val="20"/>
        </w:rPr>
        <w:fldChar w:fldCharType="end"/>
      </w:r>
      <w:r w:rsidRPr="00991792">
        <w:rPr>
          <w:rFonts w:ascii="Times New Roman" w:hAnsi="Times New Roman" w:cs="Times New Roman"/>
          <w:sz w:val="20"/>
          <w:szCs w:val="20"/>
        </w:rPr>
        <w:t xml:space="preserve"> are partly met. </w:t>
      </w:r>
    </w:p>
    <w:p w:rsidR="00226038" w:rsidRPr="007F4AA9" w:rsidRDefault="00226038" w:rsidP="00226038">
      <w:pPr>
        <w:pStyle w:val="Heading2"/>
      </w:pPr>
      <w:r w:rsidRPr="007F4AA9">
        <w:t>1.4 Nutrients – atmospheric deposition of nitrogen</w:t>
      </w:r>
    </w:p>
    <w:p w:rsidR="00226038" w:rsidRPr="00991792" w:rsidRDefault="00226038" w:rsidP="00226038">
      <w:pPr>
        <w:spacing w:before="120" w:after="0" w:line="360" w:lineRule="auto"/>
        <w:jc w:val="both"/>
        <w:rPr>
          <w:rFonts w:ascii="Times New Roman" w:hAnsi="Times New Roman" w:cs="Times New Roman"/>
          <w:sz w:val="20"/>
          <w:szCs w:val="20"/>
        </w:rPr>
      </w:pPr>
      <w:r w:rsidRPr="00991792">
        <w:rPr>
          <w:rFonts w:ascii="Times New Roman" w:hAnsi="Times New Roman" w:cs="Times New Roman"/>
          <w:sz w:val="20"/>
          <w:szCs w:val="20"/>
        </w:rPr>
        <w:t xml:space="preserve">The relatively rapid development in clean energy technologies combined with successfully implemented policies to control air pollutants lead to a major reduction in nitrogen oxides emissions and subsequently in the deposition of nitrogen oxides. The ammonia emissions, and thus deposition, decrease significantly because of the reduction in livestock, improved </w:t>
      </w:r>
      <w:r w:rsidR="00AB3D25">
        <w:rPr>
          <w:rFonts w:ascii="Times New Roman" w:hAnsi="Times New Roman" w:cs="Times New Roman"/>
          <w:sz w:val="20"/>
          <w:szCs w:val="20"/>
        </w:rPr>
        <w:t xml:space="preserve">manure </w:t>
      </w:r>
      <w:r w:rsidRPr="00991792">
        <w:rPr>
          <w:rFonts w:ascii="Times New Roman" w:hAnsi="Times New Roman" w:cs="Times New Roman"/>
          <w:sz w:val="20"/>
          <w:szCs w:val="20"/>
        </w:rPr>
        <w:lastRenderedPageBreak/>
        <w:t>storage and spreading technologies and reduced agricultural land use in the region. Air pollution also reduces with a growing substitution towards electric vehicles and shipping vessels.</w:t>
      </w:r>
    </w:p>
    <w:p w:rsidR="00226038" w:rsidRPr="007F4AA9" w:rsidRDefault="00226038" w:rsidP="00226038">
      <w:pPr>
        <w:pStyle w:val="Heading2"/>
      </w:pPr>
      <w:r w:rsidRPr="007F4AA9">
        <w:t xml:space="preserve">1.5 </w:t>
      </w:r>
      <w:r w:rsidRPr="00E73B57">
        <w:t>Shipping</w:t>
      </w:r>
      <w:r w:rsidRPr="007F4AA9">
        <w:t xml:space="preserve"> </w:t>
      </w:r>
    </w:p>
    <w:p w:rsidR="00226038" w:rsidRPr="00991792" w:rsidRDefault="00226038" w:rsidP="00226038">
      <w:pPr>
        <w:spacing w:before="120"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Tourist shipping </w:t>
      </w:r>
      <w:r w:rsidRPr="00991792">
        <w:rPr>
          <w:rFonts w:ascii="Times New Roman" w:hAnsi="Times New Roman" w:cs="Times New Roman"/>
          <w:sz w:val="20"/>
          <w:szCs w:val="20"/>
          <w:lang w:val="en-US"/>
        </w:rPr>
        <w:t>increase</w:t>
      </w:r>
      <w:r>
        <w:rPr>
          <w:rFonts w:ascii="Times New Roman" w:hAnsi="Times New Roman" w:cs="Times New Roman"/>
          <w:sz w:val="20"/>
          <w:szCs w:val="20"/>
          <w:lang w:val="en-US"/>
        </w:rPr>
        <w:t>s</w:t>
      </w:r>
      <w:r w:rsidRPr="00991792">
        <w:rPr>
          <w:rFonts w:ascii="Times New Roman" w:hAnsi="Times New Roman" w:cs="Times New Roman"/>
          <w:sz w:val="20"/>
          <w:szCs w:val="20"/>
          <w:lang w:val="en-US"/>
        </w:rPr>
        <w:t xml:space="preserve"> significantly while oil tanker shipping and bulk shipping reduce due to declining consumption</w:t>
      </w:r>
      <w:r>
        <w:rPr>
          <w:rFonts w:ascii="Times New Roman" w:hAnsi="Times New Roman" w:cs="Times New Roman"/>
          <w:sz w:val="20"/>
          <w:szCs w:val="20"/>
          <w:lang w:val="en-US"/>
        </w:rPr>
        <w:t xml:space="preserve"> of oil and coal. </w:t>
      </w:r>
      <w:r w:rsidRPr="00991792">
        <w:rPr>
          <w:rFonts w:ascii="Times New Roman" w:hAnsi="Times New Roman" w:cs="Times New Roman"/>
          <w:sz w:val="20"/>
          <w:szCs w:val="20"/>
          <w:lang w:val="en-US"/>
        </w:rPr>
        <w:t>Over the long term, electrification in short sea shipping such as road ferries, roll on – roll off ships and cruise ships become standard. Efficient methods for air pollution abatement are implemented on all ships. Biofuels including biogas, bioethanol made from renewable sources and other types of biofuels will replace fossil-based fuels for shipping in the long term. In the medium term, natural gas and distilled fuels similar to diesel and potentially alcohols produced from fossil sources will replace current marine fuels, improving air quality. The emissions of grey water, black water and waste discontinue</w:t>
      </w:r>
      <w:r>
        <w:rPr>
          <w:rFonts w:ascii="Times New Roman" w:hAnsi="Times New Roman" w:cs="Times New Roman"/>
          <w:sz w:val="20"/>
          <w:szCs w:val="20"/>
          <w:lang w:val="en-US"/>
        </w:rPr>
        <w:t>s</w:t>
      </w:r>
      <w:r w:rsidRPr="00991792">
        <w:rPr>
          <w:rFonts w:ascii="Times New Roman" w:hAnsi="Times New Roman" w:cs="Times New Roman"/>
          <w:sz w:val="20"/>
          <w:szCs w:val="20"/>
          <w:lang w:val="en-US"/>
        </w:rPr>
        <w:t xml:space="preserve">. The emissions of stern tube oil cease to appear for new ships and the Ballast Water Management Convention </w:t>
      </w:r>
      <w:r>
        <w:rPr>
          <w:rFonts w:ascii="Times New Roman" w:hAnsi="Times New Roman" w:cs="Times New Roman"/>
          <w:sz w:val="20"/>
          <w:szCs w:val="20"/>
          <w:lang w:val="en-US"/>
        </w:rPr>
        <w:t>is</w:t>
      </w:r>
      <w:r w:rsidRPr="00991792">
        <w:rPr>
          <w:rFonts w:ascii="Times New Roman" w:hAnsi="Times New Roman" w:cs="Times New Roman"/>
          <w:sz w:val="20"/>
          <w:szCs w:val="20"/>
          <w:lang w:val="en-US"/>
        </w:rPr>
        <w:t xml:space="preserve"> fully implemented, preventing the introduction of alien species. The use of toxic hull paints </w:t>
      </w:r>
      <w:r>
        <w:rPr>
          <w:rFonts w:ascii="Times New Roman" w:hAnsi="Times New Roman" w:cs="Times New Roman"/>
          <w:sz w:val="20"/>
          <w:szCs w:val="20"/>
          <w:lang w:val="en-US"/>
        </w:rPr>
        <w:t>is</w:t>
      </w:r>
      <w:r w:rsidRPr="00991792">
        <w:rPr>
          <w:rFonts w:ascii="Times New Roman" w:hAnsi="Times New Roman" w:cs="Times New Roman"/>
          <w:sz w:val="20"/>
          <w:szCs w:val="20"/>
          <w:lang w:val="en-US"/>
        </w:rPr>
        <w:t xml:space="preserve"> phased out in the Baltic Sea, but ships operating also in the oceans will continue to use toxic paint. Risk of oil spills becomes negligible. </w:t>
      </w:r>
    </w:p>
    <w:p w:rsidR="00226038" w:rsidRPr="007F4AA9" w:rsidRDefault="00226038" w:rsidP="00226038">
      <w:pPr>
        <w:pStyle w:val="Heading2"/>
        <w:rPr>
          <w:sz w:val="20"/>
          <w:szCs w:val="20"/>
          <w:lang w:val="en-US"/>
        </w:rPr>
      </w:pPr>
      <w:r w:rsidRPr="007F4AA9">
        <w:t>1.6 Fishing</w:t>
      </w:r>
    </w:p>
    <w:p w:rsidR="00226038" w:rsidRPr="00991792" w:rsidRDefault="00226038" w:rsidP="00226038">
      <w:pPr>
        <w:spacing w:before="120" w:after="0" w:line="360" w:lineRule="auto"/>
        <w:jc w:val="both"/>
        <w:rPr>
          <w:rFonts w:ascii="Times New Roman" w:hAnsi="Times New Roman" w:cs="Times New Roman"/>
          <w:sz w:val="20"/>
          <w:szCs w:val="20"/>
        </w:rPr>
      </w:pPr>
      <w:bookmarkStart w:id="0" w:name="_Toc460332574"/>
      <w:r>
        <w:rPr>
          <w:rFonts w:ascii="Times New Roman" w:hAnsi="Times New Roman" w:cs="Times New Roman"/>
          <w:sz w:val="20"/>
          <w:szCs w:val="20"/>
        </w:rPr>
        <w:t>The</w:t>
      </w:r>
      <w:r w:rsidRPr="00991792">
        <w:rPr>
          <w:rFonts w:ascii="Times New Roman" w:hAnsi="Times New Roman" w:cs="Times New Roman"/>
          <w:sz w:val="20"/>
          <w:szCs w:val="20"/>
        </w:rPr>
        <w:t xml:space="preserve"> region focuses on sustainable fisheries that operate at a level that maintains the health of the ecosystem. Fisheries are effectively regulated in an ecologically, economically and socially sustainable way. Stakeholders are involved in </w:t>
      </w:r>
      <w:r w:rsidRPr="00991792">
        <w:rPr>
          <w:rFonts w:ascii="Times New Roman" w:hAnsi="Times New Roman" w:cs="Times New Roman"/>
          <w:sz w:val="20"/>
          <w:szCs w:val="20"/>
          <w:lang w:val="en-US"/>
        </w:rPr>
        <w:t>fisheries research and governance</w:t>
      </w:r>
      <w:r>
        <w:rPr>
          <w:rFonts w:ascii="Times New Roman" w:hAnsi="Times New Roman" w:cs="Times New Roman"/>
          <w:sz w:val="20"/>
          <w:szCs w:val="20"/>
          <w:lang w:val="en-US"/>
        </w:rPr>
        <w:t>, ensuring</w:t>
      </w:r>
      <w:r w:rsidRPr="00991792">
        <w:rPr>
          <w:rFonts w:ascii="Times New Roman" w:hAnsi="Times New Roman" w:cs="Times New Roman"/>
          <w:sz w:val="20"/>
          <w:szCs w:val="20"/>
          <w:lang w:val="en-US"/>
        </w:rPr>
        <w:t xml:space="preserve"> successful implementation of regulations. </w:t>
      </w:r>
      <w:r w:rsidRPr="00991792">
        <w:rPr>
          <w:rFonts w:ascii="Times New Roman" w:hAnsi="Times New Roman" w:cs="Times New Roman"/>
          <w:sz w:val="20"/>
          <w:szCs w:val="20"/>
        </w:rPr>
        <w:t>Small-scale, low-impact fisheries are promoted instead of large-scale fishing.</w:t>
      </w:r>
    </w:p>
    <w:p w:rsidR="00226038" w:rsidRPr="00991792" w:rsidRDefault="00226038" w:rsidP="00226038">
      <w:pPr>
        <w:spacing w:after="120" w:line="360" w:lineRule="auto"/>
        <w:jc w:val="both"/>
        <w:rPr>
          <w:rFonts w:ascii="Times New Roman" w:hAnsi="Times New Roman" w:cs="Times New Roman"/>
          <w:sz w:val="20"/>
          <w:szCs w:val="20"/>
        </w:rPr>
      </w:pPr>
      <w:r w:rsidRPr="00991792">
        <w:rPr>
          <w:rFonts w:ascii="Times New Roman" w:hAnsi="Times New Roman" w:cs="Times New Roman"/>
          <w:sz w:val="20"/>
          <w:szCs w:val="20"/>
        </w:rPr>
        <w:t xml:space="preserve">Fisheries provide long-term economic gain, a sustainable source of protein, and cultural benefits. Fish caught or produced in the Baltic Sea is of high value to consumers as the pollutant contents of Baltic fish have decreased and fish size and quality increase due to better environmental conditions and management. Aquaculture farms make use of feed mainly sourced from Baltic herring and sprat residues, according to principles of circular economy, and implement optimized feeding systems to minimize leakage of nutrients and organic matter. Only moderate amounts of fish are exported. Fishing gears are improved to avoid destructive environmental effects with regard to habitat damages and by-catch, and for increasing energy efficiency. </w:t>
      </w:r>
    </w:p>
    <w:p w:rsidR="00226038" w:rsidRDefault="00226038">
      <w:pPr>
        <w:spacing w:after="160" w:line="259" w:lineRule="auto"/>
        <w:rPr>
          <w:rFonts w:asciiTheme="majorHAnsi" w:eastAsiaTheme="majorEastAsia" w:hAnsiTheme="majorHAnsi" w:cstheme="majorBidi"/>
          <w:color w:val="2E74B5" w:themeColor="accent1" w:themeShade="BF"/>
          <w:sz w:val="32"/>
          <w:szCs w:val="32"/>
        </w:rPr>
      </w:pPr>
      <w:r>
        <w:br w:type="page"/>
      </w:r>
    </w:p>
    <w:p w:rsidR="00226038" w:rsidRPr="00DC62AD" w:rsidRDefault="00226038" w:rsidP="00226038">
      <w:pPr>
        <w:pStyle w:val="Heading1"/>
        <w:rPr>
          <w:b/>
        </w:rPr>
      </w:pPr>
      <w:r w:rsidRPr="00DC62AD">
        <w:rPr>
          <w:b/>
        </w:rPr>
        <w:lastRenderedPageBreak/>
        <w:t>2 SSP2 – Middle of the Road</w:t>
      </w:r>
      <w:bookmarkEnd w:id="0"/>
    </w:p>
    <w:p w:rsidR="00226038" w:rsidRPr="007F4AA9" w:rsidRDefault="00226038" w:rsidP="00226038">
      <w:pPr>
        <w:pStyle w:val="Heading2"/>
      </w:pPr>
      <w:r w:rsidRPr="007F4AA9">
        <w:t>2.1 General social trends</w:t>
      </w:r>
    </w:p>
    <w:p w:rsidR="00226038" w:rsidRPr="00991792" w:rsidRDefault="00226038" w:rsidP="00226038">
      <w:pPr>
        <w:spacing w:before="120" w:after="0" w:line="360" w:lineRule="auto"/>
        <w:jc w:val="both"/>
        <w:rPr>
          <w:rFonts w:ascii="Times New Roman" w:hAnsi="Times New Roman" w:cs="Times New Roman"/>
          <w:sz w:val="20"/>
          <w:szCs w:val="20"/>
        </w:rPr>
      </w:pPr>
      <w:r w:rsidRPr="00991792">
        <w:rPr>
          <w:rFonts w:ascii="Times New Roman" w:hAnsi="Times New Roman" w:cs="Times New Roman"/>
          <w:sz w:val="20"/>
          <w:szCs w:val="20"/>
        </w:rPr>
        <w:t>In a ‘Middle of the Road’ future, existing European Directives and international agreements on the environment are only partially implemented in the medium term. In the long term, similar environmental regulations continue to be only partially implemented.</w:t>
      </w:r>
    </w:p>
    <w:p w:rsidR="00226038" w:rsidRPr="00991792" w:rsidRDefault="00226038" w:rsidP="00226038">
      <w:pPr>
        <w:spacing w:before="120" w:after="0" w:line="360" w:lineRule="auto"/>
        <w:jc w:val="both"/>
        <w:rPr>
          <w:rFonts w:ascii="Times New Roman" w:hAnsi="Times New Roman" w:cs="Times New Roman"/>
          <w:sz w:val="20"/>
          <w:szCs w:val="20"/>
        </w:rPr>
      </w:pPr>
      <w:r w:rsidRPr="00991792">
        <w:rPr>
          <w:rFonts w:ascii="Times New Roman" w:hAnsi="Times New Roman" w:cs="Times New Roman"/>
          <w:sz w:val="20"/>
          <w:szCs w:val="20"/>
        </w:rPr>
        <w:t>The world is characterised by partially functioning and globally connected markets with medium technological development, which only lead to some improvements in the environmental performance of industrial process</w:t>
      </w:r>
      <w:r>
        <w:rPr>
          <w:rFonts w:ascii="Times New Roman" w:hAnsi="Times New Roman" w:cs="Times New Roman"/>
          <w:sz w:val="20"/>
          <w:szCs w:val="20"/>
        </w:rPr>
        <w:t>es and agricultural management.</w:t>
      </w:r>
    </w:p>
    <w:p w:rsidR="00226038" w:rsidRPr="00991792" w:rsidRDefault="00226038" w:rsidP="00226038">
      <w:pPr>
        <w:spacing w:before="120" w:after="0" w:line="360" w:lineRule="auto"/>
        <w:jc w:val="both"/>
        <w:rPr>
          <w:rFonts w:ascii="Times New Roman" w:hAnsi="Times New Roman" w:cs="Times New Roman"/>
          <w:sz w:val="20"/>
          <w:szCs w:val="20"/>
        </w:rPr>
      </w:pPr>
      <w:r w:rsidRPr="00991792">
        <w:rPr>
          <w:rFonts w:ascii="Times New Roman" w:hAnsi="Times New Roman" w:cs="Times New Roman"/>
          <w:sz w:val="20"/>
          <w:szCs w:val="20"/>
        </w:rPr>
        <w:t xml:space="preserve">More people move to urban centres, but generally at a moderate rate. Poland will </w:t>
      </w:r>
      <w:r w:rsidR="00C46B5E">
        <w:rPr>
          <w:rFonts w:ascii="Times New Roman" w:hAnsi="Times New Roman" w:cs="Times New Roman"/>
          <w:sz w:val="20"/>
          <w:szCs w:val="20"/>
        </w:rPr>
        <w:t xml:space="preserve">in particular </w:t>
      </w:r>
      <w:r w:rsidRPr="00991792">
        <w:rPr>
          <w:rFonts w:ascii="Times New Roman" w:hAnsi="Times New Roman" w:cs="Times New Roman"/>
          <w:sz w:val="20"/>
          <w:szCs w:val="20"/>
        </w:rPr>
        <w:t>experience a strong urbanization trend. Because of a lack of systematic integration of environmental issues in spatial planning and decision-making, densification of cities is not successful, and urban areas expand proportionally with increases in urban population. Existing nature areas used for recreation are sought maintained to the extent possible. This would leave relatively less urban green areas as the urban population grows. Food consumption patterns remain relatively stable compared to present. The share of organic and local produce increases, but remains a niche market.</w:t>
      </w:r>
    </w:p>
    <w:p w:rsidR="00226038" w:rsidRPr="007F4AA9" w:rsidRDefault="00226038" w:rsidP="00226038">
      <w:pPr>
        <w:pStyle w:val="Heading2"/>
      </w:pPr>
      <w:r w:rsidRPr="007F4AA9">
        <w:t>2.2 Nutrients – agriculture</w:t>
      </w:r>
    </w:p>
    <w:p w:rsidR="00226038" w:rsidRPr="00991792" w:rsidRDefault="00226038" w:rsidP="00226038">
      <w:pPr>
        <w:spacing w:before="120" w:after="120" w:line="360" w:lineRule="auto"/>
        <w:jc w:val="both"/>
        <w:rPr>
          <w:rFonts w:ascii="Times New Roman" w:hAnsi="Times New Roman" w:cs="Times New Roman"/>
          <w:sz w:val="20"/>
          <w:szCs w:val="20"/>
        </w:rPr>
      </w:pPr>
      <w:r w:rsidRPr="00991792">
        <w:rPr>
          <w:rFonts w:ascii="Times New Roman" w:hAnsi="Times New Roman" w:cs="Times New Roman"/>
          <w:sz w:val="20"/>
          <w:szCs w:val="20"/>
        </w:rPr>
        <w:t>The level</w:t>
      </w:r>
      <w:r w:rsidRPr="00991792" w:rsidDel="00BC2FE4">
        <w:rPr>
          <w:rFonts w:ascii="Times New Roman" w:hAnsi="Times New Roman" w:cs="Times New Roman"/>
          <w:sz w:val="20"/>
          <w:szCs w:val="20"/>
        </w:rPr>
        <w:t xml:space="preserve"> </w:t>
      </w:r>
      <w:r w:rsidRPr="00991792">
        <w:rPr>
          <w:rFonts w:ascii="Times New Roman" w:hAnsi="Times New Roman" w:cs="Times New Roman"/>
          <w:sz w:val="20"/>
          <w:szCs w:val="20"/>
        </w:rPr>
        <w:t xml:space="preserve">of </w:t>
      </w:r>
      <w:r>
        <w:rPr>
          <w:rFonts w:ascii="Times New Roman" w:hAnsi="Times New Roman" w:cs="Times New Roman"/>
          <w:sz w:val="20"/>
          <w:szCs w:val="20"/>
        </w:rPr>
        <w:t>livestock</w:t>
      </w:r>
      <w:r w:rsidRPr="00991792">
        <w:rPr>
          <w:rFonts w:ascii="Times New Roman" w:hAnsi="Times New Roman" w:cs="Times New Roman"/>
          <w:sz w:val="20"/>
          <w:szCs w:val="20"/>
        </w:rPr>
        <w:t xml:space="preserve"> remains overall the same as today, but agriculture intensifies substantially in Poland, Russia and the Baltic countries. Agricultural land cover in the Baltic Sea region remains stable, but farms evolve into larger units, with increased industrialisation and production efficiency improvements at a moderate rate, following the trend from Denmark. Some additional efforts are made to increase N efficiencies, but with varying success. Fertilizer rates remain at economic optimum and WFD management plans are only partly implemented. Environmental pressures remain overall the same, but with local differences.  </w:t>
      </w:r>
    </w:p>
    <w:p w:rsidR="00226038" w:rsidRPr="007F4AA9" w:rsidRDefault="00226038" w:rsidP="00226038">
      <w:pPr>
        <w:pStyle w:val="Heading2"/>
      </w:pPr>
      <w:r w:rsidRPr="007F4AA9">
        <w:t>2.3 Nutrients – wastewater treatment</w:t>
      </w:r>
    </w:p>
    <w:p w:rsidR="00226038" w:rsidRDefault="00226038" w:rsidP="00226038">
      <w:pPr>
        <w:spacing w:before="120" w:after="120" w:line="360" w:lineRule="auto"/>
        <w:jc w:val="both"/>
        <w:rPr>
          <w:rFonts w:ascii="Times New Roman" w:hAnsi="Times New Roman" w:cs="Times New Roman"/>
          <w:sz w:val="20"/>
          <w:szCs w:val="20"/>
        </w:rPr>
      </w:pPr>
      <w:r w:rsidRPr="00991792">
        <w:rPr>
          <w:rFonts w:ascii="Times New Roman" w:hAnsi="Times New Roman" w:cs="Times New Roman"/>
          <w:sz w:val="20"/>
          <w:szCs w:val="20"/>
        </w:rPr>
        <w:t>The current trend in investments in wastewater treatment infrastructure continues over the medium term, but evens out thereafter. Construction of wastewater treatment and collection systems focuse</w:t>
      </w:r>
      <w:r w:rsidR="00CF2E4D">
        <w:rPr>
          <w:rFonts w:ascii="Times New Roman" w:hAnsi="Times New Roman" w:cs="Times New Roman"/>
          <w:sz w:val="20"/>
          <w:szCs w:val="20"/>
        </w:rPr>
        <w:t>s</w:t>
      </w:r>
      <w:r w:rsidRPr="00991792">
        <w:rPr>
          <w:rFonts w:ascii="Times New Roman" w:hAnsi="Times New Roman" w:cs="Times New Roman"/>
          <w:sz w:val="20"/>
          <w:szCs w:val="20"/>
        </w:rPr>
        <w:t xml:space="preserve"> on the most densely populated municipalities and regions with the largest current discharges. The </w:t>
      </w:r>
      <w:r w:rsidRPr="00991792">
        <w:rPr>
          <w:rFonts w:ascii="Times New Roman" w:hAnsi="Times New Roman" w:cs="Times New Roman"/>
          <w:iCs/>
          <w:sz w:val="20"/>
          <w:szCs w:val="20"/>
        </w:rPr>
        <w:t>sewage</w:t>
      </w:r>
      <w:r w:rsidRPr="00991792">
        <w:rPr>
          <w:rFonts w:ascii="Times New Roman" w:hAnsi="Times New Roman" w:cs="Times New Roman"/>
          <w:sz w:val="20"/>
          <w:szCs w:val="20"/>
        </w:rPr>
        <w:t xml:space="preserve"> sector expands as urbanization increases at a central rate and applies efficient wastewater treatment in urban areas, thereby decreasing loads from point sources. Rural areas, however, lag behind in improving wastewater treatment. Advanced onsite treatment remains rare. There is compliance with current regulations (EU Urban Waste Water Treatment Directive) and recommendations </w:t>
      </w:r>
      <w:r w:rsidRPr="00991792">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 "citationItems" : [ { "id" : "ITEM-1", "itemData" : { "author" : [ { "dropping-particle" : "", "family" : "HELCOM", "given" : "", "non-dropping-particle" : "", "parse-names" : false, "suffix" : "" } ], "id" : "ITEM-1", "issued" : { "date-parts" : [ [ "2007" ] ] }, "title" : "Municipal Waste Water Treatment. HELCOM Recommendation 28E/5", "type" : "report" }, "uris" : [ "http://www.mendeley.com/documents/?uuid=5c03bbbc-8235-4d13-954d-c047d85f2f54" ] }, { "id" : "ITEM-2", "itemData" : { "author" : [ { "dropping-particle" : "", "family" : "HELCOM", "given" : "", "non-dropping-particle" : "", "parse-names" : false, "suffix" : "" } ], "id" : "ITEM-2", "issued" : { "date-parts" : [ [ "2007" ] ] }, "title" : "On-site waste water treatment of single family homes, small businesses and settlement up to 300 person equivalents. HELCOM recommendation 28E/6.", "type" : "report" }, "uris" : [ "http://www.mendeley.com/documents/?uuid=16f557bf-90a5-4107-bab2-55f081c2b8bb" ] } ], "mendeley" : { "formattedCitation" : "(HELCOM, 2007a, 2007b)", "plainTextFormattedCitation" : "(HELCOM, 2007a, 2007b)", "previouslyFormattedCitation" : "(HELCOM, 2007a, 2007b)" }, "properties" : { "noteIndex" : 0 }, "schema" : "https://github.com/citation-style-language/schema/raw/master/csl-citation.json" }</w:instrText>
      </w:r>
      <w:r w:rsidRPr="00991792">
        <w:rPr>
          <w:rFonts w:ascii="Times New Roman" w:hAnsi="Times New Roman" w:cs="Times New Roman"/>
          <w:sz w:val="20"/>
          <w:szCs w:val="20"/>
        </w:rPr>
        <w:fldChar w:fldCharType="separate"/>
      </w:r>
      <w:r w:rsidRPr="00DB22A5">
        <w:rPr>
          <w:rFonts w:ascii="Times New Roman" w:hAnsi="Times New Roman" w:cs="Times New Roman"/>
          <w:noProof/>
          <w:sz w:val="20"/>
          <w:szCs w:val="20"/>
        </w:rPr>
        <w:t>(HELCOM, 2007a, 2007b)</w:t>
      </w:r>
      <w:r w:rsidRPr="00991792">
        <w:rPr>
          <w:rFonts w:ascii="Times New Roman" w:hAnsi="Times New Roman" w:cs="Times New Roman"/>
          <w:sz w:val="20"/>
          <w:szCs w:val="20"/>
        </w:rPr>
        <w:fldChar w:fldCharType="end"/>
      </w:r>
      <w:r w:rsidRPr="00991792">
        <w:rPr>
          <w:rFonts w:ascii="Times New Roman" w:hAnsi="Times New Roman" w:cs="Times New Roman"/>
          <w:sz w:val="20"/>
          <w:szCs w:val="20"/>
        </w:rPr>
        <w:t xml:space="preserve"> in most urban areas, but not in rural areas.</w:t>
      </w:r>
    </w:p>
    <w:p w:rsidR="00226038" w:rsidRPr="007F4AA9" w:rsidRDefault="00226038" w:rsidP="00226038">
      <w:pPr>
        <w:pStyle w:val="Heading2"/>
      </w:pPr>
      <w:r w:rsidRPr="007F4AA9">
        <w:lastRenderedPageBreak/>
        <w:t>2.4 Nutrients – atmospheric deposition of nitrogen</w:t>
      </w:r>
    </w:p>
    <w:p w:rsidR="00226038" w:rsidRPr="00991792" w:rsidRDefault="00226038" w:rsidP="00226038">
      <w:pPr>
        <w:spacing w:before="120" w:after="120" w:line="360" w:lineRule="auto"/>
        <w:jc w:val="both"/>
        <w:rPr>
          <w:rFonts w:ascii="Times New Roman" w:hAnsi="Times New Roman" w:cs="Times New Roman"/>
          <w:sz w:val="20"/>
          <w:szCs w:val="20"/>
        </w:rPr>
      </w:pPr>
      <w:r w:rsidRPr="00991792">
        <w:rPr>
          <w:rFonts w:ascii="Times New Roman" w:hAnsi="Times New Roman" w:cs="Times New Roman"/>
          <w:sz w:val="20"/>
          <w:szCs w:val="20"/>
        </w:rPr>
        <w:t>Medium technological development and declining energy use intensity lead to a significant reduction in nitrogen oxides emissions and deposition. Even though there are no changes in the livestock population in the region, the ammonia emissions and deposition decrease slightly as a consequence of improved storage and spreading technologies for animal manure.</w:t>
      </w:r>
    </w:p>
    <w:p w:rsidR="00226038" w:rsidRPr="007F4AA9" w:rsidRDefault="00226038" w:rsidP="00226038">
      <w:pPr>
        <w:pStyle w:val="Heading2"/>
      </w:pPr>
      <w:r w:rsidRPr="007F4AA9">
        <w:t xml:space="preserve">2.5 Shipping </w:t>
      </w:r>
    </w:p>
    <w:p w:rsidR="00226038" w:rsidRPr="00991792" w:rsidRDefault="00226038" w:rsidP="00226038">
      <w:pPr>
        <w:spacing w:before="120" w:after="120" w:line="360" w:lineRule="auto"/>
        <w:jc w:val="both"/>
        <w:rPr>
          <w:rFonts w:ascii="Times New Roman" w:hAnsi="Times New Roman" w:cs="Times New Roman"/>
          <w:sz w:val="20"/>
          <w:szCs w:val="20"/>
          <w:lang w:val="en-US"/>
        </w:rPr>
      </w:pPr>
      <w:r w:rsidRPr="00991792">
        <w:rPr>
          <w:rFonts w:ascii="Times New Roman" w:hAnsi="Times New Roman" w:cs="Times New Roman"/>
          <w:sz w:val="20"/>
          <w:szCs w:val="20"/>
          <w:lang w:val="en-US"/>
        </w:rPr>
        <w:t xml:space="preserve">Shipping volumes increase at a medium rate, with container shipping increasing at a higher rate than cruise ships. The transition to fossil free fuels </w:t>
      </w:r>
      <w:r>
        <w:rPr>
          <w:rFonts w:ascii="Times New Roman" w:hAnsi="Times New Roman" w:cs="Times New Roman"/>
          <w:sz w:val="20"/>
          <w:szCs w:val="20"/>
          <w:lang w:val="en-US"/>
        </w:rPr>
        <w:t>is</w:t>
      </w:r>
      <w:r w:rsidRPr="00991792">
        <w:rPr>
          <w:rFonts w:ascii="Times New Roman" w:hAnsi="Times New Roman" w:cs="Times New Roman"/>
          <w:sz w:val="20"/>
          <w:szCs w:val="20"/>
          <w:lang w:val="en-US"/>
        </w:rPr>
        <w:t xml:space="preserve"> slow but the use of liquid natural gas increases. Enforcement of existing regulations is weak. The Baltic Sea regulations on NO</w:t>
      </w:r>
      <w:r w:rsidRPr="00991792">
        <w:rPr>
          <w:rFonts w:ascii="Times New Roman" w:hAnsi="Times New Roman" w:cs="Times New Roman"/>
          <w:sz w:val="20"/>
          <w:szCs w:val="20"/>
          <w:vertAlign w:val="subscript"/>
          <w:lang w:val="en-US"/>
        </w:rPr>
        <w:t>X</w:t>
      </w:r>
      <w:r w:rsidRPr="00991792">
        <w:rPr>
          <w:rFonts w:ascii="Times New Roman" w:hAnsi="Times New Roman" w:cs="Times New Roman"/>
          <w:sz w:val="20"/>
          <w:szCs w:val="20"/>
          <w:lang w:val="en-US"/>
        </w:rPr>
        <w:t xml:space="preserve"> emissions and the existing sulphur regulations drive the introduction of liquid natural gas at a moderate rate leading to a gradual decrease of NO</w:t>
      </w:r>
      <w:r w:rsidRPr="00991792">
        <w:rPr>
          <w:rFonts w:ascii="Times New Roman" w:hAnsi="Times New Roman" w:cs="Times New Roman"/>
          <w:sz w:val="20"/>
          <w:szCs w:val="20"/>
          <w:vertAlign w:val="subscript"/>
          <w:lang w:val="en-US"/>
        </w:rPr>
        <w:t>X</w:t>
      </w:r>
      <w:r w:rsidRPr="00991792">
        <w:rPr>
          <w:rFonts w:ascii="Times New Roman" w:hAnsi="Times New Roman" w:cs="Times New Roman"/>
          <w:sz w:val="20"/>
          <w:szCs w:val="20"/>
          <w:lang w:val="en-US"/>
        </w:rPr>
        <w:t xml:space="preserve"> and SOx emissions as old ships are replaced</w:t>
      </w:r>
      <w:r>
        <w:rPr>
          <w:rFonts w:ascii="Times New Roman" w:hAnsi="Times New Roman" w:cs="Times New Roman"/>
          <w:sz w:val="20"/>
          <w:szCs w:val="20"/>
          <w:lang w:val="en-US"/>
        </w:rPr>
        <w:t>.</w:t>
      </w:r>
      <w:r w:rsidRPr="00991792">
        <w:rPr>
          <w:rFonts w:ascii="Times New Roman" w:hAnsi="Times New Roman" w:cs="Times New Roman"/>
          <w:sz w:val="20"/>
          <w:szCs w:val="20"/>
          <w:lang w:val="en-US"/>
        </w:rPr>
        <w:t xml:space="preserve"> However, emission of NO</w:t>
      </w:r>
      <w:r w:rsidRPr="00991792">
        <w:rPr>
          <w:rFonts w:ascii="Times New Roman" w:hAnsi="Times New Roman" w:cs="Times New Roman"/>
          <w:sz w:val="20"/>
          <w:szCs w:val="20"/>
          <w:vertAlign w:val="subscript"/>
          <w:lang w:val="en-US"/>
        </w:rPr>
        <w:t>X</w:t>
      </w:r>
      <w:r w:rsidRPr="00991792">
        <w:rPr>
          <w:rFonts w:ascii="Times New Roman" w:hAnsi="Times New Roman" w:cs="Times New Roman"/>
          <w:sz w:val="20"/>
          <w:szCs w:val="20"/>
          <w:lang w:val="en-US"/>
        </w:rPr>
        <w:t xml:space="preserve"> from the sector will be significant in the medium term and the emissions of particulate matter will continue to be large.</w:t>
      </w:r>
    </w:p>
    <w:p w:rsidR="00226038" w:rsidRPr="00991792" w:rsidRDefault="00226038" w:rsidP="00226038">
      <w:pPr>
        <w:spacing w:before="120" w:after="120" w:line="360" w:lineRule="auto"/>
        <w:jc w:val="both"/>
        <w:rPr>
          <w:rFonts w:ascii="Times New Roman" w:hAnsi="Times New Roman" w:cs="Times New Roman"/>
          <w:sz w:val="20"/>
          <w:szCs w:val="20"/>
          <w:lang w:val="en-US"/>
        </w:rPr>
      </w:pPr>
      <w:r w:rsidRPr="00991792">
        <w:rPr>
          <w:rFonts w:ascii="Times New Roman" w:hAnsi="Times New Roman" w:cs="Times New Roman"/>
          <w:sz w:val="20"/>
          <w:szCs w:val="20"/>
          <w:lang w:val="en-US"/>
        </w:rPr>
        <w:t>The Ballast Water Management Convention will be in place, but only partially implemented. The use of toxic paints in the Baltic Sea will continue and no regulations will be put in place to avoid grey water emissions. However, the emissions of black water, waste and stern tube oil decrease thanks to existing regulations, albeit weakly enforced. The continued dependence of fossil fuels in combination with weak focus on sustainability means a continued high risk of oils spills.</w:t>
      </w:r>
    </w:p>
    <w:p w:rsidR="00226038" w:rsidRPr="007F4AA9" w:rsidRDefault="00226038" w:rsidP="00226038">
      <w:pPr>
        <w:pStyle w:val="Heading2"/>
      </w:pPr>
      <w:r w:rsidRPr="007F4AA9">
        <w:t>2.6 Fishing</w:t>
      </w:r>
    </w:p>
    <w:p w:rsidR="00226038" w:rsidRPr="00991792" w:rsidRDefault="00226038" w:rsidP="00226038">
      <w:pPr>
        <w:spacing w:before="120" w:after="120" w:line="360" w:lineRule="auto"/>
        <w:jc w:val="both"/>
        <w:rPr>
          <w:rFonts w:ascii="Times New Roman" w:hAnsi="Times New Roman" w:cs="Times New Roman"/>
          <w:sz w:val="20"/>
          <w:szCs w:val="20"/>
        </w:rPr>
      </w:pPr>
      <w:r w:rsidRPr="00991792">
        <w:rPr>
          <w:rFonts w:ascii="Times New Roman" w:hAnsi="Times New Roman" w:cs="Times New Roman"/>
          <w:sz w:val="20"/>
          <w:szCs w:val="20"/>
        </w:rPr>
        <w:t>The Baltic Sea region fisheries are managed at a sub-optimal level. Fishing is mainly governed top-down, where stakeholders have only limited influence and their commitment to regulations is poor. The trend toward declining numbers of fishermen active in the industry and larger fishing vessels continues.</w:t>
      </w:r>
    </w:p>
    <w:p w:rsidR="00226038" w:rsidRPr="00991792" w:rsidRDefault="00226038" w:rsidP="00226038">
      <w:pPr>
        <w:spacing w:after="240" w:line="360" w:lineRule="auto"/>
        <w:jc w:val="both"/>
        <w:rPr>
          <w:rFonts w:ascii="Times New Roman" w:hAnsi="Times New Roman" w:cs="Times New Roman"/>
          <w:sz w:val="20"/>
          <w:szCs w:val="20"/>
        </w:rPr>
      </w:pPr>
      <w:r w:rsidRPr="00991792">
        <w:rPr>
          <w:rFonts w:ascii="Times New Roman" w:hAnsi="Times New Roman" w:cs="Times New Roman"/>
          <w:sz w:val="20"/>
          <w:szCs w:val="20"/>
        </w:rPr>
        <w:t>Baltic herring and sprat are mainly used for feeding fur animals and for producing fishmeal and oil for local use and export. Fishing for food is mostly to meet local demand, with few exports. Fish quality decreases from continued pollution, which further reduces their use for human consumption. Habitat damaging fishing gears continue to be allowed</w:t>
      </w:r>
      <w:r w:rsidR="009D00C0">
        <w:rPr>
          <w:rFonts w:ascii="Times New Roman" w:hAnsi="Times New Roman" w:cs="Times New Roman"/>
          <w:sz w:val="20"/>
          <w:szCs w:val="20"/>
        </w:rPr>
        <w:t>,</w:t>
      </w:r>
      <w:r w:rsidRPr="00991792">
        <w:rPr>
          <w:rFonts w:ascii="Times New Roman" w:hAnsi="Times New Roman" w:cs="Times New Roman"/>
          <w:sz w:val="20"/>
          <w:szCs w:val="20"/>
        </w:rPr>
        <w:t xml:space="preserve"> and the</w:t>
      </w:r>
      <w:r w:rsidR="009D00C0">
        <w:rPr>
          <w:rFonts w:ascii="Times New Roman" w:hAnsi="Times New Roman" w:cs="Times New Roman"/>
          <w:sz w:val="20"/>
          <w:szCs w:val="20"/>
        </w:rPr>
        <w:t>re is poor</w:t>
      </w:r>
      <w:r w:rsidRPr="00991792">
        <w:rPr>
          <w:rFonts w:ascii="Times New Roman" w:hAnsi="Times New Roman" w:cs="Times New Roman"/>
          <w:sz w:val="20"/>
          <w:szCs w:val="20"/>
        </w:rPr>
        <w:t xml:space="preserve"> development of advanced gears to minimize bycatch. </w:t>
      </w:r>
    </w:p>
    <w:p w:rsidR="00226038" w:rsidRDefault="00226038">
      <w:pPr>
        <w:spacing w:after="160" w:line="259" w:lineRule="auto"/>
        <w:rPr>
          <w:rFonts w:asciiTheme="majorHAnsi" w:eastAsiaTheme="majorEastAsia" w:hAnsiTheme="majorHAnsi" w:cstheme="majorBidi"/>
          <w:color w:val="2E74B5" w:themeColor="accent1" w:themeShade="BF"/>
          <w:sz w:val="32"/>
          <w:szCs w:val="32"/>
        </w:rPr>
      </w:pPr>
      <w:bookmarkStart w:id="1" w:name="_Toc460332575"/>
      <w:r>
        <w:br w:type="page"/>
      </w:r>
    </w:p>
    <w:p w:rsidR="00226038" w:rsidRPr="00DC62AD" w:rsidRDefault="00226038" w:rsidP="00226038">
      <w:pPr>
        <w:pStyle w:val="Heading1"/>
        <w:rPr>
          <w:b/>
        </w:rPr>
      </w:pPr>
      <w:r w:rsidRPr="00DC62AD">
        <w:rPr>
          <w:b/>
        </w:rPr>
        <w:lastRenderedPageBreak/>
        <w:t>3 SSP3 – Fragmentation</w:t>
      </w:r>
      <w:bookmarkEnd w:id="1"/>
    </w:p>
    <w:p w:rsidR="00226038" w:rsidRPr="007F4AA9" w:rsidRDefault="00226038" w:rsidP="00226038">
      <w:pPr>
        <w:pStyle w:val="Heading2"/>
      </w:pPr>
      <w:r w:rsidRPr="007F4AA9">
        <w:t>3.1 General social trends</w:t>
      </w:r>
    </w:p>
    <w:p w:rsidR="00226038" w:rsidRPr="00991792" w:rsidRDefault="00226038" w:rsidP="00226038">
      <w:pPr>
        <w:spacing w:before="120" w:after="120" w:line="360" w:lineRule="auto"/>
        <w:jc w:val="both"/>
        <w:rPr>
          <w:rFonts w:ascii="Times New Roman" w:hAnsi="Times New Roman" w:cs="Times New Roman"/>
          <w:sz w:val="20"/>
          <w:szCs w:val="20"/>
        </w:rPr>
      </w:pPr>
      <w:r w:rsidRPr="00991792">
        <w:rPr>
          <w:rFonts w:ascii="Times New Roman" w:hAnsi="Times New Roman" w:cs="Times New Roman"/>
          <w:sz w:val="20"/>
          <w:szCs w:val="20"/>
        </w:rPr>
        <w:t xml:space="preserve">In a </w:t>
      </w:r>
      <w:r>
        <w:rPr>
          <w:rFonts w:ascii="Times New Roman" w:hAnsi="Times New Roman" w:cs="Times New Roman"/>
          <w:sz w:val="20"/>
          <w:szCs w:val="20"/>
        </w:rPr>
        <w:t>fragmented f</w:t>
      </w:r>
      <w:r w:rsidRPr="00991792">
        <w:rPr>
          <w:rFonts w:ascii="Times New Roman" w:hAnsi="Times New Roman" w:cs="Times New Roman"/>
          <w:sz w:val="20"/>
          <w:szCs w:val="20"/>
        </w:rPr>
        <w:t>uture, policies are defined by national or ‘bloc’ interests</w:t>
      </w:r>
      <w:r w:rsidR="009D00C0">
        <w:rPr>
          <w:rFonts w:ascii="Times New Roman" w:hAnsi="Times New Roman" w:cs="Times New Roman"/>
          <w:sz w:val="20"/>
          <w:szCs w:val="20"/>
        </w:rPr>
        <w:t>,</w:t>
      </w:r>
      <w:r w:rsidRPr="00991792">
        <w:rPr>
          <w:rFonts w:ascii="Times New Roman" w:hAnsi="Times New Roman" w:cs="Times New Roman"/>
          <w:sz w:val="20"/>
          <w:szCs w:val="20"/>
        </w:rPr>
        <w:t xml:space="preserve"> rather than advancing common visions and goals. The Common Agricultural Policy and Common Fishing Policy frameworks break down, making way for national subsidy schemes that strongly support national security and safety of food supply and maintaining regional employment in fishing. Existing European Directives and international agreements on the environment are abandoned in the medium term</w:t>
      </w:r>
      <w:r w:rsidR="009D00C0">
        <w:rPr>
          <w:rFonts w:ascii="Times New Roman" w:hAnsi="Times New Roman" w:cs="Times New Roman"/>
          <w:sz w:val="20"/>
          <w:szCs w:val="20"/>
        </w:rPr>
        <w:t>.</w:t>
      </w:r>
      <w:r w:rsidRPr="00991792">
        <w:rPr>
          <w:rFonts w:ascii="Times New Roman" w:hAnsi="Times New Roman" w:cs="Times New Roman"/>
          <w:sz w:val="20"/>
          <w:szCs w:val="20"/>
        </w:rPr>
        <w:t xml:space="preserve"> HELCOM ceases to exist and the enforcement of IMO regulations on emissions to air, sewage and ballast water are only partially enforced. </w:t>
      </w:r>
    </w:p>
    <w:p w:rsidR="00226038" w:rsidRPr="00991792" w:rsidRDefault="00226038" w:rsidP="00226038">
      <w:pPr>
        <w:spacing w:before="120" w:after="120" w:line="360" w:lineRule="auto"/>
        <w:jc w:val="both"/>
        <w:rPr>
          <w:rFonts w:ascii="Times New Roman" w:hAnsi="Times New Roman" w:cs="Times New Roman"/>
          <w:sz w:val="20"/>
          <w:szCs w:val="20"/>
        </w:rPr>
      </w:pPr>
      <w:r w:rsidRPr="00991792">
        <w:rPr>
          <w:rFonts w:ascii="Times New Roman" w:hAnsi="Times New Roman" w:cs="Times New Roman"/>
          <w:sz w:val="20"/>
          <w:szCs w:val="20"/>
        </w:rPr>
        <w:t>The world is characterised by de-globalisation, severely restricting international trade of agricultural produce and fish. The EU splits into regional blocs, of which the Baltic Sea region may be constituted of several sub-regional blocs</w:t>
      </w:r>
      <w:r w:rsidR="009D00C0">
        <w:rPr>
          <w:rFonts w:ascii="Times New Roman" w:hAnsi="Times New Roman" w:cs="Times New Roman"/>
          <w:sz w:val="20"/>
          <w:szCs w:val="20"/>
        </w:rPr>
        <w:t>,</w:t>
      </w:r>
      <w:r w:rsidRPr="00991792">
        <w:rPr>
          <w:rFonts w:ascii="Times New Roman" w:hAnsi="Times New Roman" w:cs="Times New Roman"/>
          <w:sz w:val="20"/>
          <w:szCs w:val="20"/>
        </w:rPr>
        <w:t xml:space="preserve"> and Russia follows its own agenda. Low investment in technological development leads to abandonment over time of environmentally friendly technology, reducing the environmental performance of industrial processes and agricultural management. </w:t>
      </w:r>
    </w:p>
    <w:p w:rsidR="00226038" w:rsidRPr="00991792" w:rsidRDefault="00226038" w:rsidP="00226038">
      <w:pPr>
        <w:spacing w:before="120" w:after="120" w:line="360" w:lineRule="auto"/>
        <w:jc w:val="both"/>
        <w:rPr>
          <w:rFonts w:ascii="Times New Roman" w:hAnsi="Times New Roman" w:cs="Times New Roman"/>
          <w:sz w:val="20"/>
          <w:szCs w:val="20"/>
        </w:rPr>
      </w:pPr>
      <w:r w:rsidRPr="00991792">
        <w:rPr>
          <w:rFonts w:ascii="Times New Roman" w:hAnsi="Times New Roman" w:cs="Times New Roman"/>
          <w:sz w:val="20"/>
          <w:szCs w:val="20"/>
        </w:rPr>
        <w:t>Urbanisation is slow, in particular in the Baltic countries and Poland. The share of meat and dairy in food demand remains stable, but is sourced from within the region. Organic produce remains a niche.</w:t>
      </w:r>
    </w:p>
    <w:p w:rsidR="00226038" w:rsidRPr="007F4AA9" w:rsidRDefault="00226038" w:rsidP="00226038">
      <w:pPr>
        <w:pStyle w:val="Heading2"/>
      </w:pPr>
      <w:r w:rsidRPr="007F4AA9">
        <w:t>3.2 Nutrients – agriculture</w:t>
      </w:r>
    </w:p>
    <w:p w:rsidR="00226038" w:rsidRPr="00991792" w:rsidRDefault="00226038" w:rsidP="00226038">
      <w:pPr>
        <w:spacing w:before="120" w:after="120" w:line="360" w:lineRule="auto"/>
        <w:jc w:val="both"/>
        <w:rPr>
          <w:rFonts w:ascii="Times New Roman" w:hAnsi="Times New Roman" w:cs="Times New Roman"/>
          <w:sz w:val="20"/>
          <w:szCs w:val="20"/>
        </w:rPr>
      </w:pPr>
      <w:r w:rsidRPr="00991792">
        <w:rPr>
          <w:rFonts w:ascii="Times New Roman" w:hAnsi="Times New Roman" w:cs="Times New Roman"/>
          <w:sz w:val="20"/>
          <w:szCs w:val="20"/>
        </w:rPr>
        <w:t xml:space="preserve">Focus in agricultural production is on regional self-sufficiency with only marginal market demand for organic farming. Due to reduced international trade with other blocs, the agricultural sector moves from net import of fodder and net export of produce to predominantly self-sufficiency with regard to regional food and fodder demand. Combined with a declining population in the region, agricultural land cover </w:t>
      </w:r>
      <w:r>
        <w:rPr>
          <w:rFonts w:ascii="Times New Roman" w:hAnsi="Times New Roman" w:cs="Times New Roman"/>
          <w:sz w:val="20"/>
          <w:szCs w:val="20"/>
        </w:rPr>
        <w:t xml:space="preserve">and livestock numbers </w:t>
      </w:r>
      <w:r w:rsidRPr="00991792">
        <w:rPr>
          <w:rFonts w:ascii="Times New Roman" w:hAnsi="Times New Roman" w:cs="Times New Roman"/>
          <w:sz w:val="20"/>
          <w:szCs w:val="20"/>
        </w:rPr>
        <w:t>in the Baltic Sea region decrease significantly. A general abandonment of environmental regulations and also the WFD management plans lead to lack</w:t>
      </w:r>
      <w:r w:rsidR="00856767">
        <w:rPr>
          <w:rFonts w:ascii="Times New Roman" w:hAnsi="Times New Roman" w:cs="Times New Roman"/>
          <w:sz w:val="20"/>
          <w:szCs w:val="20"/>
        </w:rPr>
        <w:t>ing</w:t>
      </w:r>
      <w:r w:rsidRPr="00991792">
        <w:rPr>
          <w:rFonts w:ascii="Times New Roman" w:hAnsi="Times New Roman" w:cs="Times New Roman"/>
          <w:sz w:val="20"/>
          <w:szCs w:val="20"/>
        </w:rPr>
        <w:t xml:space="preserve"> focus on N efficiencies, resulting in higher ammonia emissions and increasing nutrient leakages per ha of agricultural land and per livestock. Farm restructuring towards larger and more efficient units is reversed and the sector productivity drops significantly due to ageing farm equipment and lack of investments in new technologies. </w:t>
      </w:r>
    </w:p>
    <w:p w:rsidR="00226038" w:rsidRPr="007F4AA9" w:rsidRDefault="00226038" w:rsidP="00226038">
      <w:pPr>
        <w:pStyle w:val="Heading2"/>
      </w:pPr>
      <w:r w:rsidRPr="007F4AA9">
        <w:t>3.3 Nutrients – waste water treatment plants</w:t>
      </w:r>
    </w:p>
    <w:p w:rsidR="00226038" w:rsidRPr="00991792" w:rsidRDefault="00226038" w:rsidP="00226038">
      <w:pPr>
        <w:spacing w:before="120" w:after="120" w:line="360" w:lineRule="auto"/>
        <w:jc w:val="both"/>
        <w:rPr>
          <w:rFonts w:ascii="Times New Roman" w:hAnsi="Times New Roman" w:cs="Times New Roman"/>
          <w:sz w:val="20"/>
          <w:szCs w:val="20"/>
        </w:rPr>
      </w:pPr>
      <w:r w:rsidRPr="00991792">
        <w:rPr>
          <w:rFonts w:ascii="Times New Roman" w:hAnsi="Times New Roman" w:cs="Times New Roman"/>
          <w:sz w:val="20"/>
          <w:szCs w:val="20"/>
        </w:rPr>
        <w:t xml:space="preserve">After the currently planned wastewater plants have been established, the municipal wastewater sector undertakes no technology update or replacement of current technology due to a combination of low technological development, lack of public investment and low priority for environmental issues. A low urbanization rate combined with strong population decline means that small and medium sized rural wastewater treatment plants in Poland and the Baltic countries continue to serve a fair share of the population. Treatment levels in the existing plants decline due to decaying infrastructure and insufficient funding to cover the purchase of chemicals and other running costs. Some of the existing facilities with tertiary treatment regress to secondary treatment, and some of the existing facilities with secondary treatment to primary treatment. No investment </w:t>
      </w:r>
      <w:r>
        <w:rPr>
          <w:rFonts w:ascii="Times New Roman" w:hAnsi="Times New Roman" w:cs="Times New Roman"/>
          <w:sz w:val="20"/>
          <w:szCs w:val="20"/>
        </w:rPr>
        <w:t xml:space="preserve">is made </w:t>
      </w:r>
      <w:r w:rsidRPr="00991792">
        <w:rPr>
          <w:rFonts w:ascii="Times New Roman" w:hAnsi="Times New Roman" w:cs="Times New Roman"/>
          <w:sz w:val="20"/>
          <w:szCs w:val="20"/>
        </w:rPr>
        <w:t xml:space="preserve">to expand sewage system or to increase advanced onsite treatment. The current environmental regulations and recommendations will never be met. </w:t>
      </w:r>
    </w:p>
    <w:p w:rsidR="00226038" w:rsidRPr="007F4AA9" w:rsidRDefault="00226038" w:rsidP="00226038">
      <w:pPr>
        <w:pStyle w:val="Heading2"/>
      </w:pPr>
      <w:r w:rsidRPr="007F4AA9">
        <w:lastRenderedPageBreak/>
        <w:t>3.4 Nutrients – atmospheric deposition of nitrogen</w:t>
      </w:r>
    </w:p>
    <w:p w:rsidR="00226038" w:rsidRPr="00991792" w:rsidRDefault="00226038" w:rsidP="00226038">
      <w:pPr>
        <w:spacing w:before="120" w:after="120" w:line="360" w:lineRule="auto"/>
        <w:jc w:val="both"/>
        <w:rPr>
          <w:rFonts w:ascii="Times New Roman" w:hAnsi="Times New Roman" w:cs="Times New Roman"/>
          <w:b/>
          <w:i/>
          <w:sz w:val="20"/>
          <w:szCs w:val="20"/>
        </w:rPr>
      </w:pPr>
      <w:r w:rsidRPr="00991792">
        <w:rPr>
          <w:rFonts w:ascii="Times New Roman" w:hAnsi="Times New Roman" w:cs="Times New Roman"/>
          <w:sz w:val="20"/>
          <w:szCs w:val="20"/>
        </w:rPr>
        <w:t>The restricted international trade and transport of consumables and people together with slow economic development cause reductions in nitrogen oxides emissions and deposition. The levels of ammonia emissions and deposition tend to decrease because of the reduction in livestock numbers. Low technological development and a general lack of concern for environmental conditions removes focus on air pollution.</w:t>
      </w:r>
    </w:p>
    <w:p w:rsidR="00226038" w:rsidRPr="007F4AA9" w:rsidRDefault="00226038" w:rsidP="00226038">
      <w:pPr>
        <w:pStyle w:val="Heading2"/>
      </w:pPr>
      <w:r w:rsidRPr="007F4AA9">
        <w:t xml:space="preserve">3.5 Shipping </w:t>
      </w:r>
    </w:p>
    <w:p w:rsidR="00226038" w:rsidRPr="00991792" w:rsidRDefault="00226038" w:rsidP="00226038">
      <w:pPr>
        <w:spacing w:before="120" w:after="120" w:line="360" w:lineRule="auto"/>
        <w:jc w:val="both"/>
        <w:rPr>
          <w:rFonts w:ascii="Times New Roman" w:hAnsi="Times New Roman" w:cs="Times New Roman"/>
          <w:sz w:val="20"/>
          <w:szCs w:val="20"/>
          <w:lang w:val="en-US"/>
        </w:rPr>
      </w:pPr>
      <w:r w:rsidRPr="00991792">
        <w:rPr>
          <w:rFonts w:ascii="Times New Roman" w:hAnsi="Times New Roman" w:cs="Times New Roman"/>
          <w:sz w:val="20"/>
          <w:szCs w:val="20"/>
          <w:lang w:val="en-US"/>
        </w:rPr>
        <w:t xml:space="preserve">Shipping volumes increase at a slow rate and transport of passengers decreases due to the population decline in the region and reduced personal travel. However, marine military activities may increase as rivalry between nation states accelerates. There is no development towards new fuels and shipping will be more or less fully dependent on fossil fuels with residual oils dominating. High sulphur heavy fuel oil in combination with open loop scrubbers will dominate. No further regulations on emissions are expected and existing regulations will not be followed or enforced. The Ballast Water Management Convention will be in force but the uncertainties in the existing technologies and a general lack of technological progress and investment </w:t>
      </w:r>
      <w:r>
        <w:rPr>
          <w:rFonts w:ascii="Times New Roman" w:hAnsi="Times New Roman" w:cs="Times New Roman"/>
          <w:sz w:val="20"/>
          <w:szCs w:val="20"/>
          <w:lang w:val="en-US"/>
        </w:rPr>
        <w:t>leads to poor</w:t>
      </w:r>
      <w:r w:rsidRPr="00991792">
        <w:rPr>
          <w:rFonts w:ascii="Times New Roman" w:hAnsi="Times New Roman" w:cs="Times New Roman"/>
          <w:sz w:val="20"/>
          <w:szCs w:val="20"/>
          <w:lang w:val="en-US"/>
        </w:rPr>
        <w:t xml:space="preserve"> implement</w:t>
      </w:r>
      <w:r>
        <w:rPr>
          <w:rFonts w:ascii="Times New Roman" w:hAnsi="Times New Roman" w:cs="Times New Roman"/>
          <w:sz w:val="20"/>
          <w:szCs w:val="20"/>
          <w:lang w:val="en-US"/>
        </w:rPr>
        <w:t>ation</w:t>
      </w:r>
      <w:r w:rsidRPr="00991792">
        <w:rPr>
          <w:rFonts w:ascii="Times New Roman" w:hAnsi="Times New Roman" w:cs="Times New Roman"/>
          <w:sz w:val="20"/>
          <w:szCs w:val="20"/>
          <w:lang w:val="en-US"/>
        </w:rPr>
        <w:t>. The use of toxic paints on ship hulls is continued.</w:t>
      </w:r>
    </w:p>
    <w:p w:rsidR="00226038" w:rsidRPr="007F4AA9" w:rsidRDefault="00226038" w:rsidP="00226038">
      <w:pPr>
        <w:pStyle w:val="Heading2"/>
      </w:pPr>
      <w:r w:rsidRPr="007F4AA9">
        <w:t>3.6 Fishing</w:t>
      </w:r>
    </w:p>
    <w:p w:rsidR="00226038" w:rsidRPr="00991792" w:rsidRDefault="00226038" w:rsidP="00226038">
      <w:pPr>
        <w:spacing w:before="120" w:after="120" w:line="360" w:lineRule="auto"/>
        <w:jc w:val="both"/>
        <w:rPr>
          <w:rFonts w:ascii="Times New Roman" w:hAnsi="Times New Roman" w:cs="Times New Roman"/>
          <w:sz w:val="20"/>
          <w:szCs w:val="20"/>
        </w:rPr>
      </w:pPr>
      <w:r w:rsidRPr="00991792">
        <w:rPr>
          <w:rFonts w:ascii="Times New Roman" w:hAnsi="Times New Roman" w:cs="Times New Roman"/>
          <w:sz w:val="20"/>
          <w:szCs w:val="20"/>
        </w:rPr>
        <w:t>Fishing management in the Baltic Sea region is characterized by a lack of international, coordinated efforts to ensure a sustainable fishery. Decisions are exclusively taken by national (or ‘bloc’) authorities without stakeholder involvement. All countries seek to maximize exploitation of the</w:t>
      </w:r>
      <w:r>
        <w:rPr>
          <w:rFonts w:ascii="Times New Roman" w:hAnsi="Times New Roman" w:cs="Times New Roman"/>
          <w:sz w:val="20"/>
          <w:szCs w:val="20"/>
        </w:rPr>
        <w:t>ir</w:t>
      </w:r>
      <w:r w:rsidRPr="00991792">
        <w:rPr>
          <w:rFonts w:ascii="Times New Roman" w:hAnsi="Times New Roman" w:cs="Times New Roman"/>
          <w:sz w:val="20"/>
          <w:szCs w:val="20"/>
        </w:rPr>
        <w:t xml:space="preserve"> stocks, aiming for high yields to contribute to local and regional food security. Some countries may attempt to apply fishing regulations according to scientific advice while others have low ambitions or lack the resources to follow. With strongly constrained trade, Baltic Sea catches are mainly used within the region as feed, processed as fishmeal and for human consumption, despite high pollutant levels. Nevertheless, the strong decline of human population in the Baltic Sea region decreases overall fish demand. In the extreme case of an open conflict within the region, fishing is stopped or at least </w:t>
      </w:r>
      <w:r>
        <w:rPr>
          <w:rFonts w:ascii="Times New Roman" w:hAnsi="Times New Roman" w:cs="Times New Roman"/>
          <w:sz w:val="20"/>
          <w:szCs w:val="20"/>
        </w:rPr>
        <w:t>greatly</w:t>
      </w:r>
      <w:r w:rsidRPr="00991792">
        <w:rPr>
          <w:rFonts w:ascii="Times New Roman" w:hAnsi="Times New Roman" w:cs="Times New Roman"/>
          <w:sz w:val="20"/>
          <w:szCs w:val="20"/>
        </w:rPr>
        <w:t xml:space="preserve"> reduced, which over time could contribute to ecosystem recovery provided other pressures allow. Fishing vessels are often outdated as there are no investments into improved or new fishing gears, which results in poor quality of landed fish and safety on-board. </w:t>
      </w:r>
    </w:p>
    <w:p w:rsidR="00226038" w:rsidRPr="00991792" w:rsidRDefault="00226038" w:rsidP="00226038">
      <w:pPr>
        <w:spacing w:after="0" w:line="360" w:lineRule="auto"/>
        <w:jc w:val="both"/>
        <w:rPr>
          <w:rFonts w:ascii="Times New Roman" w:hAnsi="Times New Roman" w:cs="Times New Roman"/>
          <w:sz w:val="20"/>
          <w:szCs w:val="20"/>
        </w:rPr>
      </w:pPr>
    </w:p>
    <w:p w:rsidR="00226038" w:rsidRDefault="00226038">
      <w:pPr>
        <w:spacing w:after="160" w:line="259" w:lineRule="auto"/>
        <w:rPr>
          <w:rFonts w:asciiTheme="majorHAnsi" w:eastAsiaTheme="majorEastAsia" w:hAnsiTheme="majorHAnsi" w:cstheme="majorBidi"/>
          <w:color w:val="2E74B5" w:themeColor="accent1" w:themeShade="BF"/>
          <w:sz w:val="32"/>
          <w:szCs w:val="32"/>
          <w:lang w:val="en-US"/>
        </w:rPr>
      </w:pPr>
      <w:r>
        <w:rPr>
          <w:lang w:val="en-US"/>
        </w:rPr>
        <w:br w:type="page"/>
      </w:r>
    </w:p>
    <w:p w:rsidR="00226038" w:rsidRPr="00DC62AD" w:rsidRDefault="00226038" w:rsidP="00226038">
      <w:pPr>
        <w:pStyle w:val="Heading1"/>
        <w:rPr>
          <w:b/>
        </w:rPr>
      </w:pPr>
      <w:proofErr w:type="gramStart"/>
      <w:r w:rsidRPr="00DC62AD">
        <w:rPr>
          <w:b/>
          <w:lang w:val="en-US"/>
        </w:rPr>
        <w:lastRenderedPageBreak/>
        <w:t xml:space="preserve">4  </w:t>
      </w:r>
      <w:r w:rsidRPr="00DC62AD">
        <w:rPr>
          <w:b/>
        </w:rPr>
        <w:t>SSP4</w:t>
      </w:r>
      <w:proofErr w:type="gramEnd"/>
      <w:r w:rsidRPr="00DC62AD">
        <w:rPr>
          <w:b/>
        </w:rPr>
        <w:t xml:space="preserve"> - Inequality </w:t>
      </w:r>
    </w:p>
    <w:p w:rsidR="00226038" w:rsidRPr="007F4AA9" w:rsidRDefault="00226038" w:rsidP="00226038">
      <w:pPr>
        <w:pStyle w:val="Heading2"/>
      </w:pPr>
      <w:r w:rsidRPr="007F4AA9">
        <w:t>4.1 General social trends</w:t>
      </w:r>
    </w:p>
    <w:p w:rsidR="00226038" w:rsidRPr="00991792" w:rsidRDefault="00226038" w:rsidP="00226038">
      <w:pPr>
        <w:spacing w:before="120" w:after="120" w:line="360" w:lineRule="auto"/>
        <w:jc w:val="both"/>
        <w:rPr>
          <w:rFonts w:ascii="Times New Roman" w:hAnsi="Times New Roman" w:cs="Times New Roman"/>
          <w:sz w:val="20"/>
          <w:szCs w:val="20"/>
        </w:rPr>
      </w:pPr>
      <w:r w:rsidRPr="00991792">
        <w:rPr>
          <w:rFonts w:ascii="Times New Roman" w:hAnsi="Times New Roman" w:cs="Times New Roman"/>
          <w:sz w:val="20"/>
          <w:szCs w:val="20"/>
          <w:lang w:eastAsia="da-DK"/>
        </w:rPr>
        <w:t xml:space="preserve">In an unequal world, </w:t>
      </w:r>
      <w:r w:rsidRPr="00991792">
        <w:rPr>
          <w:rFonts w:ascii="Times New Roman" w:hAnsi="Times New Roman" w:cs="Times New Roman"/>
          <w:sz w:val="20"/>
          <w:szCs w:val="20"/>
        </w:rPr>
        <w:t xml:space="preserve">existing EU Directives and international agreements on the environment are only partially implemented in the medium term. This is reflected by the specific interests of an emerging interconnected political and business elite to focus on local environmental issues near high income living areas as opposed to broader societal considerations. In the long term, the regulatory role of international organizations (HELCOM, EU, </w:t>
      </w:r>
      <w:proofErr w:type="gramStart"/>
      <w:r w:rsidRPr="00991792">
        <w:rPr>
          <w:rFonts w:ascii="Times New Roman" w:hAnsi="Times New Roman" w:cs="Times New Roman"/>
          <w:sz w:val="20"/>
          <w:szCs w:val="20"/>
        </w:rPr>
        <w:t>IMO</w:t>
      </w:r>
      <w:proofErr w:type="gramEnd"/>
      <w:r w:rsidRPr="00991792">
        <w:rPr>
          <w:rFonts w:ascii="Times New Roman" w:hAnsi="Times New Roman" w:cs="Times New Roman"/>
          <w:sz w:val="20"/>
          <w:szCs w:val="20"/>
        </w:rPr>
        <w:t xml:space="preserve">) is diminished, and national environmental, fisheries and agricultural policies and measures are predominantly implemented at sub-national level, focusing on high-income areas, and increasingly executed by the private sector and private funds. </w:t>
      </w:r>
    </w:p>
    <w:p w:rsidR="00226038" w:rsidRPr="00991792" w:rsidRDefault="00226038" w:rsidP="00226038">
      <w:pPr>
        <w:spacing w:before="120" w:after="120" w:line="360" w:lineRule="auto"/>
        <w:jc w:val="both"/>
        <w:rPr>
          <w:rFonts w:ascii="Times New Roman" w:hAnsi="Times New Roman" w:cs="Times New Roman"/>
          <w:sz w:val="20"/>
          <w:szCs w:val="20"/>
        </w:rPr>
      </w:pPr>
      <w:r w:rsidRPr="00991792">
        <w:rPr>
          <w:rFonts w:ascii="Times New Roman" w:hAnsi="Times New Roman" w:cs="Times New Roman"/>
          <w:sz w:val="20"/>
          <w:szCs w:val="20"/>
        </w:rPr>
        <w:t>Food trade is globalised and land-use and environment is highly regulated in the Baltic Sea region. Environmental policies and measu</w:t>
      </w:r>
      <w:r>
        <w:rPr>
          <w:rFonts w:ascii="Times New Roman" w:hAnsi="Times New Roman" w:cs="Times New Roman"/>
          <w:sz w:val="20"/>
          <w:szCs w:val="20"/>
        </w:rPr>
        <w:t>res targeting high-income areas</w:t>
      </w:r>
      <w:r w:rsidRPr="00991792">
        <w:rPr>
          <w:rFonts w:ascii="Times New Roman" w:hAnsi="Times New Roman" w:cs="Times New Roman"/>
          <w:sz w:val="20"/>
          <w:szCs w:val="20"/>
        </w:rPr>
        <w:t>, focus on the visible state of coastal areas to improve opportunities for recreation, tourism-related business and high-quality local food. Economic growth rates range from low to medium with increasing economic inequalities and social stratification within countries.</w:t>
      </w:r>
    </w:p>
    <w:p w:rsidR="00226038" w:rsidRPr="00991792" w:rsidRDefault="00226038" w:rsidP="00226038">
      <w:pPr>
        <w:spacing w:before="120" w:after="120" w:line="360" w:lineRule="auto"/>
        <w:jc w:val="both"/>
        <w:rPr>
          <w:rFonts w:ascii="Times New Roman" w:hAnsi="Times New Roman" w:cs="Times New Roman"/>
          <w:sz w:val="20"/>
          <w:szCs w:val="20"/>
        </w:rPr>
      </w:pPr>
      <w:r w:rsidRPr="00991792">
        <w:rPr>
          <w:rFonts w:ascii="Times New Roman" w:hAnsi="Times New Roman" w:cs="Times New Roman"/>
          <w:sz w:val="20"/>
          <w:szCs w:val="20"/>
        </w:rPr>
        <w:t xml:space="preserve">Urbanisation is slow and urban sprawl is highly regulated, restricting expansion of urban areas to attractive areas demanded by the elite. New public green spaces for recreation are established in direct connection to high-income areas.  </w:t>
      </w:r>
    </w:p>
    <w:p w:rsidR="00226038" w:rsidRPr="00991792" w:rsidRDefault="00226038" w:rsidP="00226038">
      <w:pPr>
        <w:spacing w:before="120" w:after="120" w:line="360" w:lineRule="auto"/>
        <w:jc w:val="both"/>
        <w:rPr>
          <w:rFonts w:ascii="Times New Roman" w:hAnsi="Times New Roman" w:cs="Times New Roman"/>
          <w:sz w:val="20"/>
          <w:szCs w:val="20"/>
          <w:lang w:eastAsia="da-DK"/>
        </w:rPr>
      </w:pPr>
      <w:r w:rsidRPr="00991792">
        <w:rPr>
          <w:rFonts w:ascii="Times New Roman" w:hAnsi="Times New Roman" w:cs="Times New Roman"/>
          <w:sz w:val="20"/>
          <w:szCs w:val="20"/>
          <w:lang w:eastAsia="da-DK"/>
        </w:rPr>
        <w:t>Globally, elites lead high consumption and material-intensive life-styles with growing shares of meat and dairy products, where food quality and price are key factors. For the majority of the population, however, consumption is low.</w:t>
      </w:r>
    </w:p>
    <w:p w:rsidR="00226038" w:rsidRPr="007F4AA9" w:rsidRDefault="00226038" w:rsidP="00226038">
      <w:pPr>
        <w:pStyle w:val="Heading2"/>
      </w:pPr>
      <w:r w:rsidRPr="007F4AA9">
        <w:t>4.2 Nutrients – agriculture</w:t>
      </w:r>
    </w:p>
    <w:p w:rsidR="00226038" w:rsidRPr="00991792" w:rsidRDefault="00226038" w:rsidP="00226038">
      <w:pPr>
        <w:spacing w:before="120" w:after="120" w:line="360" w:lineRule="auto"/>
        <w:jc w:val="both"/>
        <w:rPr>
          <w:rFonts w:ascii="Times New Roman" w:hAnsi="Times New Roman" w:cs="Times New Roman"/>
          <w:sz w:val="20"/>
          <w:szCs w:val="20"/>
        </w:rPr>
      </w:pPr>
      <w:r w:rsidRPr="00991792">
        <w:rPr>
          <w:rFonts w:ascii="Times New Roman" w:hAnsi="Times New Roman" w:cs="Times New Roman"/>
          <w:sz w:val="20"/>
          <w:szCs w:val="20"/>
        </w:rPr>
        <w:t>Agriculture becomes increasingly managed by businesses resulting in large-scale industrial farming with high productivity increases. Pockets of small-scale, low-productivity farming persist. Nutrient inputs increase in industrial farms and</w:t>
      </w:r>
      <w:r w:rsidR="0061685E">
        <w:rPr>
          <w:rFonts w:ascii="Times New Roman" w:hAnsi="Times New Roman" w:cs="Times New Roman"/>
          <w:sz w:val="20"/>
          <w:szCs w:val="20"/>
        </w:rPr>
        <w:t xml:space="preserve"> requirements for high</w:t>
      </w:r>
      <w:r w:rsidRPr="00991792">
        <w:rPr>
          <w:rFonts w:ascii="Times New Roman" w:hAnsi="Times New Roman" w:cs="Times New Roman"/>
          <w:sz w:val="20"/>
          <w:szCs w:val="20"/>
        </w:rPr>
        <w:t xml:space="preserve"> N use efficiencies are only implemented in high-income catchment areas where there is a demand for and power to implement a cleaner local environment. The region remains a net exporter of agricultural produce, focusing on high quality produce for the global elite. Land use is strongly regulated in the region and pastureland expands on former forest areas to accommodate for the growing demand of meat on the global markets.</w:t>
      </w:r>
    </w:p>
    <w:p w:rsidR="00226038" w:rsidRPr="007F4AA9" w:rsidRDefault="00226038" w:rsidP="00226038">
      <w:pPr>
        <w:pStyle w:val="Heading2"/>
      </w:pPr>
      <w:r w:rsidRPr="007F4AA9">
        <w:t>4.3 Nutrients – wastewater treatment</w:t>
      </w:r>
    </w:p>
    <w:p w:rsidR="00226038" w:rsidRPr="00991792" w:rsidRDefault="00226038" w:rsidP="00226038">
      <w:pPr>
        <w:spacing w:before="120" w:after="0" w:line="360" w:lineRule="auto"/>
        <w:jc w:val="both"/>
        <w:rPr>
          <w:rFonts w:ascii="Times New Roman" w:hAnsi="Times New Roman" w:cs="Times New Roman"/>
          <w:sz w:val="20"/>
          <w:szCs w:val="20"/>
        </w:rPr>
      </w:pPr>
      <w:r w:rsidRPr="00991792">
        <w:rPr>
          <w:rFonts w:ascii="Times New Roman" w:hAnsi="Times New Roman" w:cs="Times New Roman"/>
          <w:sz w:val="20"/>
          <w:szCs w:val="20"/>
        </w:rPr>
        <w:t xml:space="preserve">Future investments in the development of new sewage and wastewater treatment technologies are largely carried out by private companies. Larger cities and municipalities in wealthy regions make use of improved cleansing technology and update the infrastructure to support needs and compensate for the material-intensive lifestyle of the elites. Smaller and less wealthy municipalities cannot afford to maintain the current technology. Investments are directed to wastewater treatment facilities that have fast and visible impact on environmental quality of coastal areas and recreation hotspots. The current environmental legislation of the EU and the HELCOM recommendations are met in the wealthy regions, but are far from implemented in distant rural areas and less well-off regions and municipalities.  </w:t>
      </w:r>
    </w:p>
    <w:p w:rsidR="00226038" w:rsidRPr="007F4AA9" w:rsidRDefault="00226038" w:rsidP="00226038">
      <w:pPr>
        <w:pStyle w:val="Heading2"/>
      </w:pPr>
      <w:r w:rsidRPr="007F4AA9">
        <w:lastRenderedPageBreak/>
        <w:t>4.4 Nutrients – atmospheric deposition</w:t>
      </w:r>
    </w:p>
    <w:p w:rsidR="00226038" w:rsidRPr="00991792" w:rsidRDefault="00226038" w:rsidP="00226038">
      <w:pPr>
        <w:spacing w:before="120" w:after="120" w:line="360" w:lineRule="auto"/>
        <w:jc w:val="both"/>
        <w:rPr>
          <w:rFonts w:ascii="Times New Roman" w:hAnsi="Times New Roman" w:cs="Times New Roman"/>
          <w:sz w:val="20"/>
          <w:szCs w:val="20"/>
        </w:rPr>
      </w:pPr>
      <w:r w:rsidRPr="00991792">
        <w:rPr>
          <w:rFonts w:ascii="Times New Roman" w:hAnsi="Times New Roman" w:cs="Times New Roman"/>
          <w:sz w:val="20"/>
          <w:szCs w:val="20"/>
        </w:rPr>
        <w:t xml:space="preserve">Similarly to wastewater treatment, technological development related to air pollution is driven by the private sector, and the use of such technologies is highly variable across regions and sectors. More focus is placed on small-scale technologies improving local air quality, such as air filters, than on reducing overall emissions, which generally increase due to weak regulations. </w:t>
      </w:r>
    </w:p>
    <w:p w:rsidR="00226038" w:rsidRPr="007F4AA9" w:rsidRDefault="00226038" w:rsidP="00226038">
      <w:pPr>
        <w:pStyle w:val="Heading2"/>
      </w:pPr>
      <w:r w:rsidRPr="007F4AA9">
        <w:t xml:space="preserve">4.5 Shipping </w:t>
      </w:r>
    </w:p>
    <w:p w:rsidR="00226038" w:rsidRPr="00991792" w:rsidRDefault="00226038" w:rsidP="00226038">
      <w:pPr>
        <w:spacing w:before="120" w:after="120" w:line="360" w:lineRule="auto"/>
        <w:jc w:val="both"/>
        <w:rPr>
          <w:rFonts w:ascii="Times New Roman" w:hAnsi="Times New Roman" w:cs="Times New Roman"/>
          <w:sz w:val="20"/>
          <w:szCs w:val="20"/>
        </w:rPr>
      </w:pPr>
      <w:r w:rsidRPr="00991792">
        <w:rPr>
          <w:rFonts w:ascii="Times New Roman" w:hAnsi="Times New Roman" w:cs="Times New Roman"/>
          <w:sz w:val="20"/>
          <w:szCs w:val="20"/>
        </w:rPr>
        <w:t>High quality, high material-intensive tourism such as the cruise industry increases significantly due to a vibrant demand by the regional and global elite. Shipping of goods increase at a moderate rate with intense trading between high-income regions. The sector is not well regulated in order to maximise the trading potential of the Baltic Sea. Existing environmental regulations remain in place but with partial implementation success, allowing for corporate business to focus on profit performance. New environmental regulations are not carried through due to weakening gl</w:t>
      </w:r>
      <w:r>
        <w:rPr>
          <w:rFonts w:ascii="Times New Roman" w:hAnsi="Times New Roman" w:cs="Times New Roman"/>
          <w:sz w:val="20"/>
          <w:szCs w:val="20"/>
        </w:rPr>
        <w:t xml:space="preserve">obal and regional institutions </w:t>
      </w:r>
      <w:r w:rsidRPr="00991792">
        <w:rPr>
          <w:rFonts w:ascii="Times New Roman" w:hAnsi="Times New Roman" w:cs="Times New Roman"/>
          <w:sz w:val="20"/>
          <w:szCs w:val="20"/>
        </w:rPr>
        <w:t>and a lack of focus on reducing emissions</w:t>
      </w:r>
      <w:r>
        <w:rPr>
          <w:rFonts w:ascii="Times New Roman" w:hAnsi="Times New Roman" w:cs="Times New Roman"/>
          <w:sz w:val="20"/>
          <w:szCs w:val="20"/>
        </w:rPr>
        <w:t xml:space="preserve"> i</w:t>
      </w:r>
      <w:r w:rsidRPr="00991792">
        <w:rPr>
          <w:rFonts w:ascii="Times New Roman" w:hAnsi="Times New Roman" w:cs="Times New Roman"/>
          <w:sz w:val="20"/>
          <w:szCs w:val="20"/>
        </w:rPr>
        <w:t xml:space="preserve">n the long term. </w:t>
      </w:r>
      <w:r>
        <w:rPr>
          <w:rFonts w:ascii="Times New Roman" w:hAnsi="Times New Roman" w:cs="Times New Roman"/>
          <w:sz w:val="20"/>
          <w:szCs w:val="20"/>
        </w:rPr>
        <w:t>The</w:t>
      </w:r>
      <w:r w:rsidRPr="00991792">
        <w:rPr>
          <w:rFonts w:ascii="Times New Roman" w:hAnsi="Times New Roman" w:cs="Times New Roman"/>
          <w:sz w:val="20"/>
          <w:szCs w:val="20"/>
        </w:rPr>
        <w:t xml:space="preserve"> use of fossil fuels </w:t>
      </w:r>
      <w:r>
        <w:rPr>
          <w:rFonts w:ascii="Times New Roman" w:hAnsi="Times New Roman" w:cs="Times New Roman"/>
          <w:sz w:val="20"/>
          <w:szCs w:val="20"/>
        </w:rPr>
        <w:t>continues</w:t>
      </w:r>
      <w:r w:rsidRPr="00991792">
        <w:rPr>
          <w:rFonts w:ascii="Times New Roman" w:hAnsi="Times New Roman" w:cs="Times New Roman"/>
          <w:sz w:val="20"/>
          <w:szCs w:val="20"/>
        </w:rPr>
        <w:t xml:space="preserve"> together with a low rate of techn</w:t>
      </w:r>
      <w:r w:rsidR="0061685E">
        <w:rPr>
          <w:rFonts w:ascii="Times New Roman" w:hAnsi="Times New Roman" w:cs="Times New Roman"/>
          <w:sz w:val="20"/>
          <w:szCs w:val="20"/>
        </w:rPr>
        <w:t>ological</w:t>
      </w:r>
      <w:r w:rsidRPr="00991792">
        <w:rPr>
          <w:rFonts w:ascii="Times New Roman" w:hAnsi="Times New Roman" w:cs="Times New Roman"/>
          <w:sz w:val="20"/>
          <w:szCs w:val="20"/>
        </w:rPr>
        <w:t xml:space="preserve"> development.</w:t>
      </w:r>
    </w:p>
    <w:p w:rsidR="00226038" w:rsidRPr="007F4AA9" w:rsidRDefault="00226038" w:rsidP="00226038">
      <w:pPr>
        <w:pStyle w:val="Heading2"/>
      </w:pPr>
      <w:r w:rsidRPr="007F4AA9">
        <w:t>4.6 Fishing</w:t>
      </w:r>
    </w:p>
    <w:p w:rsidR="00226038" w:rsidRPr="00991792" w:rsidRDefault="00226038" w:rsidP="00226038">
      <w:pPr>
        <w:spacing w:before="120" w:after="120" w:line="360" w:lineRule="auto"/>
        <w:jc w:val="both"/>
        <w:rPr>
          <w:rFonts w:ascii="Times New Roman" w:hAnsi="Times New Roman" w:cs="Times New Roman"/>
          <w:sz w:val="20"/>
          <w:szCs w:val="20"/>
        </w:rPr>
      </w:pPr>
      <w:bookmarkStart w:id="2" w:name="_Toc460332576"/>
      <w:r w:rsidRPr="00991792">
        <w:rPr>
          <w:rFonts w:ascii="Times New Roman" w:hAnsi="Times New Roman" w:cs="Times New Roman"/>
          <w:sz w:val="20"/>
          <w:szCs w:val="20"/>
        </w:rPr>
        <w:t xml:space="preserve">Use of the sea is characterised by a rapid exploitation of resources and attempted local technological ‘quick fixes’ of arising visible problems. Supra-national regulation of fisheries is weakened and national fisheries policies are increasingly formulated to benefit large-scale fishing businesses at the expense of marine ecosystem health. The fishing industry becomes increasingly managed by corporate business investing in large-scale high-tech fishing vessels with a focus to maximise profits at the expense of fish stock health, stable employment and safety. Traditional small-scale fishery continues to decline with old low-tech vessels employing cheap, possibly immigrant workforce continuing to operate. Aquaculture becomes a dominant source for fish for consumption, driven by entrepreneurs who have the means to invest in biotechnology and import feed from other regions if necessary. Fish are mostly not caught for direct human consumption, although low-income sections of the population may consume some self-caught fish despite very high pollutant levels. </w:t>
      </w:r>
    </w:p>
    <w:p w:rsidR="00226038" w:rsidRDefault="00226038" w:rsidP="00226038">
      <w:pPr>
        <w:spacing w:after="0" w:line="240" w:lineRule="auto"/>
        <w:rPr>
          <w:rFonts w:ascii="Times New Roman" w:hAnsi="Times New Roman" w:cs="Times New Roman"/>
          <w:color w:val="002060"/>
          <w:lang w:val="en-US"/>
        </w:rPr>
      </w:pPr>
      <w:r>
        <w:rPr>
          <w:rFonts w:ascii="Times New Roman" w:hAnsi="Times New Roman" w:cs="Times New Roman"/>
          <w:color w:val="002060"/>
          <w:lang w:val="en-US"/>
        </w:rPr>
        <w:br w:type="page"/>
      </w:r>
    </w:p>
    <w:p w:rsidR="00226038" w:rsidRPr="00DC62AD" w:rsidRDefault="00226038" w:rsidP="00226038">
      <w:pPr>
        <w:pStyle w:val="Heading1"/>
        <w:rPr>
          <w:b/>
        </w:rPr>
      </w:pPr>
      <w:proofErr w:type="gramStart"/>
      <w:r w:rsidRPr="00DC62AD">
        <w:rPr>
          <w:b/>
          <w:lang w:val="en-US"/>
        </w:rPr>
        <w:lastRenderedPageBreak/>
        <w:t xml:space="preserve">5  </w:t>
      </w:r>
      <w:r w:rsidRPr="00DC62AD">
        <w:rPr>
          <w:b/>
        </w:rPr>
        <w:t>SSP5</w:t>
      </w:r>
      <w:proofErr w:type="gramEnd"/>
      <w:r w:rsidRPr="00DC62AD">
        <w:rPr>
          <w:b/>
        </w:rPr>
        <w:t xml:space="preserve"> – Fossil-fuelled development</w:t>
      </w:r>
      <w:bookmarkEnd w:id="2"/>
    </w:p>
    <w:p w:rsidR="00226038" w:rsidRPr="007F4AA9" w:rsidRDefault="00226038" w:rsidP="00226038">
      <w:pPr>
        <w:pStyle w:val="Heading2"/>
      </w:pPr>
      <w:r w:rsidRPr="007F4AA9">
        <w:t>5.1 General social trends</w:t>
      </w:r>
    </w:p>
    <w:p w:rsidR="00226038" w:rsidRPr="00991792" w:rsidRDefault="00226038" w:rsidP="00226038">
      <w:pPr>
        <w:spacing w:before="120" w:after="120" w:line="360" w:lineRule="auto"/>
        <w:jc w:val="both"/>
        <w:rPr>
          <w:rFonts w:ascii="Times New Roman" w:hAnsi="Times New Roman" w:cs="Times New Roman"/>
          <w:sz w:val="20"/>
          <w:szCs w:val="20"/>
        </w:rPr>
      </w:pPr>
      <w:r w:rsidRPr="00991792">
        <w:rPr>
          <w:rFonts w:ascii="Times New Roman" w:hAnsi="Times New Roman" w:cs="Times New Roman"/>
          <w:sz w:val="20"/>
          <w:szCs w:val="20"/>
        </w:rPr>
        <w:t xml:space="preserve">In a societal development that primarily follows conventional development, environmental regulation of air pollution, point source pollution and agricultural activities is more lenient. In the medium term, the Water Framework Directive, the Baltic Sea Action Plan and the National Emission Ceilings Directive </w:t>
      </w:r>
      <w:r>
        <w:rPr>
          <w:rFonts w:ascii="Times New Roman" w:hAnsi="Times New Roman" w:cs="Times New Roman"/>
          <w:sz w:val="20"/>
          <w:szCs w:val="20"/>
        </w:rPr>
        <w:t>are</w:t>
      </w:r>
      <w:r w:rsidRPr="00991792">
        <w:rPr>
          <w:rFonts w:ascii="Times New Roman" w:hAnsi="Times New Roman" w:cs="Times New Roman"/>
          <w:sz w:val="20"/>
          <w:szCs w:val="20"/>
        </w:rPr>
        <w:t xml:space="preserve"> modified to require only relative targets as opposed to absolute reduction targets</w:t>
      </w:r>
      <w:r>
        <w:rPr>
          <w:rFonts w:ascii="Times New Roman" w:hAnsi="Times New Roman" w:cs="Times New Roman"/>
          <w:sz w:val="20"/>
          <w:szCs w:val="20"/>
        </w:rPr>
        <w:t>.</w:t>
      </w:r>
      <w:r w:rsidRPr="00991792">
        <w:rPr>
          <w:rFonts w:ascii="Times New Roman" w:hAnsi="Times New Roman" w:cs="Times New Roman"/>
          <w:sz w:val="20"/>
          <w:szCs w:val="20"/>
        </w:rPr>
        <w:t xml:space="preserve"> </w:t>
      </w:r>
      <w:r>
        <w:rPr>
          <w:rFonts w:ascii="Times New Roman" w:hAnsi="Times New Roman" w:cs="Times New Roman"/>
          <w:sz w:val="20"/>
          <w:szCs w:val="20"/>
        </w:rPr>
        <w:t>R</w:t>
      </w:r>
      <w:r w:rsidRPr="00991792">
        <w:rPr>
          <w:rFonts w:ascii="Times New Roman" w:hAnsi="Times New Roman" w:cs="Times New Roman"/>
          <w:sz w:val="20"/>
          <w:szCs w:val="20"/>
        </w:rPr>
        <w:t>elative improvements follow advances in technological developments and no further MARPOL conventions will be</w:t>
      </w:r>
      <w:bookmarkStart w:id="3" w:name="_GoBack"/>
      <w:bookmarkEnd w:id="3"/>
      <w:r w:rsidRPr="00991792">
        <w:rPr>
          <w:rFonts w:ascii="Times New Roman" w:hAnsi="Times New Roman" w:cs="Times New Roman"/>
          <w:sz w:val="20"/>
          <w:szCs w:val="20"/>
        </w:rPr>
        <w:t xml:space="preserve"> developed. In the long term, technological development and market-based instruments based on relative targets dominate the environmental regulatory framework. Agricultural subsidies are gradually removed to allow for international competition and market driven innovation.</w:t>
      </w:r>
    </w:p>
    <w:p w:rsidR="00226038" w:rsidRPr="00991792" w:rsidRDefault="00226038" w:rsidP="00226038">
      <w:pPr>
        <w:spacing w:before="120" w:after="120" w:line="360" w:lineRule="auto"/>
        <w:jc w:val="both"/>
        <w:rPr>
          <w:rFonts w:ascii="Times New Roman" w:hAnsi="Times New Roman" w:cs="Times New Roman"/>
          <w:sz w:val="20"/>
          <w:szCs w:val="20"/>
        </w:rPr>
      </w:pPr>
      <w:r w:rsidRPr="00991792">
        <w:rPr>
          <w:rFonts w:ascii="Times New Roman" w:hAnsi="Times New Roman" w:cs="Times New Roman"/>
          <w:sz w:val="20"/>
          <w:szCs w:val="20"/>
        </w:rPr>
        <w:t xml:space="preserve">A general faith in society’s ability to effectively manage the climate and ecological systems leads to attempts to solve climatic and environmental pressures through geo-engineering, e.g. through local and large-scale oxygenation pumping in the Baltic Sea and nutrient compensatory measures in the marine environment. Technological development is rapid, resulting in some environmental improvements, although this is not the primary focus. </w:t>
      </w:r>
    </w:p>
    <w:p w:rsidR="00226038" w:rsidRPr="00991792" w:rsidRDefault="00226038" w:rsidP="00226038">
      <w:pPr>
        <w:spacing w:before="120" w:after="0" w:line="360" w:lineRule="auto"/>
        <w:jc w:val="both"/>
        <w:rPr>
          <w:rFonts w:ascii="Times New Roman" w:hAnsi="Times New Roman" w:cs="Times New Roman"/>
          <w:sz w:val="20"/>
          <w:szCs w:val="20"/>
        </w:rPr>
      </w:pPr>
      <w:r>
        <w:rPr>
          <w:rFonts w:ascii="Times New Roman" w:hAnsi="Times New Roman" w:cs="Times New Roman"/>
          <w:sz w:val="20"/>
          <w:szCs w:val="20"/>
        </w:rPr>
        <w:t>T</w:t>
      </w:r>
      <w:r w:rsidRPr="00991792">
        <w:rPr>
          <w:rFonts w:ascii="Times New Roman" w:hAnsi="Times New Roman" w:cs="Times New Roman"/>
          <w:sz w:val="20"/>
          <w:szCs w:val="20"/>
        </w:rPr>
        <w:t xml:space="preserve">here is little concern for conserving land from urban encroachment, </w:t>
      </w:r>
      <w:r w:rsidR="008074A1">
        <w:rPr>
          <w:rFonts w:ascii="Times New Roman" w:hAnsi="Times New Roman" w:cs="Times New Roman"/>
          <w:sz w:val="20"/>
          <w:szCs w:val="20"/>
        </w:rPr>
        <w:t xml:space="preserve">and </w:t>
      </w:r>
      <w:r w:rsidRPr="00991792">
        <w:rPr>
          <w:rFonts w:ascii="Times New Roman" w:hAnsi="Times New Roman" w:cs="Times New Roman"/>
          <w:sz w:val="20"/>
          <w:szCs w:val="20"/>
        </w:rPr>
        <w:t>lax spatial planning enables low density housing in former green belts and retail developments to develop rapidly in suburban areas adjacent to larger urban centres. Globally, food consumption changes towards demanding significantly more meat and dairy products, where food quality and price are key factors.</w:t>
      </w:r>
    </w:p>
    <w:p w:rsidR="00226038" w:rsidRPr="007F4AA9" w:rsidRDefault="00226038" w:rsidP="00226038">
      <w:pPr>
        <w:pStyle w:val="Heading2"/>
      </w:pPr>
      <w:r w:rsidRPr="007F4AA9">
        <w:t>5.2 Nutrients – agriculture</w:t>
      </w:r>
    </w:p>
    <w:p w:rsidR="00226038" w:rsidRPr="00991792" w:rsidRDefault="00226038" w:rsidP="00226038">
      <w:pPr>
        <w:spacing w:before="120" w:after="120" w:line="360" w:lineRule="auto"/>
        <w:jc w:val="both"/>
        <w:rPr>
          <w:rFonts w:ascii="Times New Roman" w:hAnsi="Times New Roman" w:cs="Times New Roman"/>
          <w:sz w:val="20"/>
          <w:szCs w:val="20"/>
        </w:rPr>
      </w:pPr>
      <w:r w:rsidRPr="00991792">
        <w:rPr>
          <w:rFonts w:ascii="Times New Roman" w:hAnsi="Times New Roman" w:cs="Times New Roman"/>
          <w:sz w:val="20"/>
          <w:szCs w:val="20"/>
        </w:rPr>
        <w:t xml:space="preserve">The Baltic Sea Region leads a policy of increasing exports of agricultural produce, where emphasis is on high productivity with increasing inputs and no application of measures to enhance N use efficiencies. Smart agriculture may increase efficiency and lead to relative environmental benefits, although this is not the primary focus. Organic farming only occupies a niche in the market. Agriculture in Poland, Russia and the Baltic states will intensify substantially compared to present and export of meat and dairy products increases significantly from the region. The increase in livestock in the region leads to a significant change in land use and application of manure. Imports of livestock feed of soya and fishmeal increases significantly. Technological development related to agricultural practices involves risks, but there is little focus in regulating the </w:t>
      </w:r>
      <w:r w:rsidR="00DE2B66">
        <w:rPr>
          <w:rFonts w:ascii="Times New Roman" w:hAnsi="Times New Roman" w:cs="Times New Roman"/>
          <w:sz w:val="20"/>
          <w:szCs w:val="20"/>
        </w:rPr>
        <w:t>introduction of</w:t>
      </w:r>
      <w:r w:rsidRPr="00991792">
        <w:rPr>
          <w:rFonts w:ascii="Times New Roman" w:hAnsi="Times New Roman" w:cs="Times New Roman"/>
          <w:sz w:val="20"/>
          <w:szCs w:val="20"/>
        </w:rPr>
        <w:t xml:space="preserve"> new technologies. Genetically Modified Organisms are widely applied in both agriculture and aquaculture.</w:t>
      </w:r>
    </w:p>
    <w:p w:rsidR="00226038" w:rsidRPr="007F4AA9" w:rsidRDefault="00226038" w:rsidP="00226038">
      <w:pPr>
        <w:pStyle w:val="Heading2"/>
      </w:pPr>
      <w:r w:rsidRPr="007F4AA9">
        <w:t>5.3 Nutrients – waste water treatment plants</w:t>
      </w:r>
    </w:p>
    <w:p w:rsidR="00226038" w:rsidRPr="00991792" w:rsidRDefault="00226038" w:rsidP="00226038">
      <w:pPr>
        <w:spacing w:before="120" w:after="0" w:line="360" w:lineRule="auto"/>
        <w:jc w:val="both"/>
        <w:rPr>
          <w:rFonts w:ascii="Times New Roman" w:hAnsi="Times New Roman" w:cs="Times New Roman"/>
          <w:sz w:val="20"/>
          <w:szCs w:val="20"/>
        </w:rPr>
      </w:pPr>
      <w:r w:rsidRPr="00991792">
        <w:rPr>
          <w:rFonts w:ascii="Times New Roman" w:hAnsi="Times New Roman" w:cs="Times New Roman"/>
          <w:sz w:val="20"/>
          <w:szCs w:val="20"/>
        </w:rPr>
        <w:t xml:space="preserve">The challenges that follow from high population growth, boost in economic activity, consumerist lifestyle and urbanization are met by additional investments in waste water treatment infrastructure in the urban areas. New facilities are built and the sewage systems are expanded to serve expanding urban areas. Investments in waste water treatment are driven by concerns related to human health rather than ecosystem integrity. There is no active effort to improve wastewater treatment levels due to low appreciation of public goods such as the marine ecosystem services. The sewage sector applies more sophisticated and comprehensive treatment in the wealthiest areas only. Some upgrading occurs due to technology spill-overs from other sectors. </w:t>
      </w:r>
      <w:r w:rsidRPr="00991792">
        <w:rPr>
          <w:rFonts w:ascii="Times New Roman" w:hAnsi="Times New Roman" w:cs="Times New Roman"/>
          <w:sz w:val="20"/>
          <w:szCs w:val="20"/>
        </w:rPr>
        <w:lastRenderedPageBreak/>
        <w:t>In the medium term, the requirements of the EU Urban Waste Water Directive will be met in most regions. HELCOM recommendations are only partially met for urban areas in the long term. No efforts are made to improve onsite treatment systems in rural areas.</w:t>
      </w:r>
    </w:p>
    <w:p w:rsidR="00226038" w:rsidRPr="007F4AA9" w:rsidRDefault="00226038" w:rsidP="00226038">
      <w:pPr>
        <w:pStyle w:val="Heading2"/>
      </w:pPr>
      <w:r w:rsidRPr="007F4AA9">
        <w:t>5.4 Nutrients – atmospheric deposition</w:t>
      </w:r>
    </w:p>
    <w:p w:rsidR="00226038" w:rsidRPr="00991792" w:rsidRDefault="00226038" w:rsidP="00226038">
      <w:pPr>
        <w:spacing w:before="120" w:after="120" w:line="360" w:lineRule="auto"/>
        <w:jc w:val="both"/>
        <w:rPr>
          <w:rFonts w:ascii="Times New Roman" w:hAnsi="Times New Roman" w:cs="Times New Roman"/>
          <w:b/>
          <w:i/>
          <w:sz w:val="20"/>
          <w:szCs w:val="20"/>
        </w:rPr>
      </w:pPr>
      <w:r w:rsidRPr="00991792">
        <w:rPr>
          <w:rFonts w:ascii="Times New Roman" w:hAnsi="Times New Roman" w:cs="Times New Roman"/>
          <w:sz w:val="20"/>
          <w:szCs w:val="20"/>
        </w:rPr>
        <w:t>Despite a growing and fossil-fuel dependent economy, rapid technological progress and globally successful implementation of strong pollution controls lead to absolute reductions in nitrogen oxides emissions and deposition. Ammonia emissions and deposition increase significantly because of increasing livestock numbers and a lack of efficient mitigation measures. The local impacts of air pollution are addressed effectively by technological solutions, but global impacts are neglected.</w:t>
      </w:r>
    </w:p>
    <w:p w:rsidR="00226038" w:rsidRPr="007F4AA9" w:rsidRDefault="00226038" w:rsidP="00226038">
      <w:pPr>
        <w:pStyle w:val="Heading2"/>
      </w:pPr>
      <w:r w:rsidRPr="007F4AA9">
        <w:t xml:space="preserve">5.5 Shipping </w:t>
      </w:r>
    </w:p>
    <w:p w:rsidR="00226038" w:rsidRPr="00991792" w:rsidRDefault="00226038" w:rsidP="00226038">
      <w:pPr>
        <w:spacing w:before="120" w:after="0" w:line="360" w:lineRule="auto"/>
        <w:jc w:val="both"/>
        <w:rPr>
          <w:rFonts w:ascii="Times New Roman" w:hAnsi="Times New Roman" w:cs="Times New Roman"/>
          <w:sz w:val="20"/>
          <w:szCs w:val="20"/>
        </w:rPr>
      </w:pPr>
      <w:r w:rsidRPr="00991792">
        <w:rPr>
          <w:rFonts w:ascii="Times New Roman" w:hAnsi="Times New Roman" w:cs="Times New Roman"/>
          <w:sz w:val="20"/>
          <w:szCs w:val="20"/>
        </w:rPr>
        <w:t xml:space="preserve">Shipping volumes increase at a fast rate with a booming trade, both globally and within the Baltic Sea region. </w:t>
      </w:r>
      <w:r w:rsidRPr="00991792">
        <w:rPr>
          <w:rFonts w:ascii="Times New Roman" w:hAnsi="Times New Roman" w:cs="Times New Roman"/>
          <w:sz w:val="20"/>
          <w:szCs w:val="20"/>
          <w:lang w:val="en-US"/>
        </w:rPr>
        <w:t>Tourist shipping (cruise ships, ferries and leisure boats) expand and oil tanker shipping and bulk shipping increase significantly due to the dominant use of oil and coal in the economy.</w:t>
      </w:r>
      <w:r w:rsidRPr="00991792">
        <w:rPr>
          <w:rFonts w:ascii="Times New Roman" w:hAnsi="Times New Roman" w:cs="Times New Roman"/>
          <w:sz w:val="20"/>
          <w:szCs w:val="20"/>
        </w:rPr>
        <w:t xml:space="preserve"> The shipping sector continues to use fossil fuels, mainly heavy fuel oil and some natural gas. The strong developments of technology and concern for human health lead to some abatement technologies being in place, reducing the emissions to air and water, even though the traffic increases. The already decided IMO regulations remain in place but no further policies are developed. The increased use of fossil fuel produces higher risks for accidents, but strong technology development may mean that accidents can be avoided and that the effects can be mitigated. The emissions to water of waste and sewage increase following the increase in traffic and grey water remains unregulated. </w:t>
      </w:r>
    </w:p>
    <w:p w:rsidR="00226038" w:rsidRPr="007F4AA9" w:rsidRDefault="00226038" w:rsidP="00226038">
      <w:pPr>
        <w:pStyle w:val="Heading2"/>
      </w:pPr>
      <w:r w:rsidRPr="007F4AA9">
        <w:t>5.6 Fishing</w:t>
      </w:r>
    </w:p>
    <w:p w:rsidR="00226038" w:rsidRPr="00991792" w:rsidRDefault="00226038" w:rsidP="00226038">
      <w:pPr>
        <w:spacing w:before="120" w:after="120" w:line="360" w:lineRule="auto"/>
        <w:jc w:val="both"/>
        <w:rPr>
          <w:rFonts w:ascii="Times New Roman" w:hAnsi="Times New Roman" w:cs="Times New Roman"/>
          <w:sz w:val="20"/>
          <w:szCs w:val="20"/>
        </w:rPr>
      </w:pPr>
      <w:r w:rsidRPr="00991792">
        <w:rPr>
          <w:rFonts w:ascii="Times New Roman" w:hAnsi="Times New Roman" w:cs="Times New Roman"/>
          <w:sz w:val="20"/>
          <w:szCs w:val="20"/>
        </w:rPr>
        <w:t xml:space="preserve">Fishing in the Baltic Sea Region focuses on maximising profits. </w:t>
      </w:r>
      <w:r>
        <w:rPr>
          <w:rFonts w:ascii="Times New Roman" w:hAnsi="Times New Roman" w:cs="Times New Roman"/>
          <w:sz w:val="20"/>
          <w:szCs w:val="20"/>
        </w:rPr>
        <w:t>M</w:t>
      </w:r>
      <w:r w:rsidRPr="00991792">
        <w:rPr>
          <w:rFonts w:ascii="Times New Roman" w:hAnsi="Times New Roman" w:cs="Times New Roman"/>
          <w:sz w:val="20"/>
          <w:szCs w:val="20"/>
        </w:rPr>
        <w:t>anagement regulations allow the use of bottom trawling and other habitat destructive approaches to increase productivity. Reactive management is implemented temporally and spatially after stock collapses, but exploitation is quickly increased again after stocks show signs of regeneration. Management favours large-scale fishing</w:t>
      </w:r>
      <w:r>
        <w:rPr>
          <w:rFonts w:ascii="Times New Roman" w:hAnsi="Times New Roman" w:cs="Times New Roman"/>
          <w:sz w:val="20"/>
          <w:szCs w:val="20"/>
        </w:rPr>
        <w:t>,</w:t>
      </w:r>
      <w:r w:rsidRPr="00991792">
        <w:rPr>
          <w:rFonts w:ascii="Times New Roman" w:hAnsi="Times New Roman" w:cs="Times New Roman"/>
          <w:sz w:val="20"/>
          <w:szCs w:val="20"/>
        </w:rPr>
        <w:t xml:space="preserve"> which leads to adopting bigger vessels and increasing fishing effort, because of </w:t>
      </w:r>
      <w:r w:rsidRPr="00991792">
        <w:rPr>
          <w:rFonts w:ascii="Times New Roman" w:hAnsi="Times New Roman" w:cs="Times New Roman"/>
          <w:sz w:val="20"/>
          <w:szCs w:val="20"/>
          <w:lang w:val="en-US"/>
        </w:rPr>
        <w:t>strong industrial lobbying both at national and international level.</w:t>
      </w:r>
    </w:p>
    <w:p w:rsidR="00226038" w:rsidRPr="00991792" w:rsidRDefault="00226038" w:rsidP="00226038">
      <w:pPr>
        <w:spacing w:after="0" w:line="360" w:lineRule="auto"/>
        <w:jc w:val="both"/>
        <w:rPr>
          <w:rFonts w:ascii="Times New Roman" w:hAnsi="Times New Roman" w:cs="Times New Roman"/>
          <w:sz w:val="20"/>
          <w:szCs w:val="20"/>
        </w:rPr>
      </w:pPr>
      <w:r w:rsidRPr="00991792">
        <w:rPr>
          <w:rFonts w:ascii="Times New Roman" w:hAnsi="Times New Roman" w:cs="Times New Roman"/>
          <w:sz w:val="20"/>
          <w:szCs w:val="20"/>
        </w:rPr>
        <w:t>Almost all catches are processed into fishmeal and oil, which is utilized both by the local aquaculture industry, and exported. Fish products are also used for feeding the growing livestock production.</w:t>
      </w:r>
    </w:p>
    <w:p w:rsidR="00226038" w:rsidRPr="00991792" w:rsidRDefault="00226038" w:rsidP="00226038">
      <w:pPr>
        <w:spacing w:after="0" w:line="360" w:lineRule="auto"/>
        <w:jc w:val="both"/>
        <w:rPr>
          <w:rFonts w:ascii="Times New Roman" w:hAnsi="Times New Roman" w:cs="Times New Roman"/>
          <w:sz w:val="20"/>
          <w:szCs w:val="20"/>
        </w:rPr>
      </w:pPr>
      <w:r w:rsidRPr="00991792">
        <w:rPr>
          <w:rFonts w:ascii="Times New Roman" w:hAnsi="Times New Roman" w:cs="Times New Roman"/>
          <w:sz w:val="20"/>
          <w:szCs w:val="20"/>
        </w:rPr>
        <w:t>Freshwater and marine aquaculture are developed at an industrial scale for local consumpti</w:t>
      </w:r>
      <w:r>
        <w:rPr>
          <w:rFonts w:ascii="Times New Roman" w:hAnsi="Times New Roman" w:cs="Times New Roman"/>
          <w:sz w:val="20"/>
          <w:szCs w:val="20"/>
        </w:rPr>
        <w:t>on and for a growing exports</w:t>
      </w:r>
      <w:r w:rsidRPr="00991792">
        <w:rPr>
          <w:rFonts w:ascii="Times New Roman" w:hAnsi="Times New Roman" w:cs="Times New Roman"/>
          <w:sz w:val="20"/>
          <w:szCs w:val="20"/>
        </w:rPr>
        <w:t xml:space="preserve">. As in agriculture, there is no focus on minimizing nutrient emissions from aquaculture and fish feed is largely imported as locally produced feed is not sufficient for the increased aquaculture. Fishing gears and vessels are highly technologically developed and effective, allowing for targeted fishing. This may change the genetic composition of fish stocks over the long term. New and improved technological solutions are sought to decrease toxicity of fish. </w:t>
      </w:r>
    </w:p>
    <w:p w:rsidR="00785B0C" w:rsidRDefault="00785B0C"/>
    <w:sectPr w:rsidR="00785B0C">
      <w:footerReference w:type="default" r:id="rId6"/>
      <w:pgSz w:w="12240" w:h="15840"/>
      <w:pgMar w:top="1701" w:right="1134" w:bottom="170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80D" w:rsidRDefault="00DF180D" w:rsidP="00DF180D">
      <w:pPr>
        <w:spacing w:after="0" w:line="240" w:lineRule="auto"/>
      </w:pPr>
      <w:r>
        <w:separator/>
      </w:r>
    </w:p>
  </w:endnote>
  <w:endnote w:type="continuationSeparator" w:id="0">
    <w:p w:rsidR="00DF180D" w:rsidRDefault="00DF180D" w:rsidP="00DF1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848487"/>
      <w:docPartObj>
        <w:docPartGallery w:val="Page Numbers (Bottom of Page)"/>
        <w:docPartUnique/>
      </w:docPartObj>
    </w:sdtPr>
    <w:sdtEndPr>
      <w:rPr>
        <w:noProof/>
      </w:rPr>
    </w:sdtEndPr>
    <w:sdtContent>
      <w:p w:rsidR="00DF180D" w:rsidRDefault="00DF180D">
        <w:pPr>
          <w:pStyle w:val="Footer"/>
          <w:jc w:val="right"/>
        </w:pPr>
        <w:r>
          <w:fldChar w:fldCharType="begin"/>
        </w:r>
        <w:r>
          <w:instrText xml:space="preserve"> PAGE   \* MERGEFORMAT </w:instrText>
        </w:r>
        <w:r>
          <w:fldChar w:fldCharType="separate"/>
        </w:r>
        <w:r w:rsidR="00DC62AD">
          <w:rPr>
            <w:noProof/>
          </w:rPr>
          <w:t>10</w:t>
        </w:r>
        <w:r>
          <w:rPr>
            <w:noProof/>
          </w:rPr>
          <w:fldChar w:fldCharType="end"/>
        </w:r>
      </w:p>
    </w:sdtContent>
  </w:sdt>
  <w:p w:rsidR="00DF180D" w:rsidRDefault="00DF18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80D" w:rsidRDefault="00DF180D" w:rsidP="00DF180D">
      <w:pPr>
        <w:spacing w:after="0" w:line="240" w:lineRule="auto"/>
      </w:pPr>
      <w:r>
        <w:separator/>
      </w:r>
    </w:p>
  </w:footnote>
  <w:footnote w:type="continuationSeparator" w:id="0">
    <w:p w:rsidR="00DF180D" w:rsidRDefault="00DF180D" w:rsidP="00DF18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038"/>
    <w:rsid w:val="00142612"/>
    <w:rsid w:val="00226038"/>
    <w:rsid w:val="00234143"/>
    <w:rsid w:val="00245F5B"/>
    <w:rsid w:val="002D15DE"/>
    <w:rsid w:val="0061685E"/>
    <w:rsid w:val="00785B0C"/>
    <w:rsid w:val="008074A1"/>
    <w:rsid w:val="00856767"/>
    <w:rsid w:val="008B0F9B"/>
    <w:rsid w:val="009D00C0"/>
    <w:rsid w:val="00AB3D25"/>
    <w:rsid w:val="00B27816"/>
    <w:rsid w:val="00C255D4"/>
    <w:rsid w:val="00C46B5E"/>
    <w:rsid w:val="00CF2E4D"/>
    <w:rsid w:val="00DC62AD"/>
    <w:rsid w:val="00DE2B66"/>
    <w:rsid w:val="00DF180D"/>
    <w:rsid w:val="00E33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B7ADB"/>
  <w15:chartTrackingRefBased/>
  <w15:docId w15:val="{E406910E-96F8-4950-8344-94FFCA184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6038"/>
    <w:pPr>
      <w:spacing w:after="200" w:line="276" w:lineRule="auto"/>
    </w:pPr>
    <w:rPr>
      <w:rFonts w:ascii="Calibri" w:eastAsia="Calibri" w:hAnsi="Calibri" w:cs="Calibri"/>
      <w:lang w:val="en-GB"/>
    </w:rPr>
  </w:style>
  <w:style w:type="paragraph" w:styleId="Heading1">
    <w:name w:val="heading 1"/>
    <w:basedOn w:val="Normal"/>
    <w:next w:val="Normal"/>
    <w:link w:val="Heading1Char"/>
    <w:uiPriority w:val="9"/>
    <w:qFormat/>
    <w:rsid w:val="002260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2603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26038"/>
    <w:rPr>
      <w:rFonts w:asciiTheme="majorHAnsi" w:eastAsiaTheme="majorEastAsia" w:hAnsiTheme="majorHAnsi" w:cstheme="majorBidi"/>
      <w:color w:val="2E74B5" w:themeColor="accent1" w:themeShade="BF"/>
      <w:sz w:val="26"/>
      <w:szCs w:val="26"/>
      <w:lang w:val="en-GB"/>
    </w:rPr>
  </w:style>
  <w:style w:type="character" w:customStyle="1" w:styleId="Heading1Char">
    <w:name w:val="Heading 1 Char"/>
    <w:basedOn w:val="DefaultParagraphFont"/>
    <w:link w:val="Heading1"/>
    <w:uiPriority w:val="9"/>
    <w:rsid w:val="00226038"/>
    <w:rPr>
      <w:rFonts w:asciiTheme="majorHAnsi" w:eastAsiaTheme="majorEastAsia" w:hAnsiTheme="majorHAnsi" w:cstheme="majorBidi"/>
      <w:color w:val="2E74B5" w:themeColor="accent1" w:themeShade="BF"/>
      <w:sz w:val="32"/>
      <w:szCs w:val="32"/>
      <w:lang w:val="en-GB"/>
    </w:rPr>
  </w:style>
  <w:style w:type="paragraph" w:styleId="Header">
    <w:name w:val="header"/>
    <w:basedOn w:val="Normal"/>
    <w:link w:val="HeaderChar"/>
    <w:uiPriority w:val="99"/>
    <w:unhideWhenUsed/>
    <w:rsid w:val="00DF180D"/>
    <w:pPr>
      <w:tabs>
        <w:tab w:val="center" w:pos="4986"/>
        <w:tab w:val="right" w:pos="9972"/>
      </w:tabs>
      <w:spacing w:after="0" w:line="240" w:lineRule="auto"/>
    </w:pPr>
  </w:style>
  <w:style w:type="character" w:customStyle="1" w:styleId="HeaderChar">
    <w:name w:val="Header Char"/>
    <w:basedOn w:val="DefaultParagraphFont"/>
    <w:link w:val="Header"/>
    <w:uiPriority w:val="99"/>
    <w:rsid w:val="00DF180D"/>
    <w:rPr>
      <w:rFonts w:ascii="Calibri" w:eastAsia="Calibri" w:hAnsi="Calibri" w:cs="Calibri"/>
      <w:lang w:val="en-GB"/>
    </w:rPr>
  </w:style>
  <w:style w:type="paragraph" w:styleId="Footer">
    <w:name w:val="footer"/>
    <w:basedOn w:val="Normal"/>
    <w:link w:val="FooterChar"/>
    <w:uiPriority w:val="99"/>
    <w:unhideWhenUsed/>
    <w:rsid w:val="00DF180D"/>
    <w:pPr>
      <w:tabs>
        <w:tab w:val="center" w:pos="4986"/>
        <w:tab w:val="right" w:pos="9972"/>
      </w:tabs>
      <w:spacing w:after="0" w:line="240" w:lineRule="auto"/>
    </w:pPr>
  </w:style>
  <w:style w:type="character" w:customStyle="1" w:styleId="FooterChar">
    <w:name w:val="Footer Char"/>
    <w:basedOn w:val="DefaultParagraphFont"/>
    <w:link w:val="Footer"/>
    <w:uiPriority w:val="99"/>
    <w:rsid w:val="00DF180D"/>
    <w:rPr>
      <w:rFonts w:ascii="Calibri" w:eastAsia="Calibri" w:hAnsi="Calibri" w:cs="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4677</Words>
  <Characters>26661</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Aarhus University</Company>
  <LinksUpToDate>false</LinksUpToDate>
  <CharactersWithSpaces>31276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Zandersen</dc:creator>
  <cp:keywords/>
  <dc:description/>
  <cp:lastModifiedBy>Marianne Zandersen</cp:lastModifiedBy>
  <cp:revision>6</cp:revision>
  <dcterms:created xsi:type="dcterms:W3CDTF">2018-04-11T07:32:00Z</dcterms:created>
  <dcterms:modified xsi:type="dcterms:W3CDTF">2018-04-16T08:18:00Z</dcterms:modified>
</cp:coreProperties>
</file>