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571" w:rsidRPr="00E44DB4" w:rsidRDefault="000F7C79">
      <w:pPr>
        <w:pStyle w:val="normal0"/>
        <w:pBdr>
          <w:top w:val="nil"/>
          <w:left w:val="nil"/>
          <w:bottom w:val="nil"/>
          <w:right w:val="nil"/>
          <w:between w:val="nil"/>
        </w:pBdr>
        <w:rPr>
          <w:rFonts w:ascii="Arial" w:eastAsia="Arial" w:hAnsi="Arial" w:cs="Arial"/>
          <w:b/>
          <w:color w:val="000000"/>
        </w:rPr>
      </w:pPr>
      <w:bookmarkStart w:id="0" w:name="_GoBack"/>
      <w:bookmarkEnd w:id="0"/>
      <w:r w:rsidRPr="00E44DB4">
        <w:rPr>
          <w:rFonts w:ascii="Arial" w:eastAsia="Arial" w:hAnsi="Arial" w:cs="Arial"/>
          <w:b/>
          <w:color w:val="000000"/>
        </w:rPr>
        <w:t>Supplementary material</w:t>
      </w:r>
    </w:p>
    <w:p w:rsidR="00D82571" w:rsidRPr="00E44DB4" w:rsidRDefault="00D82571">
      <w:pPr>
        <w:pStyle w:val="normal0"/>
        <w:pBdr>
          <w:top w:val="nil"/>
          <w:left w:val="nil"/>
          <w:bottom w:val="nil"/>
          <w:right w:val="nil"/>
          <w:between w:val="nil"/>
        </w:pBdr>
        <w:rPr>
          <w:rFonts w:ascii="Arial" w:eastAsia="Arial" w:hAnsi="Arial" w:cs="Arial"/>
          <w:color w:val="000000"/>
        </w:rPr>
      </w:pPr>
    </w:p>
    <w:p w:rsidR="00D82571" w:rsidRPr="00E44DB4" w:rsidRDefault="000F7C79">
      <w:pPr>
        <w:pStyle w:val="normal0"/>
        <w:pBdr>
          <w:top w:val="nil"/>
          <w:left w:val="nil"/>
          <w:bottom w:val="nil"/>
          <w:right w:val="nil"/>
          <w:between w:val="nil"/>
        </w:pBdr>
        <w:rPr>
          <w:rFonts w:ascii="Arial" w:eastAsia="Arial" w:hAnsi="Arial" w:cs="Arial"/>
          <w:b/>
          <w:color w:val="000000"/>
        </w:rPr>
      </w:pPr>
      <w:r w:rsidRPr="00E44DB4">
        <w:rPr>
          <w:rFonts w:ascii="Arial" w:eastAsia="Arial" w:hAnsi="Arial" w:cs="Arial"/>
          <w:b/>
          <w:color w:val="000000"/>
        </w:rPr>
        <w:t>Case study contexts: national to sub-national levels</w:t>
      </w:r>
    </w:p>
    <w:tbl>
      <w:tblPr>
        <w:tblStyle w:val="TableGrid"/>
        <w:tblW w:w="9845" w:type="dxa"/>
        <w:tblLayout w:type="fixed"/>
        <w:tblLook w:val="0400" w:firstRow="0" w:lastRow="0" w:firstColumn="0" w:lastColumn="0" w:noHBand="0" w:noVBand="1"/>
      </w:tblPr>
      <w:tblGrid>
        <w:gridCol w:w="1418"/>
        <w:gridCol w:w="1439"/>
        <w:gridCol w:w="1843"/>
        <w:gridCol w:w="1740"/>
        <w:gridCol w:w="1740"/>
        <w:gridCol w:w="1665"/>
      </w:tblGrid>
      <w:tr w:rsidR="00D82571" w:rsidRPr="00E44DB4" w:rsidTr="00E44DB4">
        <w:trPr>
          <w:trHeight w:val="340"/>
        </w:trPr>
        <w:tc>
          <w:tcPr>
            <w:tcW w:w="2857" w:type="dxa"/>
            <w:gridSpan w:val="2"/>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 xml:space="preserve">National Context </w:t>
            </w:r>
          </w:p>
        </w:tc>
        <w:tc>
          <w:tcPr>
            <w:tcW w:w="1843"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bookmarkStart w:id="1" w:name="_gjdgxs" w:colFirst="0" w:colLast="0"/>
            <w:bookmarkEnd w:id="1"/>
            <w:r w:rsidRPr="00E44DB4">
              <w:rPr>
                <w:rFonts w:ascii="Arial" w:eastAsia="Arial" w:hAnsi="Arial" w:cs="Arial"/>
                <w:b/>
                <w:color w:val="000000"/>
                <w:sz w:val="18"/>
                <w:szCs w:val="18"/>
              </w:rPr>
              <w:t>Ghana</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Kenya</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 xml:space="preserve">Namibia </w:t>
            </w:r>
          </w:p>
        </w:tc>
        <w:tc>
          <w:tcPr>
            <w:tcW w:w="1665"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India</w:t>
            </w:r>
          </w:p>
        </w:tc>
      </w:tr>
      <w:tr w:rsidR="00D82571" w:rsidRPr="00E44DB4" w:rsidTr="00E44DB4">
        <w:trPr>
          <w:trHeight w:val="440"/>
        </w:trPr>
        <w:tc>
          <w:tcPr>
            <w:tcW w:w="1418" w:type="dxa"/>
            <w:vMerge w:val="restart"/>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Socio-economic indicators</w:t>
            </w:r>
          </w:p>
        </w:tc>
        <w:tc>
          <w:tcPr>
            <w:tcW w:w="1439"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 xml:space="preserve">Population </w:t>
            </w:r>
          </w:p>
        </w:tc>
        <w:tc>
          <w:tcPr>
            <w:tcW w:w="1843" w:type="dxa"/>
          </w:tcPr>
          <w:p w:rsidR="00D82571" w:rsidRPr="00E44DB4" w:rsidRDefault="000F7C79">
            <w:pPr>
              <w:pStyle w:val="normal0"/>
              <w:pBdr>
                <w:top w:val="nil"/>
                <w:left w:val="nil"/>
                <w:bottom w:val="nil"/>
                <w:right w:val="nil"/>
                <w:between w:val="nil"/>
              </w:pBdr>
              <w:rPr>
                <w:rFonts w:ascii="Arial" w:eastAsia="Arial" w:hAnsi="Arial" w:cs="Arial"/>
                <w:color w:val="000000"/>
                <w:sz w:val="18"/>
                <w:szCs w:val="18"/>
              </w:rPr>
            </w:pPr>
            <w:r w:rsidRPr="00E44DB4">
              <w:rPr>
                <w:rFonts w:ascii="Arial" w:eastAsia="Arial" w:hAnsi="Arial" w:cs="Arial"/>
                <w:color w:val="000000"/>
                <w:sz w:val="18"/>
                <w:szCs w:val="18"/>
              </w:rPr>
              <w:t>28.21 million</w:t>
            </w:r>
          </w:p>
          <w:p w:rsidR="00D82571" w:rsidRPr="00E44DB4" w:rsidRDefault="000F7C79">
            <w:pPr>
              <w:pStyle w:val="normal0"/>
              <w:pBdr>
                <w:top w:val="nil"/>
                <w:left w:val="nil"/>
                <w:bottom w:val="nil"/>
                <w:right w:val="nil"/>
                <w:between w:val="nil"/>
              </w:pBdr>
              <w:rPr>
                <w:rFonts w:ascii="Arial" w:eastAsia="Arial" w:hAnsi="Arial" w:cs="Arial"/>
                <w:color w:val="000000"/>
                <w:sz w:val="18"/>
                <w:szCs w:val="18"/>
              </w:rPr>
            </w:pPr>
            <w:r w:rsidRPr="00E44DB4">
              <w:rPr>
                <w:rFonts w:ascii="Arial" w:eastAsia="Arial" w:hAnsi="Arial" w:cs="Arial"/>
                <w:color w:val="000000"/>
                <w:sz w:val="18"/>
                <w:szCs w:val="18"/>
              </w:rPr>
              <w:t>(2016)</w:t>
            </w:r>
          </w:p>
        </w:tc>
        <w:tc>
          <w:tcPr>
            <w:tcW w:w="1740" w:type="dxa"/>
          </w:tcPr>
          <w:p w:rsidR="00D82571" w:rsidRPr="00E44DB4" w:rsidRDefault="000F7C79">
            <w:pPr>
              <w:pStyle w:val="normal0"/>
              <w:pBdr>
                <w:top w:val="nil"/>
                <w:left w:val="nil"/>
                <w:bottom w:val="nil"/>
                <w:right w:val="nil"/>
                <w:between w:val="nil"/>
              </w:pBdr>
              <w:spacing w:after="160"/>
              <w:rPr>
                <w:rFonts w:ascii="Arial" w:eastAsia="Arial" w:hAnsi="Arial" w:cs="Arial"/>
                <w:color w:val="000000"/>
                <w:sz w:val="18"/>
                <w:szCs w:val="18"/>
              </w:rPr>
            </w:pPr>
            <w:r w:rsidRPr="00E44DB4">
              <w:rPr>
                <w:rFonts w:ascii="Arial" w:eastAsia="Arial" w:hAnsi="Arial" w:cs="Arial"/>
                <w:color w:val="000000"/>
                <w:sz w:val="18"/>
                <w:szCs w:val="18"/>
              </w:rPr>
              <w:t>48.46 million (2016)</w:t>
            </w:r>
          </w:p>
        </w:tc>
        <w:tc>
          <w:tcPr>
            <w:tcW w:w="1740" w:type="dxa"/>
          </w:tcPr>
          <w:p w:rsidR="00D82571" w:rsidRPr="00E44DB4" w:rsidRDefault="000F7C79">
            <w:pPr>
              <w:pStyle w:val="normal0"/>
              <w:pBdr>
                <w:top w:val="nil"/>
                <w:left w:val="nil"/>
                <w:bottom w:val="nil"/>
                <w:right w:val="nil"/>
                <w:between w:val="nil"/>
              </w:pBdr>
              <w:spacing w:after="160"/>
              <w:rPr>
                <w:rFonts w:ascii="Arial" w:eastAsia="Arial" w:hAnsi="Arial" w:cs="Arial"/>
                <w:color w:val="000000"/>
                <w:sz w:val="18"/>
                <w:szCs w:val="18"/>
              </w:rPr>
            </w:pPr>
            <w:r w:rsidRPr="00E44DB4">
              <w:rPr>
                <w:rFonts w:ascii="Arial" w:eastAsia="Arial" w:hAnsi="Arial" w:cs="Arial"/>
                <w:color w:val="000000"/>
                <w:sz w:val="18"/>
                <w:szCs w:val="18"/>
              </w:rPr>
              <w:t>2.48 million (2016)</w:t>
            </w:r>
          </w:p>
        </w:tc>
        <w:tc>
          <w:tcPr>
            <w:tcW w:w="1665" w:type="dxa"/>
          </w:tcPr>
          <w:p w:rsidR="00D82571" w:rsidRPr="00E44DB4" w:rsidRDefault="000F7C79">
            <w:pPr>
              <w:pStyle w:val="normal0"/>
              <w:pBdr>
                <w:top w:val="nil"/>
                <w:left w:val="nil"/>
                <w:bottom w:val="nil"/>
                <w:right w:val="nil"/>
                <w:between w:val="nil"/>
              </w:pBdr>
              <w:spacing w:after="160"/>
              <w:rPr>
                <w:rFonts w:ascii="Arial" w:eastAsia="Arial" w:hAnsi="Arial" w:cs="Arial"/>
                <w:color w:val="000000"/>
                <w:sz w:val="18"/>
                <w:szCs w:val="18"/>
              </w:rPr>
            </w:pPr>
            <w:r w:rsidRPr="00E44DB4">
              <w:rPr>
                <w:rFonts w:ascii="Arial" w:eastAsia="Arial" w:hAnsi="Arial" w:cs="Arial"/>
                <w:color w:val="000000"/>
                <w:sz w:val="18"/>
                <w:szCs w:val="18"/>
              </w:rPr>
              <w:t>1.32 billion (2016)</w:t>
            </w:r>
          </w:p>
        </w:tc>
      </w:tr>
      <w:tr w:rsidR="00D82571" w:rsidRPr="00E44DB4" w:rsidTr="00E44DB4">
        <w:trPr>
          <w:trHeight w:val="680"/>
        </w:trPr>
        <w:tc>
          <w:tcPr>
            <w:tcW w:w="1418" w:type="dxa"/>
            <w:vMerge/>
          </w:tcPr>
          <w:p w:rsidR="00D82571" w:rsidRPr="00E44DB4" w:rsidRDefault="00D82571">
            <w:pPr>
              <w:pStyle w:val="normal0"/>
              <w:widowControl w:val="0"/>
              <w:pBdr>
                <w:top w:val="nil"/>
                <w:left w:val="nil"/>
                <w:bottom w:val="nil"/>
                <w:right w:val="nil"/>
                <w:between w:val="nil"/>
              </w:pBdr>
              <w:spacing w:line="276" w:lineRule="auto"/>
              <w:rPr>
                <w:rFonts w:ascii="Arial" w:eastAsia="Arial" w:hAnsi="Arial" w:cs="Arial"/>
                <w:color w:val="000000"/>
                <w:sz w:val="18"/>
                <w:szCs w:val="18"/>
              </w:rPr>
            </w:pPr>
          </w:p>
        </w:tc>
        <w:tc>
          <w:tcPr>
            <w:tcW w:w="1439"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Human Development Index/GDP</w:t>
            </w:r>
          </w:p>
        </w:tc>
        <w:tc>
          <w:tcPr>
            <w:tcW w:w="1843" w:type="dxa"/>
          </w:tcPr>
          <w:p w:rsidR="00D82571" w:rsidRPr="00E44DB4" w:rsidRDefault="000F7C79">
            <w:pPr>
              <w:pStyle w:val="normal0"/>
              <w:pBdr>
                <w:top w:val="nil"/>
                <w:left w:val="nil"/>
                <w:bottom w:val="nil"/>
                <w:right w:val="nil"/>
                <w:between w:val="nil"/>
              </w:pBdr>
              <w:rPr>
                <w:rFonts w:ascii="Arial" w:eastAsia="Arial" w:hAnsi="Arial" w:cs="Arial"/>
                <w:color w:val="000000"/>
                <w:sz w:val="18"/>
                <w:szCs w:val="18"/>
              </w:rPr>
            </w:pPr>
            <w:r w:rsidRPr="00E44DB4">
              <w:rPr>
                <w:rFonts w:ascii="Arial" w:eastAsia="Arial" w:hAnsi="Arial" w:cs="Arial"/>
                <w:color w:val="000000"/>
                <w:sz w:val="18"/>
                <w:szCs w:val="18"/>
              </w:rPr>
              <w:t>42.69 billion USD (2016)</w:t>
            </w:r>
          </w:p>
          <w:p w:rsidR="00D82571" w:rsidRPr="00E44DB4" w:rsidRDefault="00D82571">
            <w:pPr>
              <w:pStyle w:val="normal0"/>
              <w:pBdr>
                <w:top w:val="nil"/>
                <w:left w:val="nil"/>
                <w:bottom w:val="nil"/>
                <w:right w:val="nil"/>
                <w:between w:val="nil"/>
              </w:pBdr>
              <w:rPr>
                <w:rFonts w:ascii="Arial" w:eastAsia="Arial" w:hAnsi="Arial" w:cs="Arial"/>
                <w:color w:val="000000"/>
                <w:sz w:val="18"/>
                <w:szCs w:val="18"/>
              </w:rPr>
            </w:pPr>
          </w:p>
          <w:p w:rsidR="00D82571" w:rsidRPr="00E44DB4" w:rsidRDefault="000F7C79">
            <w:pPr>
              <w:pStyle w:val="normal0"/>
              <w:pBdr>
                <w:top w:val="nil"/>
                <w:left w:val="nil"/>
                <w:bottom w:val="nil"/>
                <w:right w:val="nil"/>
                <w:between w:val="nil"/>
              </w:pBdr>
              <w:rPr>
                <w:rFonts w:ascii="Arial" w:eastAsia="Arial" w:hAnsi="Arial" w:cs="Arial"/>
                <w:color w:val="000000"/>
                <w:sz w:val="18"/>
                <w:szCs w:val="18"/>
              </w:rPr>
            </w:pPr>
            <w:r w:rsidRPr="00E44DB4">
              <w:rPr>
                <w:rFonts w:ascii="Arial" w:eastAsia="Arial" w:hAnsi="Arial" w:cs="Arial"/>
                <w:color w:val="000000"/>
                <w:sz w:val="18"/>
                <w:szCs w:val="18"/>
              </w:rPr>
              <w:t>HDI: (0.58)</w:t>
            </w:r>
          </w:p>
          <w:p w:rsidR="00D82571" w:rsidRPr="00E44DB4" w:rsidRDefault="000F7C79">
            <w:pPr>
              <w:pStyle w:val="normal0"/>
              <w:pBdr>
                <w:top w:val="nil"/>
                <w:left w:val="nil"/>
                <w:bottom w:val="nil"/>
                <w:right w:val="nil"/>
                <w:between w:val="nil"/>
              </w:pBdr>
              <w:rPr>
                <w:rFonts w:ascii="Arial" w:eastAsia="Arial" w:hAnsi="Arial" w:cs="Arial"/>
                <w:color w:val="000000"/>
                <w:sz w:val="18"/>
                <w:szCs w:val="18"/>
              </w:rPr>
            </w:pPr>
            <w:proofErr w:type="gramStart"/>
            <w:r w:rsidRPr="00E44DB4">
              <w:rPr>
                <w:rFonts w:ascii="Arial" w:eastAsia="Arial" w:hAnsi="Arial" w:cs="Arial"/>
                <w:color w:val="000000"/>
                <w:sz w:val="18"/>
                <w:szCs w:val="18"/>
              </w:rPr>
              <w:t>139</w:t>
            </w:r>
            <w:r w:rsidRPr="00E44DB4">
              <w:rPr>
                <w:rFonts w:ascii="Arial" w:eastAsia="Arial" w:hAnsi="Arial" w:cs="Arial"/>
                <w:color w:val="000000"/>
                <w:sz w:val="18"/>
                <w:szCs w:val="18"/>
                <w:vertAlign w:val="superscript"/>
              </w:rPr>
              <w:t>th</w:t>
            </w:r>
            <w:r w:rsidRPr="00E44DB4">
              <w:rPr>
                <w:rFonts w:ascii="Arial" w:eastAsia="Arial" w:hAnsi="Arial" w:cs="Arial"/>
                <w:color w:val="000000"/>
                <w:sz w:val="18"/>
                <w:szCs w:val="18"/>
              </w:rPr>
              <w:t xml:space="preserve">  position</w:t>
            </w:r>
            <w:proofErr w:type="gramEnd"/>
          </w:p>
        </w:tc>
        <w:tc>
          <w:tcPr>
            <w:tcW w:w="1740" w:type="dxa"/>
          </w:tcPr>
          <w:p w:rsidR="00D82571" w:rsidRPr="00E44DB4" w:rsidRDefault="000F7C79">
            <w:pPr>
              <w:pStyle w:val="normal0"/>
              <w:pBdr>
                <w:top w:val="nil"/>
                <w:left w:val="nil"/>
                <w:bottom w:val="nil"/>
                <w:right w:val="nil"/>
                <w:between w:val="nil"/>
              </w:pBdr>
              <w:spacing w:after="160"/>
              <w:rPr>
                <w:rFonts w:ascii="Arial" w:eastAsia="Arial" w:hAnsi="Arial" w:cs="Arial"/>
                <w:color w:val="000000"/>
                <w:sz w:val="18"/>
                <w:szCs w:val="18"/>
              </w:rPr>
            </w:pPr>
            <w:r w:rsidRPr="00E44DB4">
              <w:rPr>
                <w:rFonts w:ascii="Arial" w:eastAsia="Arial" w:hAnsi="Arial" w:cs="Arial"/>
                <w:color w:val="000000"/>
                <w:sz w:val="18"/>
                <w:szCs w:val="18"/>
              </w:rPr>
              <w:t>70.53 billion USD (2016)</w:t>
            </w:r>
          </w:p>
          <w:p w:rsidR="00D82571" w:rsidRPr="00E44DB4" w:rsidRDefault="000F7C79">
            <w:pPr>
              <w:pStyle w:val="normal0"/>
              <w:pBdr>
                <w:top w:val="nil"/>
                <w:left w:val="nil"/>
                <w:bottom w:val="nil"/>
                <w:right w:val="nil"/>
                <w:between w:val="nil"/>
              </w:pBdr>
              <w:spacing w:after="160"/>
              <w:rPr>
                <w:rFonts w:ascii="Arial" w:eastAsia="Arial" w:hAnsi="Arial" w:cs="Arial"/>
                <w:color w:val="000000"/>
                <w:sz w:val="18"/>
                <w:szCs w:val="18"/>
              </w:rPr>
            </w:pPr>
            <w:r w:rsidRPr="00E44DB4">
              <w:rPr>
                <w:rFonts w:ascii="Arial" w:eastAsia="Arial" w:hAnsi="Arial" w:cs="Arial"/>
                <w:color w:val="000000"/>
                <w:sz w:val="18"/>
                <w:szCs w:val="18"/>
              </w:rPr>
              <w:t>HDI: (0.55) 146</w:t>
            </w:r>
            <w:r w:rsidRPr="00E44DB4">
              <w:rPr>
                <w:rFonts w:ascii="Arial" w:eastAsia="Arial" w:hAnsi="Arial" w:cs="Arial"/>
                <w:color w:val="000000"/>
                <w:sz w:val="18"/>
                <w:szCs w:val="18"/>
                <w:vertAlign w:val="superscript"/>
              </w:rPr>
              <w:t>th</w:t>
            </w:r>
            <w:r w:rsidRPr="00E44DB4">
              <w:rPr>
                <w:rFonts w:ascii="Arial" w:eastAsia="Arial" w:hAnsi="Arial" w:cs="Arial"/>
                <w:color w:val="000000"/>
                <w:sz w:val="18"/>
                <w:szCs w:val="18"/>
              </w:rPr>
              <w:t xml:space="preserve"> position</w:t>
            </w:r>
          </w:p>
        </w:tc>
        <w:tc>
          <w:tcPr>
            <w:tcW w:w="1740" w:type="dxa"/>
          </w:tcPr>
          <w:p w:rsidR="00D82571" w:rsidRPr="00E44DB4" w:rsidRDefault="000F7C79">
            <w:pPr>
              <w:pStyle w:val="normal0"/>
              <w:pBdr>
                <w:top w:val="nil"/>
                <w:left w:val="nil"/>
                <w:bottom w:val="nil"/>
                <w:right w:val="nil"/>
                <w:between w:val="nil"/>
              </w:pBdr>
              <w:spacing w:after="160"/>
              <w:rPr>
                <w:rFonts w:ascii="Arial" w:eastAsia="Arial" w:hAnsi="Arial" w:cs="Arial"/>
                <w:color w:val="000000"/>
                <w:sz w:val="18"/>
                <w:szCs w:val="18"/>
              </w:rPr>
            </w:pPr>
            <w:r w:rsidRPr="00E44DB4">
              <w:rPr>
                <w:rFonts w:ascii="Arial" w:eastAsia="Arial" w:hAnsi="Arial" w:cs="Arial"/>
                <w:color w:val="000000"/>
                <w:sz w:val="18"/>
                <w:szCs w:val="18"/>
              </w:rPr>
              <w:t>10.27 billion USD (2016)</w:t>
            </w:r>
          </w:p>
          <w:p w:rsidR="00D82571" w:rsidRPr="00E44DB4" w:rsidRDefault="000F7C79">
            <w:pPr>
              <w:pStyle w:val="normal0"/>
              <w:pBdr>
                <w:top w:val="nil"/>
                <w:left w:val="nil"/>
                <w:bottom w:val="nil"/>
                <w:right w:val="nil"/>
                <w:between w:val="nil"/>
              </w:pBdr>
              <w:spacing w:after="160"/>
              <w:rPr>
                <w:rFonts w:ascii="Arial" w:eastAsia="Arial" w:hAnsi="Arial" w:cs="Arial"/>
                <w:color w:val="000000"/>
                <w:sz w:val="18"/>
                <w:szCs w:val="18"/>
              </w:rPr>
            </w:pPr>
            <w:r w:rsidRPr="00E44DB4">
              <w:rPr>
                <w:rFonts w:ascii="Arial" w:eastAsia="Arial" w:hAnsi="Arial" w:cs="Arial"/>
                <w:color w:val="000000"/>
                <w:sz w:val="18"/>
                <w:szCs w:val="18"/>
              </w:rPr>
              <w:t>HDI: (0.65) 125th position (2016)</w:t>
            </w:r>
          </w:p>
        </w:tc>
        <w:tc>
          <w:tcPr>
            <w:tcW w:w="1665" w:type="dxa"/>
          </w:tcPr>
          <w:p w:rsidR="00D82571" w:rsidRPr="00E44DB4" w:rsidRDefault="000F7C79">
            <w:pPr>
              <w:pStyle w:val="normal0"/>
              <w:pBdr>
                <w:top w:val="nil"/>
                <w:left w:val="nil"/>
                <w:bottom w:val="nil"/>
                <w:right w:val="nil"/>
                <w:between w:val="nil"/>
              </w:pBdr>
              <w:spacing w:after="160"/>
              <w:rPr>
                <w:rFonts w:ascii="Arial" w:eastAsia="Arial" w:hAnsi="Arial" w:cs="Arial"/>
                <w:color w:val="000000"/>
                <w:sz w:val="18"/>
                <w:szCs w:val="18"/>
              </w:rPr>
            </w:pPr>
            <w:r w:rsidRPr="00E44DB4">
              <w:rPr>
                <w:rFonts w:ascii="Arial" w:eastAsia="Arial" w:hAnsi="Arial" w:cs="Arial"/>
                <w:color w:val="000000"/>
                <w:sz w:val="18"/>
                <w:szCs w:val="18"/>
              </w:rPr>
              <w:t>2.264 trillion USD (2016)</w:t>
            </w:r>
          </w:p>
          <w:p w:rsidR="00D82571" w:rsidRPr="00E44DB4" w:rsidRDefault="000F7C79">
            <w:pPr>
              <w:pStyle w:val="normal0"/>
              <w:pBdr>
                <w:top w:val="nil"/>
                <w:left w:val="nil"/>
                <w:bottom w:val="nil"/>
                <w:right w:val="nil"/>
                <w:between w:val="nil"/>
              </w:pBdr>
              <w:spacing w:after="160"/>
              <w:rPr>
                <w:rFonts w:ascii="Arial" w:eastAsia="Arial" w:hAnsi="Arial" w:cs="Arial"/>
                <w:color w:val="000000"/>
                <w:sz w:val="18"/>
                <w:szCs w:val="18"/>
              </w:rPr>
            </w:pPr>
            <w:r w:rsidRPr="00E44DB4">
              <w:rPr>
                <w:rFonts w:ascii="Arial" w:eastAsia="Arial" w:hAnsi="Arial" w:cs="Arial"/>
                <w:color w:val="000000"/>
                <w:sz w:val="18"/>
                <w:szCs w:val="18"/>
              </w:rPr>
              <w:t>HDI: (0.624) 131</w:t>
            </w:r>
            <w:r w:rsidRPr="00E44DB4">
              <w:rPr>
                <w:rFonts w:ascii="Arial" w:eastAsia="Arial" w:hAnsi="Arial" w:cs="Arial"/>
                <w:color w:val="000000"/>
                <w:sz w:val="18"/>
                <w:szCs w:val="18"/>
                <w:vertAlign w:val="superscript"/>
              </w:rPr>
              <w:t>st</w:t>
            </w:r>
            <w:r w:rsidRPr="00E44DB4">
              <w:rPr>
                <w:rFonts w:ascii="Arial" w:eastAsia="Arial" w:hAnsi="Arial" w:cs="Arial"/>
                <w:color w:val="000000"/>
                <w:sz w:val="18"/>
                <w:szCs w:val="18"/>
              </w:rPr>
              <w:t xml:space="preserve"> position (2016)</w:t>
            </w:r>
          </w:p>
        </w:tc>
      </w:tr>
      <w:tr w:rsidR="00D82571" w:rsidRPr="00E44DB4" w:rsidTr="00E44DB4">
        <w:trPr>
          <w:trHeight w:val="680"/>
        </w:trPr>
        <w:tc>
          <w:tcPr>
            <w:tcW w:w="1418" w:type="dxa"/>
            <w:vMerge/>
          </w:tcPr>
          <w:p w:rsidR="00D82571" w:rsidRPr="00E44DB4" w:rsidRDefault="00D82571">
            <w:pPr>
              <w:pStyle w:val="normal0"/>
              <w:widowControl w:val="0"/>
              <w:pBdr>
                <w:top w:val="nil"/>
                <w:left w:val="nil"/>
                <w:bottom w:val="nil"/>
                <w:right w:val="nil"/>
                <w:between w:val="nil"/>
              </w:pBdr>
              <w:spacing w:line="276" w:lineRule="auto"/>
              <w:rPr>
                <w:rFonts w:ascii="Arial" w:eastAsia="Arial" w:hAnsi="Arial" w:cs="Arial"/>
                <w:color w:val="000000"/>
                <w:sz w:val="18"/>
                <w:szCs w:val="18"/>
              </w:rPr>
            </w:pPr>
          </w:p>
        </w:tc>
        <w:tc>
          <w:tcPr>
            <w:tcW w:w="1439"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Livelihoods</w:t>
            </w:r>
          </w:p>
        </w:tc>
        <w:tc>
          <w:tcPr>
            <w:tcW w:w="1843" w:type="dxa"/>
          </w:tcPr>
          <w:p w:rsidR="00D82571" w:rsidRPr="00E44DB4" w:rsidRDefault="000F7C79">
            <w:pPr>
              <w:pStyle w:val="normal0"/>
              <w:pBdr>
                <w:top w:val="nil"/>
                <w:left w:val="nil"/>
                <w:bottom w:val="nil"/>
                <w:right w:val="nil"/>
                <w:between w:val="nil"/>
              </w:pBdr>
              <w:spacing w:after="160" w:line="256" w:lineRule="auto"/>
              <w:rPr>
                <w:rFonts w:ascii="Arial" w:eastAsia="Arial" w:hAnsi="Arial" w:cs="Arial"/>
                <w:color w:val="000000"/>
                <w:sz w:val="18"/>
                <w:szCs w:val="18"/>
              </w:rPr>
            </w:pPr>
            <w:r w:rsidRPr="00E44DB4">
              <w:rPr>
                <w:rFonts w:ascii="Arial" w:eastAsia="Arial" w:hAnsi="Arial" w:cs="Arial"/>
                <w:color w:val="000000"/>
                <w:sz w:val="18"/>
                <w:szCs w:val="18"/>
              </w:rPr>
              <w:t>Agriculture, forestry and fishery workers (41.2%)</w:t>
            </w:r>
          </w:p>
          <w:p w:rsidR="00D82571" w:rsidRPr="00E44DB4" w:rsidRDefault="000F7C79">
            <w:pPr>
              <w:pStyle w:val="normal0"/>
              <w:pBdr>
                <w:top w:val="nil"/>
                <w:left w:val="nil"/>
                <w:bottom w:val="nil"/>
                <w:right w:val="nil"/>
                <w:between w:val="nil"/>
              </w:pBdr>
              <w:spacing w:after="160" w:line="256" w:lineRule="auto"/>
              <w:rPr>
                <w:rFonts w:ascii="Arial" w:eastAsia="Arial" w:hAnsi="Arial" w:cs="Arial"/>
                <w:color w:val="000000"/>
                <w:sz w:val="18"/>
                <w:szCs w:val="18"/>
              </w:rPr>
            </w:pPr>
            <w:r w:rsidRPr="00E44DB4">
              <w:rPr>
                <w:rFonts w:ascii="Arial" w:eastAsia="Arial" w:hAnsi="Arial" w:cs="Arial"/>
                <w:color w:val="000000"/>
                <w:sz w:val="18"/>
                <w:szCs w:val="18"/>
              </w:rPr>
              <w:t>Service and sales workers</w:t>
            </w:r>
          </w:p>
          <w:p w:rsidR="00D82571" w:rsidRPr="00E44DB4" w:rsidRDefault="000F7C79">
            <w:pPr>
              <w:pStyle w:val="normal0"/>
              <w:pBdr>
                <w:top w:val="nil"/>
                <w:left w:val="nil"/>
                <w:bottom w:val="nil"/>
                <w:right w:val="nil"/>
                <w:between w:val="nil"/>
              </w:pBdr>
              <w:spacing w:after="160" w:line="256" w:lineRule="auto"/>
              <w:rPr>
                <w:rFonts w:ascii="Arial" w:eastAsia="Arial" w:hAnsi="Arial" w:cs="Arial"/>
                <w:color w:val="000000"/>
                <w:sz w:val="18"/>
                <w:szCs w:val="18"/>
              </w:rPr>
            </w:pPr>
            <w:r w:rsidRPr="00E44DB4">
              <w:rPr>
                <w:rFonts w:ascii="Arial" w:eastAsia="Arial" w:hAnsi="Arial" w:cs="Arial"/>
                <w:color w:val="000000"/>
                <w:sz w:val="18"/>
                <w:szCs w:val="18"/>
              </w:rPr>
              <w:t>Craft and related trade</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Agriculture, tourism, pastoralism</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84% of land is arid and semi-arid</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Rural based – more than 57% in 2011</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70% of population depend on natural resources for a living (NDP 5)</w:t>
            </w:r>
          </w:p>
        </w:tc>
        <w:tc>
          <w:tcPr>
            <w:tcW w:w="1665"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Nearly 60 % population is primarily agrarian (NSSO, 2014)</w:t>
            </w:r>
          </w:p>
        </w:tc>
      </w:tr>
      <w:tr w:rsidR="00D82571" w:rsidRPr="00E44DB4" w:rsidTr="00E44DB4">
        <w:trPr>
          <w:trHeight w:val="680"/>
        </w:trPr>
        <w:tc>
          <w:tcPr>
            <w:tcW w:w="1418" w:type="dxa"/>
            <w:vMerge w:val="restart"/>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 xml:space="preserve">Water Management institutions </w:t>
            </w:r>
          </w:p>
        </w:tc>
        <w:tc>
          <w:tcPr>
            <w:tcW w:w="1439"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 xml:space="preserve">National </w:t>
            </w:r>
          </w:p>
        </w:tc>
        <w:tc>
          <w:tcPr>
            <w:tcW w:w="1843"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Directorate within the Ministry of Sanitation and Water Resources</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Resources Management Authority; National Irrigation Board (under Ministry of Water and Irrigation)</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National Drought Management Authority (under Ministry of Devolution and Planning)</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Ministry of Agriculture, Water and Forestry (MAWF)</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proofErr w:type="spellStart"/>
            <w:r w:rsidRPr="00E44DB4">
              <w:rPr>
                <w:rFonts w:ascii="Arial" w:eastAsia="Arial" w:hAnsi="Arial" w:cs="Arial"/>
                <w:color w:val="000000"/>
                <w:sz w:val="18"/>
                <w:szCs w:val="18"/>
              </w:rPr>
              <w:t>NamWater</w:t>
            </w:r>
            <w:proofErr w:type="spellEnd"/>
            <w:r w:rsidRPr="00E44DB4">
              <w:rPr>
                <w:rFonts w:ascii="Arial" w:eastAsia="Arial" w:hAnsi="Arial" w:cs="Arial"/>
                <w:color w:val="000000"/>
                <w:sz w:val="18"/>
                <w:szCs w:val="18"/>
              </w:rPr>
              <w:t xml:space="preserve"> (</w:t>
            </w:r>
            <w:proofErr w:type="spellStart"/>
            <w:r w:rsidRPr="00E44DB4">
              <w:rPr>
                <w:rFonts w:ascii="Arial" w:eastAsia="Arial" w:hAnsi="Arial" w:cs="Arial"/>
                <w:color w:val="000000"/>
                <w:sz w:val="18"/>
                <w:szCs w:val="18"/>
              </w:rPr>
              <w:t>parastatal</w:t>
            </w:r>
            <w:proofErr w:type="spellEnd"/>
            <w:r w:rsidRPr="00E44DB4">
              <w:rPr>
                <w:rFonts w:ascii="Arial" w:eastAsia="Arial" w:hAnsi="Arial" w:cs="Arial"/>
                <w:color w:val="000000"/>
                <w:sz w:val="18"/>
                <w:szCs w:val="18"/>
              </w:rPr>
              <w:t>)</w:t>
            </w:r>
          </w:p>
        </w:tc>
        <w:tc>
          <w:tcPr>
            <w:tcW w:w="1665"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Ministry of Water Resources, River Development and Ganga Rejuvenation (</w:t>
            </w:r>
            <w:proofErr w:type="spellStart"/>
            <w:r w:rsidRPr="00E44DB4">
              <w:rPr>
                <w:rFonts w:ascii="Arial" w:eastAsia="Arial" w:hAnsi="Arial" w:cs="Arial"/>
                <w:color w:val="000000"/>
                <w:sz w:val="18"/>
                <w:szCs w:val="18"/>
              </w:rPr>
              <w:t>MoWR</w:t>
            </w:r>
            <w:proofErr w:type="spellEnd"/>
            <w:r w:rsidRPr="00E44DB4">
              <w:rPr>
                <w:rFonts w:ascii="Arial" w:eastAsia="Arial" w:hAnsi="Arial" w:cs="Arial"/>
                <w:color w:val="000000"/>
                <w:sz w:val="18"/>
                <w:szCs w:val="18"/>
              </w:rPr>
              <w:t>) including Central Ground Water Board (CGWB); Ministry of Drinking Water and Sanitation (MDWS); Central Water Commission (CWC)</w:t>
            </w:r>
          </w:p>
        </w:tc>
      </w:tr>
      <w:tr w:rsidR="00D82571" w:rsidRPr="00E44DB4" w:rsidTr="00E44DB4">
        <w:trPr>
          <w:trHeight w:val="700"/>
        </w:trPr>
        <w:tc>
          <w:tcPr>
            <w:tcW w:w="1418" w:type="dxa"/>
            <w:vMerge/>
          </w:tcPr>
          <w:p w:rsidR="00D82571" w:rsidRPr="00E44DB4" w:rsidRDefault="00D82571">
            <w:pPr>
              <w:pStyle w:val="normal0"/>
              <w:widowControl w:val="0"/>
              <w:pBdr>
                <w:top w:val="nil"/>
                <w:left w:val="nil"/>
                <w:bottom w:val="nil"/>
                <w:right w:val="nil"/>
                <w:between w:val="nil"/>
              </w:pBdr>
              <w:spacing w:line="276" w:lineRule="auto"/>
              <w:rPr>
                <w:rFonts w:ascii="Arial" w:eastAsia="Arial" w:hAnsi="Arial" w:cs="Arial"/>
                <w:color w:val="000000"/>
                <w:sz w:val="18"/>
                <w:szCs w:val="18"/>
              </w:rPr>
            </w:pPr>
          </w:p>
        </w:tc>
        <w:tc>
          <w:tcPr>
            <w:tcW w:w="1439"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Sub-national i.e. Regional, District, County</w:t>
            </w:r>
          </w:p>
        </w:tc>
        <w:tc>
          <w:tcPr>
            <w:tcW w:w="1843"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Ghana Water Company Limited (GWCL)</w:t>
            </w:r>
          </w:p>
          <w:p w:rsidR="00D82571" w:rsidRPr="00E44DB4" w:rsidRDefault="000F7C79">
            <w:pPr>
              <w:pStyle w:val="normal0"/>
              <w:pBdr>
                <w:top w:val="nil"/>
                <w:left w:val="nil"/>
                <w:bottom w:val="nil"/>
                <w:right w:val="nil"/>
                <w:between w:val="nil"/>
              </w:pBdr>
              <w:spacing w:after="160" w:line="256" w:lineRule="auto"/>
              <w:rPr>
                <w:rFonts w:ascii="Arial" w:eastAsia="Arial" w:hAnsi="Arial" w:cs="Arial"/>
                <w:color w:val="000000"/>
                <w:sz w:val="18"/>
                <w:szCs w:val="18"/>
              </w:rPr>
            </w:pPr>
            <w:r w:rsidRPr="00E44DB4">
              <w:rPr>
                <w:rFonts w:ascii="Arial" w:eastAsia="Arial" w:hAnsi="Arial" w:cs="Arial"/>
                <w:color w:val="000000"/>
                <w:sz w:val="18"/>
                <w:szCs w:val="18"/>
              </w:rPr>
              <w:t>District Assembly, through Community Water and Sanitation Agency (CWSA)</w:t>
            </w:r>
          </w:p>
          <w:p w:rsidR="00D82571" w:rsidRPr="00E44DB4" w:rsidRDefault="00D82571">
            <w:pPr>
              <w:pStyle w:val="normal0"/>
              <w:pBdr>
                <w:top w:val="nil"/>
                <w:left w:val="nil"/>
                <w:bottom w:val="nil"/>
                <w:right w:val="nil"/>
                <w:between w:val="nil"/>
              </w:pBdr>
              <w:spacing w:after="160" w:line="259" w:lineRule="auto"/>
              <w:rPr>
                <w:rFonts w:ascii="Arial" w:eastAsia="Arial" w:hAnsi="Arial" w:cs="Arial"/>
                <w:color w:val="000000"/>
                <w:sz w:val="18"/>
                <w:szCs w:val="18"/>
              </w:rPr>
            </w:pP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County Department for Water</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Water Services Board (e.g. Northern Water Services Board - covering </w:t>
            </w:r>
            <w:proofErr w:type="spellStart"/>
            <w:r w:rsidRPr="00E44DB4">
              <w:rPr>
                <w:rFonts w:ascii="Arial" w:eastAsia="Arial" w:hAnsi="Arial" w:cs="Arial"/>
                <w:color w:val="000000"/>
                <w:sz w:val="18"/>
                <w:szCs w:val="18"/>
              </w:rPr>
              <w:t>Isiolo</w:t>
            </w:r>
            <w:proofErr w:type="spellEnd"/>
            <w:r w:rsidRPr="00E44DB4">
              <w:rPr>
                <w:rFonts w:ascii="Arial" w:eastAsia="Arial" w:hAnsi="Arial" w:cs="Arial"/>
                <w:color w:val="000000"/>
                <w:sz w:val="18"/>
                <w:szCs w:val="18"/>
              </w:rPr>
              <w:t>)</w:t>
            </w:r>
          </w:p>
          <w:p w:rsidR="00D82571" w:rsidRPr="00E44DB4" w:rsidRDefault="000F7C79" w:rsidP="00172B42">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Resources Management Authority offices at</w:t>
            </w:r>
            <w:r w:rsidR="00172B42">
              <w:rPr>
                <w:rFonts w:ascii="Arial" w:eastAsia="Arial" w:hAnsi="Arial" w:cs="Arial"/>
                <w:color w:val="000000"/>
                <w:sz w:val="18"/>
                <w:szCs w:val="18"/>
              </w:rPr>
              <w:t xml:space="preserve"> the regional/ catchment level</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Directorate of Water Supply and Sanitation Coordination (DWSSC)</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Directorate of Water Resources Management (DWRM) </w:t>
            </w:r>
          </w:p>
        </w:tc>
        <w:tc>
          <w:tcPr>
            <w:tcW w:w="1665"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State Water Departments and State Groundwater Boards </w:t>
            </w:r>
          </w:p>
        </w:tc>
      </w:tr>
      <w:tr w:rsidR="00D82571" w:rsidRPr="00E44DB4" w:rsidTr="00E44DB4">
        <w:trPr>
          <w:trHeight w:val="320"/>
        </w:trPr>
        <w:tc>
          <w:tcPr>
            <w:tcW w:w="1418" w:type="dxa"/>
            <w:vMerge/>
          </w:tcPr>
          <w:p w:rsidR="00D82571" w:rsidRPr="00E44DB4" w:rsidRDefault="00D82571">
            <w:pPr>
              <w:pStyle w:val="normal0"/>
              <w:widowControl w:val="0"/>
              <w:pBdr>
                <w:top w:val="nil"/>
                <w:left w:val="nil"/>
                <w:bottom w:val="nil"/>
                <w:right w:val="nil"/>
                <w:between w:val="nil"/>
              </w:pBdr>
              <w:spacing w:line="276" w:lineRule="auto"/>
              <w:rPr>
                <w:rFonts w:ascii="Arial" w:eastAsia="Arial" w:hAnsi="Arial" w:cs="Arial"/>
                <w:color w:val="000000"/>
                <w:sz w:val="18"/>
                <w:szCs w:val="18"/>
              </w:rPr>
            </w:pPr>
          </w:p>
        </w:tc>
        <w:tc>
          <w:tcPr>
            <w:tcW w:w="1439"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 xml:space="preserve">Basin </w:t>
            </w:r>
          </w:p>
        </w:tc>
        <w:tc>
          <w:tcPr>
            <w:tcW w:w="1843"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Resources Commission (IWRM)</w:t>
            </w:r>
          </w:p>
        </w:tc>
        <w:tc>
          <w:tcPr>
            <w:tcW w:w="1740" w:type="dxa"/>
          </w:tcPr>
          <w:p w:rsidR="00D82571" w:rsidRPr="00E44DB4" w:rsidRDefault="000F7C79" w:rsidP="00172B42">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Catchment Area Advisory Committee at the catchment/regional levels</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Basin Management Committees (BMCs)</w:t>
            </w:r>
          </w:p>
        </w:tc>
        <w:tc>
          <w:tcPr>
            <w:tcW w:w="1665" w:type="dxa"/>
          </w:tcPr>
          <w:p w:rsidR="00D82571" w:rsidRPr="00E44DB4" w:rsidRDefault="00172B42">
            <w:pPr>
              <w:pStyle w:val="normal0"/>
              <w:pBdr>
                <w:top w:val="nil"/>
                <w:left w:val="nil"/>
                <w:bottom w:val="nil"/>
                <w:right w:val="nil"/>
                <w:between w:val="nil"/>
              </w:pBdr>
              <w:spacing w:after="160" w:line="259" w:lineRule="auto"/>
              <w:rPr>
                <w:rFonts w:ascii="Arial" w:eastAsia="Arial" w:hAnsi="Arial" w:cs="Arial"/>
                <w:color w:val="000000"/>
                <w:sz w:val="18"/>
                <w:szCs w:val="18"/>
              </w:rPr>
            </w:pPr>
            <w:r>
              <w:rPr>
                <w:rFonts w:ascii="Arial" w:eastAsia="Arial" w:hAnsi="Arial" w:cs="Arial"/>
                <w:color w:val="000000"/>
                <w:sz w:val="18"/>
                <w:szCs w:val="18"/>
              </w:rPr>
              <w:t>Not applicable</w:t>
            </w:r>
          </w:p>
        </w:tc>
      </w:tr>
      <w:tr w:rsidR="00D82571" w:rsidRPr="00E44DB4" w:rsidTr="00E44DB4">
        <w:trPr>
          <w:trHeight w:val="340"/>
        </w:trPr>
        <w:tc>
          <w:tcPr>
            <w:tcW w:w="1418" w:type="dxa"/>
            <w:vMerge/>
          </w:tcPr>
          <w:p w:rsidR="00D82571" w:rsidRPr="00E44DB4" w:rsidRDefault="00D82571">
            <w:pPr>
              <w:pStyle w:val="normal0"/>
              <w:widowControl w:val="0"/>
              <w:pBdr>
                <w:top w:val="nil"/>
                <w:left w:val="nil"/>
                <w:bottom w:val="nil"/>
                <w:right w:val="nil"/>
                <w:between w:val="nil"/>
              </w:pBdr>
              <w:spacing w:line="276" w:lineRule="auto"/>
              <w:rPr>
                <w:rFonts w:ascii="Arial" w:eastAsia="Arial" w:hAnsi="Arial" w:cs="Arial"/>
                <w:color w:val="000000"/>
                <w:sz w:val="18"/>
                <w:szCs w:val="18"/>
              </w:rPr>
            </w:pPr>
          </w:p>
        </w:tc>
        <w:tc>
          <w:tcPr>
            <w:tcW w:w="1439"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 xml:space="preserve">Local i.e. Constituency, Community, </w:t>
            </w:r>
            <w:r w:rsidRPr="00E44DB4">
              <w:rPr>
                <w:rFonts w:ascii="Arial" w:eastAsia="Arial" w:hAnsi="Arial" w:cs="Arial"/>
                <w:b/>
                <w:color w:val="000000"/>
                <w:sz w:val="18"/>
                <w:szCs w:val="18"/>
              </w:rPr>
              <w:lastRenderedPageBreak/>
              <w:t>Village</w:t>
            </w:r>
          </w:p>
        </w:tc>
        <w:tc>
          <w:tcPr>
            <w:tcW w:w="1843" w:type="dxa"/>
          </w:tcPr>
          <w:p w:rsidR="00D82571" w:rsidRPr="00E44DB4" w:rsidRDefault="000F7C79">
            <w:pPr>
              <w:pStyle w:val="normal0"/>
              <w:pBdr>
                <w:top w:val="nil"/>
                <w:left w:val="nil"/>
                <w:bottom w:val="nil"/>
                <w:right w:val="nil"/>
                <w:between w:val="nil"/>
              </w:pBdr>
              <w:spacing w:after="160" w:line="256" w:lineRule="auto"/>
              <w:rPr>
                <w:rFonts w:ascii="Arial" w:eastAsia="Arial" w:hAnsi="Arial" w:cs="Arial"/>
                <w:color w:val="000000"/>
                <w:sz w:val="18"/>
                <w:szCs w:val="18"/>
              </w:rPr>
            </w:pPr>
            <w:r w:rsidRPr="00E44DB4">
              <w:rPr>
                <w:rFonts w:ascii="Arial" w:eastAsia="Arial" w:hAnsi="Arial" w:cs="Arial"/>
                <w:color w:val="000000"/>
                <w:sz w:val="18"/>
                <w:szCs w:val="18"/>
              </w:rPr>
              <w:lastRenderedPageBreak/>
              <w:t xml:space="preserve">Water and Sanitation Development </w:t>
            </w:r>
            <w:r w:rsidRPr="00E44DB4">
              <w:rPr>
                <w:rFonts w:ascii="Arial" w:eastAsia="Arial" w:hAnsi="Arial" w:cs="Arial"/>
                <w:color w:val="000000"/>
                <w:sz w:val="18"/>
                <w:szCs w:val="18"/>
              </w:rPr>
              <w:lastRenderedPageBreak/>
              <w:t>Boards (WSDBs) in small towns</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and   Sanitation (WATSAN) Committees in each community</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lastRenderedPageBreak/>
              <w:t xml:space="preserve">Water Resource Users Associations at the </w:t>
            </w:r>
            <w:r w:rsidRPr="00E44DB4">
              <w:rPr>
                <w:rFonts w:ascii="Arial" w:eastAsia="Arial" w:hAnsi="Arial" w:cs="Arial"/>
                <w:color w:val="000000"/>
                <w:sz w:val="18"/>
                <w:szCs w:val="18"/>
              </w:rPr>
              <w:lastRenderedPageBreak/>
              <w:t>sub-catchment level - &gt;900 across Kenya</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projects and water committees</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Customary institutions</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lastRenderedPageBreak/>
              <w:t xml:space="preserve">Water Users Associations </w:t>
            </w:r>
            <w:r w:rsidRPr="00E44DB4">
              <w:rPr>
                <w:rFonts w:ascii="Arial" w:eastAsia="Arial" w:hAnsi="Arial" w:cs="Arial"/>
                <w:color w:val="000000"/>
                <w:sz w:val="18"/>
                <w:szCs w:val="18"/>
              </w:rPr>
              <w:lastRenderedPageBreak/>
              <w:t>(WUAs)</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Point Committees (WPCs)</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Local Water Associations (LWAs)</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Local Water Committees (LWCs)</w:t>
            </w:r>
          </w:p>
        </w:tc>
        <w:tc>
          <w:tcPr>
            <w:tcW w:w="1665"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lastRenderedPageBreak/>
              <w:t xml:space="preserve">Water Users Associations </w:t>
            </w:r>
            <w:r w:rsidRPr="00E44DB4">
              <w:rPr>
                <w:rFonts w:ascii="Arial" w:eastAsia="Arial" w:hAnsi="Arial" w:cs="Arial"/>
                <w:color w:val="000000"/>
                <w:sz w:val="18"/>
                <w:szCs w:val="18"/>
              </w:rPr>
              <w:lastRenderedPageBreak/>
              <w:t>(WUAs)</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Committees</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Watershed Development Committees (WDCs)</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 </w:t>
            </w:r>
          </w:p>
        </w:tc>
      </w:tr>
      <w:tr w:rsidR="00D82571" w:rsidRPr="00E44DB4" w:rsidTr="00E44DB4">
        <w:trPr>
          <w:trHeight w:val="320"/>
        </w:trPr>
        <w:tc>
          <w:tcPr>
            <w:tcW w:w="2857" w:type="dxa"/>
            <w:gridSpan w:val="2"/>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lastRenderedPageBreak/>
              <w:t xml:space="preserve">Independence </w:t>
            </w:r>
          </w:p>
        </w:tc>
        <w:tc>
          <w:tcPr>
            <w:tcW w:w="1843"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1957</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1963</w:t>
            </w:r>
          </w:p>
        </w:tc>
        <w:tc>
          <w:tcPr>
            <w:tcW w:w="1740" w:type="dxa"/>
          </w:tcPr>
          <w:p w:rsidR="00D82571" w:rsidRPr="00E44DB4" w:rsidRDefault="00E44DB4">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1990</w:t>
            </w:r>
          </w:p>
        </w:tc>
        <w:tc>
          <w:tcPr>
            <w:tcW w:w="1665"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1947</w:t>
            </w:r>
          </w:p>
        </w:tc>
      </w:tr>
      <w:tr w:rsidR="00D82571" w:rsidRPr="00E44DB4" w:rsidTr="00E44DB4">
        <w:trPr>
          <w:trHeight w:val="640"/>
        </w:trPr>
        <w:tc>
          <w:tcPr>
            <w:tcW w:w="2857" w:type="dxa"/>
            <w:gridSpan w:val="2"/>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 xml:space="preserve">Decentralisation - history </w:t>
            </w:r>
          </w:p>
        </w:tc>
        <w:tc>
          <w:tcPr>
            <w:tcW w:w="1843"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Since the 1990s</w:t>
            </w:r>
          </w:p>
        </w:tc>
        <w:tc>
          <w:tcPr>
            <w:tcW w:w="1740" w:type="dxa"/>
          </w:tcPr>
          <w:p w:rsidR="00D82571" w:rsidRPr="00E44DB4" w:rsidRDefault="000F7C79">
            <w:pPr>
              <w:pStyle w:val="normal0"/>
              <w:spacing w:after="160" w:line="259" w:lineRule="auto"/>
              <w:rPr>
                <w:rFonts w:ascii="Arial" w:eastAsia="Arial" w:hAnsi="Arial" w:cs="Arial"/>
                <w:color w:val="000000"/>
                <w:sz w:val="18"/>
                <w:szCs w:val="18"/>
              </w:rPr>
            </w:pPr>
            <w:proofErr w:type="gramStart"/>
            <w:r w:rsidRPr="00E44DB4">
              <w:rPr>
                <w:rFonts w:ascii="Arial" w:eastAsia="Arial" w:hAnsi="Arial" w:cs="Arial"/>
                <w:color w:val="000000"/>
                <w:sz w:val="18"/>
                <w:szCs w:val="18"/>
              </w:rPr>
              <w:t>since</w:t>
            </w:r>
            <w:proofErr w:type="gramEnd"/>
            <w:r w:rsidRPr="00E44DB4">
              <w:rPr>
                <w:rFonts w:ascii="Arial" w:eastAsia="Arial" w:hAnsi="Arial" w:cs="Arial"/>
                <w:color w:val="000000"/>
                <w:sz w:val="18"/>
                <w:szCs w:val="18"/>
              </w:rPr>
              <w:t xml:space="preserve"> 2010; decentralisation process is slow and incomplete (some sectors more devolved than others)</w:t>
            </w:r>
          </w:p>
        </w:tc>
        <w:tc>
          <w:tcPr>
            <w:tcW w:w="1740" w:type="dxa"/>
          </w:tcPr>
          <w:p w:rsidR="00E44DB4" w:rsidRPr="00E44DB4" w:rsidRDefault="00E44DB4" w:rsidP="00E44DB4">
            <w:pPr>
              <w:spacing w:after="160"/>
              <w:rPr>
                <w:rFonts w:ascii="Arial" w:hAnsi="Arial" w:cs="Arial"/>
                <w:sz w:val="18"/>
                <w:szCs w:val="18"/>
                <w:lang w:val="en-ZA"/>
              </w:rPr>
            </w:pPr>
            <w:r w:rsidRPr="00E44DB4">
              <w:rPr>
                <w:rFonts w:ascii="Arial" w:hAnsi="Arial" w:cs="Arial"/>
                <w:color w:val="000000"/>
                <w:sz w:val="18"/>
                <w:szCs w:val="18"/>
                <w:lang w:val="en-ZA"/>
              </w:rPr>
              <w:t>Since the 1990s</w:t>
            </w:r>
          </w:p>
          <w:p w:rsidR="00E44DB4" w:rsidRPr="00E44DB4" w:rsidRDefault="00E44DB4" w:rsidP="00E44DB4">
            <w:pPr>
              <w:rPr>
                <w:rFonts w:ascii="Arial" w:eastAsia="Times New Roman" w:hAnsi="Arial" w:cs="Arial"/>
                <w:sz w:val="18"/>
                <w:szCs w:val="18"/>
                <w:lang w:val="en-ZA"/>
              </w:rPr>
            </w:pPr>
          </w:p>
          <w:p w:rsidR="00D82571" w:rsidRPr="00E44DB4" w:rsidRDefault="00D82571">
            <w:pPr>
              <w:pStyle w:val="normal0"/>
              <w:pBdr>
                <w:top w:val="nil"/>
                <w:left w:val="nil"/>
                <w:bottom w:val="nil"/>
                <w:right w:val="nil"/>
                <w:between w:val="nil"/>
              </w:pBdr>
              <w:spacing w:after="160" w:line="259" w:lineRule="auto"/>
              <w:rPr>
                <w:rFonts w:ascii="Arial" w:eastAsia="Arial" w:hAnsi="Arial" w:cs="Arial"/>
                <w:color w:val="000000"/>
                <w:sz w:val="18"/>
                <w:szCs w:val="18"/>
              </w:rPr>
            </w:pPr>
          </w:p>
        </w:tc>
        <w:tc>
          <w:tcPr>
            <w:tcW w:w="1665"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Since the 1990s </w:t>
            </w:r>
          </w:p>
        </w:tc>
      </w:tr>
      <w:tr w:rsidR="00D82571" w:rsidRPr="00E44DB4" w:rsidTr="00E44DB4">
        <w:trPr>
          <w:trHeight w:val="5800"/>
        </w:trPr>
        <w:tc>
          <w:tcPr>
            <w:tcW w:w="2857" w:type="dxa"/>
            <w:gridSpan w:val="2"/>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Decentralisation - nature</w:t>
            </w:r>
          </w:p>
        </w:tc>
        <w:tc>
          <w:tcPr>
            <w:tcW w:w="1843"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Since 1994, the government of Ghana restructured the water and sanitation sector, separating urban from rural water provision. In rural areas, the Community Water and Sanitation Agency (CWSA) coordinates activities of various actors and facilitates implementation of programmes, through the District Assemblies.  </w:t>
            </w:r>
          </w:p>
        </w:tc>
        <w:tc>
          <w:tcPr>
            <w:tcW w:w="1740" w:type="dxa"/>
          </w:tcPr>
          <w:p w:rsidR="00D82571" w:rsidRPr="00E44DB4" w:rsidRDefault="000F7C79" w:rsidP="000F7C79">
            <w:pPr>
              <w:pStyle w:val="normal0"/>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The concept of Water Resource Users Association started in Kenya in the late 1990s; Water Act (2002) provided decentralised power to the local communities; further decentralised reforms in the water sector continued after the 2010’s new constitution</w:t>
            </w:r>
          </w:p>
        </w:tc>
        <w:tc>
          <w:tcPr>
            <w:tcW w:w="1740" w:type="dxa"/>
          </w:tcPr>
          <w:p w:rsidR="00E44DB4" w:rsidRPr="00E44DB4" w:rsidRDefault="00E44DB4" w:rsidP="00E44DB4">
            <w:pPr>
              <w:rPr>
                <w:rFonts w:ascii="Arial" w:eastAsia="Times New Roman" w:hAnsi="Arial" w:cs="Arial"/>
                <w:sz w:val="18"/>
                <w:szCs w:val="18"/>
                <w:lang w:val="en-ZA"/>
              </w:rPr>
            </w:pPr>
            <w:r w:rsidRPr="00E44DB4">
              <w:rPr>
                <w:rFonts w:ascii="Arial" w:eastAsia="Times New Roman" w:hAnsi="Arial" w:cs="Arial"/>
                <w:color w:val="000000"/>
                <w:sz w:val="18"/>
                <w:szCs w:val="18"/>
                <w:lang w:val="en-ZA"/>
              </w:rPr>
              <w:t>In 1997 the government decided that within 10 years (1997 - 2007) the responsibility for managing and paying for water services should be progressively devolved to communities; this process was inspired by the Community Based Management (CBM) guidelines.</w:t>
            </w:r>
          </w:p>
          <w:p w:rsidR="00D82571" w:rsidRPr="00E44DB4" w:rsidRDefault="00D82571">
            <w:pPr>
              <w:pStyle w:val="normal0"/>
              <w:pBdr>
                <w:top w:val="nil"/>
                <w:left w:val="nil"/>
                <w:bottom w:val="nil"/>
                <w:right w:val="nil"/>
                <w:between w:val="nil"/>
              </w:pBdr>
              <w:spacing w:after="160" w:line="259" w:lineRule="auto"/>
              <w:rPr>
                <w:rFonts w:ascii="Arial" w:eastAsia="Arial" w:hAnsi="Arial" w:cs="Arial"/>
                <w:color w:val="000000"/>
                <w:sz w:val="18"/>
                <w:szCs w:val="18"/>
              </w:rPr>
            </w:pPr>
          </w:p>
        </w:tc>
        <w:tc>
          <w:tcPr>
            <w:tcW w:w="1665"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Decentralisation became a key tenet from 2001 when guidelines to manage watersheds included participation. In 2003 the </w:t>
            </w:r>
            <w:proofErr w:type="spellStart"/>
            <w:r w:rsidRPr="00E44DB4">
              <w:rPr>
                <w:rFonts w:ascii="Arial" w:eastAsia="Arial" w:hAnsi="Arial" w:cs="Arial"/>
                <w:i/>
                <w:color w:val="000000"/>
                <w:sz w:val="18"/>
                <w:szCs w:val="18"/>
              </w:rPr>
              <w:t>Haryali</w:t>
            </w:r>
            <w:proofErr w:type="spellEnd"/>
            <w:r w:rsidRPr="00E44DB4">
              <w:rPr>
                <w:rFonts w:ascii="Arial" w:eastAsia="Arial" w:hAnsi="Arial" w:cs="Arial"/>
                <w:i/>
                <w:color w:val="000000"/>
                <w:sz w:val="18"/>
                <w:szCs w:val="18"/>
              </w:rPr>
              <w:t xml:space="preserve"> Guidelines </w:t>
            </w:r>
            <w:r w:rsidRPr="00E44DB4">
              <w:rPr>
                <w:rFonts w:ascii="Arial" w:eastAsia="Arial" w:hAnsi="Arial" w:cs="Arial"/>
                <w:color w:val="000000"/>
                <w:sz w:val="18"/>
                <w:szCs w:val="18"/>
              </w:rPr>
              <w:t xml:space="preserve">were adopted which institutionalised engagement of </w:t>
            </w:r>
            <w:proofErr w:type="spellStart"/>
            <w:r w:rsidRPr="00E44DB4">
              <w:rPr>
                <w:rFonts w:ascii="Arial" w:eastAsia="Arial" w:hAnsi="Arial" w:cs="Arial"/>
                <w:color w:val="000000"/>
                <w:sz w:val="18"/>
                <w:szCs w:val="18"/>
              </w:rPr>
              <w:t>Panchayat</w:t>
            </w:r>
            <w:proofErr w:type="spellEnd"/>
            <w:r w:rsidRPr="00E44DB4">
              <w:rPr>
                <w:rFonts w:ascii="Arial" w:eastAsia="Arial" w:hAnsi="Arial" w:cs="Arial"/>
                <w:color w:val="000000"/>
                <w:sz w:val="18"/>
                <w:szCs w:val="18"/>
              </w:rPr>
              <w:t xml:space="preserve"> Raj Institutions (PRIs) in planning, implementation, and management of rural development projects.</w:t>
            </w:r>
          </w:p>
        </w:tc>
      </w:tr>
      <w:tr w:rsidR="00D82571" w:rsidRPr="00E44DB4" w:rsidTr="00E44DB4">
        <w:trPr>
          <w:trHeight w:val="320"/>
        </w:trPr>
        <w:tc>
          <w:tcPr>
            <w:tcW w:w="2857" w:type="dxa"/>
            <w:gridSpan w:val="2"/>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 xml:space="preserve">Adaptation Policy and Plans </w:t>
            </w:r>
          </w:p>
        </w:tc>
        <w:tc>
          <w:tcPr>
            <w:tcW w:w="1843" w:type="dxa"/>
          </w:tcPr>
          <w:p w:rsidR="00D82571" w:rsidRPr="00E44DB4" w:rsidRDefault="000F7C79">
            <w:pPr>
              <w:pStyle w:val="normal0"/>
              <w:pBdr>
                <w:top w:val="nil"/>
                <w:left w:val="nil"/>
                <w:bottom w:val="nil"/>
                <w:right w:val="nil"/>
                <w:between w:val="nil"/>
              </w:pBdr>
              <w:spacing w:after="160" w:line="256" w:lineRule="auto"/>
              <w:rPr>
                <w:rFonts w:ascii="Arial" w:eastAsia="Arial" w:hAnsi="Arial" w:cs="Arial"/>
                <w:color w:val="000000"/>
                <w:sz w:val="18"/>
                <w:szCs w:val="18"/>
              </w:rPr>
            </w:pPr>
            <w:r w:rsidRPr="00E44DB4">
              <w:rPr>
                <w:rFonts w:ascii="Arial" w:eastAsia="Arial" w:hAnsi="Arial" w:cs="Arial"/>
                <w:color w:val="000000"/>
                <w:sz w:val="18"/>
                <w:szCs w:val="18"/>
              </w:rPr>
              <w:t>Local governance Act, 2016 (ACT 936), which effects decentralization of institutions for better governance, led to the division of organizations into national, regional and local levels.</w:t>
            </w:r>
          </w:p>
          <w:p w:rsidR="00D82571" w:rsidRPr="00E44DB4" w:rsidRDefault="000F7C79">
            <w:pPr>
              <w:pStyle w:val="normal0"/>
              <w:pBdr>
                <w:top w:val="nil"/>
                <w:left w:val="nil"/>
                <w:bottom w:val="nil"/>
                <w:right w:val="nil"/>
                <w:between w:val="nil"/>
              </w:pBdr>
              <w:spacing w:after="160" w:line="256" w:lineRule="auto"/>
              <w:rPr>
                <w:rFonts w:ascii="Arial" w:eastAsia="Arial" w:hAnsi="Arial" w:cs="Arial"/>
                <w:color w:val="000000"/>
                <w:sz w:val="18"/>
                <w:szCs w:val="18"/>
              </w:rPr>
            </w:pPr>
            <w:r w:rsidRPr="00E44DB4">
              <w:rPr>
                <w:rFonts w:ascii="Arial" w:eastAsia="Arial" w:hAnsi="Arial" w:cs="Arial"/>
                <w:color w:val="000000"/>
                <w:sz w:val="18"/>
                <w:szCs w:val="18"/>
              </w:rPr>
              <w:t>Ghana National Climate Change Policy, 2013</w:t>
            </w:r>
          </w:p>
          <w:p w:rsidR="00D82571" w:rsidRPr="00E44DB4" w:rsidRDefault="000F7C79">
            <w:pPr>
              <w:pStyle w:val="normal0"/>
              <w:pBdr>
                <w:top w:val="nil"/>
                <w:left w:val="nil"/>
                <w:bottom w:val="nil"/>
                <w:right w:val="nil"/>
                <w:between w:val="nil"/>
              </w:pBdr>
              <w:spacing w:after="160" w:line="256" w:lineRule="auto"/>
              <w:rPr>
                <w:rFonts w:ascii="Arial" w:eastAsia="Arial" w:hAnsi="Arial" w:cs="Arial"/>
                <w:color w:val="000000"/>
                <w:sz w:val="18"/>
                <w:szCs w:val="18"/>
              </w:rPr>
            </w:pPr>
            <w:r w:rsidRPr="00E44DB4">
              <w:rPr>
                <w:rFonts w:ascii="Arial" w:eastAsia="Arial" w:hAnsi="Arial" w:cs="Arial"/>
                <w:color w:val="000000"/>
                <w:sz w:val="18"/>
                <w:szCs w:val="18"/>
              </w:rPr>
              <w:t>Ghana National Climate Change Adaptation Strategy: 2010 - 2020</w:t>
            </w:r>
          </w:p>
          <w:p w:rsidR="00D82571" w:rsidRPr="00E44DB4" w:rsidRDefault="000F7C79">
            <w:pPr>
              <w:pStyle w:val="normal0"/>
              <w:pBdr>
                <w:top w:val="nil"/>
                <w:left w:val="nil"/>
                <w:bottom w:val="nil"/>
                <w:right w:val="nil"/>
                <w:between w:val="nil"/>
              </w:pBdr>
              <w:spacing w:after="160" w:line="256" w:lineRule="auto"/>
              <w:rPr>
                <w:rFonts w:ascii="Arial" w:eastAsia="Arial" w:hAnsi="Arial" w:cs="Arial"/>
                <w:color w:val="000000"/>
                <w:sz w:val="18"/>
                <w:szCs w:val="18"/>
              </w:rPr>
            </w:pPr>
            <w:r w:rsidRPr="00E44DB4">
              <w:rPr>
                <w:rFonts w:ascii="Arial" w:eastAsia="Arial" w:hAnsi="Arial" w:cs="Arial"/>
                <w:color w:val="000000"/>
                <w:sz w:val="18"/>
                <w:szCs w:val="18"/>
              </w:rPr>
              <w:t>Ghana National Climate Change Master Plan Action Programmes for Implementation: 2015–2020</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National Adaptation Plan (2015-2030) </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Climate Change Act (2016) </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National Climate Change Action Plan (2013-2017)</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National Climate Change Response Strategy (2010)</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National Policy on Climate Change (2011)</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National Climate Change </w:t>
            </w:r>
            <w:proofErr w:type="gramStart"/>
            <w:r w:rsidRPr="00E44DB4">
              <w:rPr>
                <w:rFonts w:ascii="Arial" w:eastAsia="Arial" w:hAnsi="Arial" w:cs="Arial"/>
                <w:color w:val="000000"/>
                <w:sz w:val="18"/>
                <w:szCs w:val="18"/>
              </w:rPr>
              <w:t>Strategy  and</w:t>
            </w:r>
            <w:proofErr w:type="gramEnd"/>
            <w:r w:rsidRPr="00E44DB4">
              <w:rPr>
                <w:rFonts w:ascii="Arial" w:eastAsia="Arial" w:hAnsi="Arial" w:cs="Arial"/>
                <w:color w:val="000000"/>
                <w:sz w:val="18"/>
                <w:szCs w:val="18"/>
              </w:rPr>
              <w:t xml:space="preserve"> Action Plan (2013 - 2020)</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UNFCCC National Communication (NCs) Reports (NC1 2002, NC2 2011, NC3 2015) </w:t>
            </w:r>
          </w:p>
          <w:p w:rsidR="00D82571" w:rsidRPr="00E44DB4" w:rsidRDefault="00D82571">
            <w:pPr>
              <w:pStyle w:val="normal0"/>
              <w:pBdr>
                <w:top w:val="nil"/>
                <w:left w:val="nil"/>
                <w:bottom w:val="nil"/>
                <w:right w:val="nil"/>
                <w:between w:val="nil"/>
              </w:pBdr>
              <w:spacing w:after="160" w:line="259" w:lineRule="auto"/>
              <w:rPr>
                <w:rFonts w:ascii="Arial" w:eastAsia="Arial" w:hAnsi="Arial" w:cs="Arial"/>
                <w:color w:val="000000"/>
                <w:sz w:val="18"/>
                <w:szCs w:val="18"/>
              </w:rPr>
            </w:pPr>
          </w:p>
        </w:tc>
        <w:tc>
          <w:tcPr>
            <w:tcW w:w="1665"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National Action Plan on Climate Change (2008)</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State Action Plans on Climate Change (</w:t>
            </w:r>
            <w:proofErr w:type="spellStart"/>
            <w:r w:rsidRPr="00E44DB4">
              <w:rPr>
                <w:rFonts w:ascii="Arial" w:eastAsia="Arial" w:hAnsi="Arial" w:cs="Arial"/>
                <w:color w:val="000000"/>
                <w:sz w:val="18"/>
                <w:szCs w:val="18"/>
              </w:rPr>
              <w:t>Karntaka’s</w:t>
            </w:r>
            <w:proofErr w:type="spellEnd"/>
            <w:r w:rsidRPr="00E44DB4">
              <w:rPr>
                <w:rFonts w:ascii="Arial" w:eastAsia="Arial" w:hAnsi="Arial" w:cs="Arial"/>
                <w:color w:val="000000"/>
                <w:sz w:val="18"/>
                <w:szCs w:val="18"/>
              </w:rPr>
              <w:t xml:space="preserve"> in 2011)</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Three UNFCCC National Communication (NCs) Reports</w:t>
            </w:r>
          </w:p>
          <w:p w:rsidR="00D82571" w:rsidRPr="00E44DB4" w:rsidRDefault="00D82571">
            <w:pPr>
              <w:pStyle w:val="normal0"/>
              <w:pBdr>
                <w:top w:val="nil"/>
                <w:left w:val="nil"/>
                <w:bottom w:val="nil"/>
                <w:right w:val="nil"/>
                <w:between w:val="nil"/>
              </w:pBdr>
              <w:spacing w:after="160" w:line="259" w:lineRule="auto"/>
              <w:rPr>
                <w:rFonts w:ascii="Arial" w:eastAsia="Arial" w:hAnsi="Arial" w:cs="Arial"/>
                <w:color w:val="000000"/>
                <w:sz w:val="18"/>
                <w:szCs w:val="18"/>
              </w:rPr>
            </w:pPr>
          </w:p>
        </w:tc>
      </w:tr>
      <w:tr w:rsidR="00D82571" w:rsidRPr="00E44DB4" w:rsidTr="00E44DB4">
        <w:trPr>
          <w:trHeight w:val="340"/>
        </w:trPr>
        <w:tc>
          <w:tcPr>
            <w:tcW w:w="2857" w:type="dxa"/>
            <w:gridSpan w:val="2"/>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 xml:space="preserve">Development Plans </w:t>
            </w:r>
          </w:p>
        </w:tc>
        <w:tc>
          <w:tcPr>
            <w:tcW w:w="1843"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Ghana Vision 2020</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Ghana’s Shared Growth and Development Plan II (GSGDA II), 2014-2017</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Long Term National Development Plan (LTNDP, 2018-2057), draft </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Kenya’s Vision 2030 - the country’s ambitious plan that outlines long-term development policy from 2008 to 2030.</w:t>
            </w:r>
          </w:p>
          <w:p w:rsidR="00D82571" w:rsidRPr="00E44DB4" w:rsidRDefault="000F7C79" w:rsidP="00172B42">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Development issues in the arid and semi-arid lands lies with the Ministry of Devolution and Planning, which is overseen through Arid and Semi-Arid Lands policies. </w:t>
            </w:r>
          </w:p>
        </w:tc>
        <w:tc>
          <w:tcPr>
            <w:tcW w:w="1740" w:type="dxa"/>
          </w:tcPr>
          <w:p w:rsidR="00D82571" w:rsidRPr="00E44DB4" w:rsidRDefault="000F7C79" w:rsidP="00172B42">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Namibia’s Vision 2030 and associated National Development Plans (NDPs) </w:t>
            </w:r>
          </w:p>
        </w:tc>
        <w:tc>
          <w:tcPr>
            <w:tcW w:w="1665"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Karnataka Vision 2020</w:t>
            </w:r>
          </w:p>
        </w:tc>
      </w:tr>
      <w:tr w:rsidR="00D82571" w:rsidRPr="00E44DB4" w:rsidTr="00E44DB4">
        <w:trPr>
          <w:trHeight w:val="340"/>
        </w:trPr>
        <w:tc>
          <w:tcPr>
            <w:tcW w:w="2857" w:type="dxa"/>
            <w:gridSpan w:val="2"/>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b/>
                <w:color w:val="000000"/>
                <w:sz w:val="18"/>
                <w:szCs w:val="18"/>
              </w:rPr>
            </w:pPr>
            <w:r w:rsidRPr="00E44DB4">
              <w:rPr>
                <w:rFonts w:ascii="Arial" w:eastAsia="Arial" w:hAnsi="Arial" w:cs="Arial"/>
                <w:b/>
                <w:color w:val="000000"/>
                <w:sz w:val="18"/>
                <w:szCs w:val="18"/>
              </w:rPr>
              <w:t>Water Plans</w:t>
            </w:r>
          </w:p>
        </w:tc>
        <w:tc>
          <w:tcPr>
            <w:tcW w:w="1843"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National Water Policy (GNWP), 2007 </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Sector Strategic Development Plan (WSSDP), 2012 - 2025</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National Drinking Water Quality Management Framework, 2015 </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Dam Safety Regulations, 2016 </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Use Regulation, 2001</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Drilling License and Groundwater Regulation, 2006 </w:t>
            </w:r>
          </w:p>
          <w:p w:rsidR="00D82571" w:rsidRPr="00E44DB4" w:rsidRDefault="00D82571">
            <w:pPr>
              <w:pStyle w:val="normal0"/>
              <w:pBdr>
                <w:top w:val="nil"/>
                <w:left w:val="nil"/>
                <w:bottom w:val="nil"/>
                <w:right w:val="nil"/>
                <w:between w:val="nil"/>
              </w:pBdr>
              <w:spacing w:after="160" w:line="259" w:lineRule="auto"/>
              <w:rPr>
                <w:rFonts w:ascii="Arial" w:eastAsia="Arial" w:hAnsi="Arial" w:cs="Arial"/>
                <w:color w:val="000000"/>
                <w:sz w:val="18"/>
                <w:szCs w:val="18"/>
              </w:rPr>
            </w:pP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Act (2002)</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Act (2016)</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National Water Master Plan (2014-2030)</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Rules (2012)</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sz w:val="18"/>
                <w:szCs w:val="18"/>
              </w:rPr>
            </w:pPr>
            <w:r w:rsidRPr="00E44DB4">
              <w:rPr>
                <w:rFonts w:ascii="Arial" w:eastAsia="Arial" w:hAnsi="Arial" w:cs="Arial"/>
                <w:color w:val="000000"/>
                <w:sz w:val="18"/>
                <w:szCs w:val="18"/>
              </w:rPr>
              <w:t>The Water Resource Users Association Development Cycle Framework</w:t>
            </w:r>
          </w:p>
        </w:tc>
        <w:tc>
          <w:tcPr>
            <w:tcW w:w="1740" w:type="dxa"/>
          </w:tcPr>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National Water Policy (2000)</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White Paper (NWP 2000)</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Supply and Sanitation Policy of 2008 (WSASP, 2008)</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Water Resource Management Act (2013) and IWRM Plan (2010)</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 xml:space="preserve">Community Based Natural Resource Management (CBNRM) </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Community Based Management Approach (WSASP 2008)</w:t>
            </w:r>
          </w:p>
          <w:p w:rsidR="00D82571" w:rsidRPr="00E44DB4" w:rsidRDefault="000F7C79">
            <w:pPr>
              <w:pStyle w:val="normal0"/>
              <w:pBdr>
                <w:top w:val="nil"/>
                <w:left w:val="nil"/>
                <w:bottom w:val="nil"/>
                <w:right w:val="nil"/>
                <w:between w:val="nil"/>
              </w:pBdr>
              <w:spacing w:after="160" w:line="259" w:lineRule="auto"/>
              <w:rPr>
                <w:rFonts w:ascii="Arial" w:eastAsia="Arial" w:hAnsi="Arial" w:cs="Arial"/>
                <w:color w:val="000000"/>
                <w:sz w:val="18"/>
                <w:szCs w:val="18"/>
              </w:rPr>
            </w:pPr>
            <w:r w:rsidRPr="00E44DB4">
              <w:rPr>
                <w:rFonts w:ascii="Arial" w:eastAsia="Arial" w:hAnsi="Arial" w:cs="Arial"/>
                <w:color w:val="000000"/>
                <w:sz w:val="18"/>
                <w:szCs w:val="18"/>
              </w:rPr>
              <w:t>Integrated Water Resource Management Plan (IWRM 2009)</w:t>
            </w:r>
          </w:p>
        </w:tc>
        <w:tc>
          <w:tcPr>
            <w:tcW w:w="1665" w:type="dxa"/>
          </w:tcPr>
          <w:p w:rsidR="00D82571" w:rsidRPr="00E44DB4" w:rsidRDefault="000F7C79">
            <w:pPr>
              <w:pStyle w:val="normal0"/>
              <w:pBdr>
                <w:top w:val="nil"/>
                <w:left w:val="nil"/>
                <w:bottom w:val="nil"/>
                <w:right w:val="nil"/>
                <w:between w:val="nil"/>
              </w:pBdr>
              <w:spacing w:after="160" w:line="276" w:lineRule="auto"/>
              <w:rPr>
                <w:rFonts w:ascii="Arial" w:eastAsia="Arial" w:hAnsi="Arial" w:cs="Arial"/>
                <w:color w:val="000000"/>
                <w:sz w:val="18"/>
                <w:szCs w:val="18"/>
              </w:rPr>
            </w:pPr>
            <w:r w:rsidRPr="00E44DB4">
              <w:rPr>
                <w:rFonts w:ascii="Arial" w:eastAsia="Arial" w:hAnsi="Arial" w:cs="Arial"/>
                <w:color w:val="000000"/>
                <w:sz w:val="18"/>
                <w:szCs w:val="18"/>
              </w:rPr>
              <w:t xml:space="preserve">National Water Policy (2012) </w:t>
            </w:r>
          </w:p>
          <w:p w:rsidR="00D82571" w:rsidRPr="00E44DB4" w:rsidRDefault="000F7C79">
            <w:pPr>
              <w:pStyle w:val="normal0"/>
              <w:pBdr>
                <w:top w:val="nil"/>
                <w:left w:val="nil"/>
                <w:bottom w:val="nil"/>
                <w:right w:val="nil"/>
                <w:between w:val="nil"/>
              </w:pBdr>
              <w:spacing w:after="160" w:line="276" w:lineRule="auto"/>
              <w:rPr>
                <w:rFonts w:ascii="Arial" w:eastAsia="Arial" w:hAnsi="Arial" w:cs="Arial"/>
                <w:color w:val="000000"/>
                <w:sz w:val="18"/>
                <w:szCs w:val="18"/>
              </w:rPr>
            </w:pPr>
            <w:r w:rsidRPr="00E44DB4">
              <w:rPr>
                <w:rFonts w:ascii="Arial" w:eastAsia="Arial" w:hAnsi="Arial" w:cs="Arial"/>
                <w:color w:val="000000"/>
                <w:sz w:val="18"/>
                <w:szCs w:val="18"/>
              </w:rPr>
              <w:t>National Drinking Water Mission (National)</w:t>
            </w:r>
          </w:p>
          <w:p w:rsidR="00D82571" w:rsidRPr="00E44DB4" w:rsidRDefault="000F7C79">
            <w:pPr>
              <w:pStyle w:val="normal0"/>
              <w:pBdr>
                <w:top w:val="nil"/>
                <w:left w:val="nil"/>
                <w:bottom w:val="nil"/>
                <w:right w:val="nil"/>
                <w:between w:val="nil"/>
              </w:pBdr>
              <w:spacing w:after="160" w:line="276" w:lineRule="auto"/>
              <w:rPr>
                <w:rFonts w:ascii="Arial" w:eastAsia="Arial" w:hAnsi="Arial" w:cs="Arial"/>
                <w:color w:val="000000"/>
                <w:sz w:val="18"/>
                <w:szCs w:val="18"/>
              </w:rPr>
            </w:pPr>
            <w:r w:rsidRPr="00E44DB4">
              <w:rPr>
                <w:rFonts w:ascii="Arial" w:eastAsia="Arial" w:hAnsi="Arial" w:cs="Arial"/>
                <w:color w:val="000000"/>
                <w:sz w:val="18"/>
                <w:szCs w:val="18"/>
              </w:rPr>
              <w:t xml:space="preserve">Other flagship (state-initiated) schemes include </w:t>
            </w:r>
            <w:proofErr w:type="spellStart"/>
            <w:r w:rsidRPr="00E44DB4">
              <w:rPr>
                <w:rFonts w:ascii="Arial" w:eastAsia="Arial" w:hAnsi="Arial" w:cs="Arial"/>
                <w:color w:val="000000"/>
                <w:sz w:val="18"/>
                <w:szCs w:val="18"/>
              </w:rPr>
              <w:t>Bhoochetana</w:t>
            </w:r>
            <w:proofErr w:type="spellEnd"/>
            <w:r w:rsidRPr="00E44DB4">
              <w:rPr>
                <w:rFonts w:ascii="Arial" w:eastAsia="Arial" w:hAnsi="Arial" w:cs="Arial"/>
                <w:color w:val="000000"/>
                <w:sz w:val="18"/>
                <w:szCs w:val="18"/>
              </w:rPr>
              <w:t xml:space="preserve"> and minor watershed development programs.</w:t>
            </w:r>
          </w:p>
        </w:tc>
      </w:tr>
    </w:tbl>
    <w:p w:rsidR="00D82571" w:rsidRPr="00E44DB4" w:rsidRDefault="00D82571">
      <w:pPr>
        <w:pStyle w:val="normal0"/>
        <w:pBdr>
          <w:top w:val="nil"/>
          <w:left w:val="nil"/>
          <w:bottom w:val="nil"/>
          <w:right w:val="nil"/>
          <w:between w:val="nil"/>
        </w:pBdr>
        <w:rPr>
          <w:rFonts w:ascii="Arial" w:eastAsia="Arial" w:hAnsi="Arial" w:cs="Arial"/>
          <w:color w:val="000000"/>
        </w:rPr>
      </w:pPr>
    </w:p>
    <w:p w:rsidR="00D82571" w:rsidRPr="00E44DB4" w:rsidRDefault="00D82571">
      <w:pPr>
        <w:pStyle w:val="normal0"/>
        <w:rPr>
          <w:rFonts w:ascii="Arial" w:eastAsia="Arial" w:hAnsi="Arial" w:cs="Arial"/>
        </w:rPr>
      </w:pPr>
    </w:p>
    <w:sectPr w:rsidR="00D82571" w:rsidRPr="00E44DB4">
      <w:pgSz w:w="11900" w:h="16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compatSetting w:name="compatibilityMode" w:uri="http://schemas.microsoft.com/office/word" w:val="14"/>
  </w:compat>
  <w:rsids>
    <w:rsidRoot w:val="00D82571"/>
    <w:rsid w:val="000F7C79"/>
    <w:rsid w:val="00172B42"/>
    <w:rsid w:val="005330E3"/>
    <w:rsid w:val="00D82571"/>
    <w:rsid w:val="00E44DB4"/>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0F7C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C79"/>
    <w:rPr>
      <w:rFonts w:ascii="Lucida Grande" w:hAnsi="Lucida Grande" w:cs="Lucida Grande"/>
      <w:sz w:val="18"/>
      <w:szCs w:val="18"/>
    </w:rPr>
  </w:style>
  <w:style w:type="paragraph" w:styleId="NormalWeb">
    <w:name w:val="Normal (Web)"/>
    <w:basedOn w:val="Normal"/>
    <w:uiPriority w:val="99"/>
    <w:unhideWhenUsed/>
    <w:rsid w:val="00E44DB4"/>
    <w:pPr>
      <w:spacing w:before="100" w:beforeAutospacing="1" w:after="100" w:afterAutospacing="1"/>
    </w:pPr>
    <w:rPr>
      <w:rFonts w:ascii="Times" w:hAnsi="Times" w:cs="Times New Roman"/>
      <w:sz w:val="20"/>
      <w:szCs w:val="20"/>
      <w:lang w:val="en-ZA"/>
    </w:rPr>
  </w:style>
  <w:style w:type="table" w:styleId="TableGrid">
    <w:name w:val="Table Grid"/>
    <w:basedOn w:val="TableNormal"/>
    <w:uiPriority w:val="59"/>
    <w:rsid w:val="00E44D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0F7C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7C79"/>
    <w:rPr>
      <w:rFonts w:ascii="Lucida Grande" w:hAnsi="Lucida Grande" w:cs="Lucida Grande"/>
      <w:sz w:val="18"/>
      <w:szCs w:val="18"/>
    </w:rPr>
  </w:style>
  <w:style w:type="paragraph" w:styleId="NormalWeb">
    <w:name w:val="Normal (Web)"/>
    <w:basedOn w:val="Normal"/>
    <w:uiPriority w:val="99"/>
    <w:unhideWhenUsed/>
    <w:rsid w:val="00E44DB4"/>
    <w:pPr>
      <w:spacing w:before="100" w:beforeAutospacing="1" w:after="100" w:afterAutospacing="1"/>
    </w:pPr>
    <w:rPr>
      <w:rFonts w:ascii="Times" w:hAnsi="Times" w:cs="Times New Roman"/>
      <w:sz w:val="20"/>
      <w:szCs w:val="20"/>
      <w:lang w:val="en-ZA"/>
    </w:rPr>
  </w:style>
  <w:style w:type="table" w:styleId="TableGrid">
    <w:name w:val="Table Grid"/>
    <w:basedOn w:val="TableNormal"/>
    <w:uiPriority w:val="59"/>
    <w:rsid w:val="00E44D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092866">
      <w:bodyDiv w:val="1"/>
      <w:marLeft w:val="0"/>
      <w:marRight w:val="0"/>
      <w:marTop w:val="0"/>
      <w:marBottom w:val="0"/>
      <w:divBdr>
        <w:top w:val="none" w:sz="0" w:space="0" w:color="auto"/>
        <w:left w:val="none" w:sz="0" w:space="0" w:color="auto"/>
        <w:bottom w:val="none" w:sz="0" w:space="0" w:color="auto"/>
        <w:right w:val="none" w:sz="0" w:space="0" w:color="auto"/>
      </w:divBdr>
    </w:div>
    <w:div w:id="159898000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949</Words>
  <Characters>5411</Characters>
  <Application>Microsoft Macintosh Word</Application>
  <DocSecurity>0</DocSecurity>
  <Lines>45</Lines>
  <Paragraphs>12</Paragraphs>
  <ScaleCrop>false</ScaleCrop>
  <Company/>
  <LinksUpToDate>false</LinksUpToDate>
  <CharactersWithSpaces>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Ziervogel</dc:creator>
  <cp:keywords/>
  <dc:description/>
  <cp:lastModifiedBy>Gina Ziervogel</cp:lastModifiedBy>
  <cp:revision>1</cp:revision>
  <dcterms:created xsi:type="dcterms:W3CDTF">2019-05-29T12:29:00Z</dcterms:created>
  <dcterms:modified xsi:type="dcterms:W3CDTF">2019-05-29T17:46:00Z</dcterms:modified>
</cp:coreProperties>
</file>