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743" w:rsidRPr="00DE01D0" w:rsidRDefault="009C2743" w:rsidP="00DE01D0">
      <w:pPr>
        <w:pStyle w:val="Heading2"/>
        <w:numPr>
          <w:ilvl w:val="0"/>
          <w:numId w:val="0"/>
        </w:numPr>
        <w:spacing w:beforeLines="100" w:before="240" w:afterLines="100" w:after="240"/>
        <w:jc w:val="center"/>
        <w:rPr>
          <w:rFonts w:ascii="Times New Roman" w:eastAsia="Calibri" w:hAnsi="Times New Roman"/>
          <w:bCs w:val="0"/>
          <w:color w:val="auto"/>
          <w:sz w:val="22"/>
          <w:szCs w:val="22"/>
          <w:lang w:val="en-US"/>
        </w:rPr>
      </w:pPr>
      <w:r w:rsidRPr="00DE01D0">
        <w:rPr>
          <w:rFonts w:ascii="Times New Roman" w:eastAsia="Calibri" w:hAnsi="Times New Roman"/>
          <w:bCs w:val="0"/>
          <w:color w:val="auto"/>
          <w:sz w:val="22"/>
          <w:szCs w:val="22"/>
          <w:lang w:val="en-US"/>
        </w:rPr>
        <w:t>Diversity of cattle raising systems and its effects over forest regrowth in a core region of cattle production in the Brazilian Amazon</w:t>
      </w:r>
    </w:p>
    <w:p w:rsidR="009C2743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>Regional Environmental Change</w:t>
      </w:r>
    </w:p>
    <w:p w:rsidR="009C2743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>Raquel Carvalho</w:t>
      </w:r>
    </w:p>
    <w:p w:rsidR="008C6BA6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 xml:space="preserve">Pós-Graduação Centro de Ciência do Sistema Terrestre. Instituto Nacional de Pesquisas Espaciais. </w:t>
      </w:r>
    </w:p>
    <w:p w:rsidR="008C6BA6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>Ana Paula Dutra de Aguiar</w:t>
      </w:r>
      <w:r w:rsidR="008C6BA6" w:rsidRPr="00DE01D0">
        <w:rPr>
          <w:rFonts w:ascii="Times New Roman" w:hAnsi="Times New Roman" w:cs="Times New Roman"/>
        </w:rPr>
        <w:t xml:space="preserve"> </w:t>
      </w:r>
    </w:p>
    <w:p w:rsidR="008C6BA6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>Stockholm Resilience Centre</w:t>
      </w:r>
    </w:p>
    <w:p w:rsidR="009C2743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DE01D0">
        <w:rPr>
          <w:rFonts w:ascii="Times New Roman" w:hAnsi="Times New Roman" w:cs="Times New Roman"/>
          <w:lang w:val="en-US"/>
        </w:rPr>
        <w:t xml:space="preserve">E-mail address: </w:t>
      </w:r>
      <w:hyperlink r:id="rId5" w:history="1">
        <w:r w:rsidRPr="00DE01D0">
          <w:rPr>
            <w:rStyle w:val="Hyperlink"/>
            <w:rFonts w:ascii="Times New Roman" w:hAnsi="Times New Roman" w:cs="Times New Roman"/>
            <w:lang w:val="en-US"/>
          </w:rPr>
          <w:t>anapaula.aguiar@su.se</w:t>
        </w:r>
      </w:hyperlink>
    </w:p>
    <w:p w:rsidR="009C2743" w:rsidRPr="00DE01D0" w:rsidRDefault="009C2743" w:rsidP="009C274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01D0">
        <w:rPr>
          <w:rFonts w:ascii="Times New Roman" w:hAnsi="Times New Roman" w:cs="Times New Roman"/>
        </w:rPr>
        <w:t>Silvana Amaral</w:t>
      </w:r>
    </w:p>
    <w:p w:rsidR="009C2743" w:rsidRPr="00DE01D0" w:rsidRDefault="009C2743" w:rsidP="009C2743">
      <w:pPr>
        <w:pStyle w:val="Textoprformatad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E01D0">
        <w:rPr>
          <w:rFonts w:ascii="Times New Roman" w:hAnsi="Times New Roman" w:cs="Times New Roman"/>
          <w:sz w:val="22"/>
          <w:szCs w:val="22"/>
        </w:rPr>
        <w:t>Divisão de Processamento de Imagens (DPI). Instituto Nacional de Pesquisas Espaciais.</w:t>
      </w:r>
    </w:p>
    <w:p w:rsidR="009C2743" w:rsidRPr="00DE01D0" w:rsidRDefault="009C2743" w:rsidP="009C2743">
      <w:pPr>
        <w:pStyle w:val="Textoprformatad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A5664" w:rsidRPr="00CA1D06" w:rsidRDefault="00C43081" w:rsidP="00C43081">
      <w:pPr>
        <w:pStyle w:val="Textoprformatad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lang w:val="en-US"/>
        </w:rPr>
        <w:t>Electronic</w:t>
      </w:r>
      <w:r w:rsidRPr="009C2743">
        <w:rPr>
          <w:rFonts w:ascii="Times New Roman" w:hAnsi="Times New Roman" w:cs="Times New Roman"/>
          <w:lang w:val="en-US"/>
        </w:rPr>
        <w:t xml:space="preserve"> S</w:t>
      </w:r>
      <w:r>
        <w:rPr>
          <w:rFonts w:ascii="Times New Roman" w:hAnsi="Times New Roman" w:cs="Times New Roman"/>
          <w:lang w:val="en-US"/>
        </w:rPr>
        <w:t xml:space="preserve">upplementary Material </w:t>
      </w:r>
      <w:r>
        <w:rPr>
          <w:rFonts w:ascii="Times New Roman" w:hAnsi="Times New Roman" w:cs="Times New Roman"/>
          <w:lang w:val="en-US"/>
        </w:rPr>
        <w:t xml:space="preserve">6 </w:t>
      </w:r>
      <w:r w:rsidR="00EA5664" w:rsidRPr="00CA1D06">
        <w:rPr>
          <w:rFonts w:ascii="Times New Roman" w:hAnsi="Times New Roman" w:cs="Times New Roman"/>
          <w:sz w:val="22"/>
          <w:szCs w:val="22"/>
          <w:lang w:val="en-US"/>
        </w:rPr>
        <w:t xml:space="preserve">- Summary of </w:t>
      </w:r>
      <w:r w:rsidR="00CA1D06" w:rsidRPr="00CA1D06">
        <w:rPr>
          <w:rFonts w:ascii="Times New Roman" w:hAnsi="Times New Roman" w:cs="Times New Roman"/>
          <w:sz w:val="22"/>
          <w:szCs w:val="22"/>
          <w:lang w:val="en-US"/>
        </w:rPr>
        <w:t xml:space="preserve">the expected effects of pasture management strategies used </w:t>
      </w:r>
      <w:r w:rsidR="00EA5664" w:rsidRPr="00CA1D06">
        <w:rPr>
          <w:rFonts w:ascii="Times New Roman" w:hAnsi="Times New Roman" w:cs="Times New Roman"/>
          <w:sz w:val="22"/>
          <w:szCs w:val="22"/>
          <w:lang w:val="en-US"/>
        </w:rPr>
        <w:t xml:space="preserve">in different cattle </w:t>
      </w:r>
      <w:r w:rsidR="00CA1D06" w:rsidRPr="00CA1D06">
        <w:rPr>
          <w:rFonts w:ascii="Times New Roman" w:hAnsi="Times New Roman" w:cs="Times New Roman"/>
          <w:sz w:val="22"/>
          <w:szCs w:val="22"/>
          <w:lang w:val="en-US"/>
        </w:rPr>
        <w:t>raising</w:t>
      </w:r>
      <w:r w:rsidR="00EA5664" w:rsidRPr="00CA1D06">
        <w:rPr>
          <w:rFonts w:ascii="Times New Roman" w:hAnsi="Times New Roman" w:cs="Times New Roman"/>
          <w:sz w:val="22"/>
          <w:szCs w:val="22"/>
          <w:lang w:val="en-US"/>
        </w:rPr>
        <w:t xml:space="preserve"> systems </w:t>
      </w:r>
      <w:r w:rsidR="00CA1D06" w:rsidRPr="00CA1D06">
        <w:rPr>
          <w:rFonts w:ascii="Times New Roman" w:hAnsi="Times New Roman" w:cs="Times New Roman"/>
          <w:sz w:val="22"/>
          <w:szCs w:val="22"/>
          <w:lang w:val="en-US"/>
        </w:rPr>
        <w:t>identified in Para.</w:t>
      </w:r>
    </w:p>
    <w:tbl>
      <w:tblPr>
        <w:tblW w:w="126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1070"/>
      </w:tblGrid>
      <w:tr w:rsidR="00CA1D06" w:rsidRPr="00CA1D06" w:rsidTr="004949E3">
        <w:trPr>
          <w:trHeight w:val="438"/>
        </w:trPr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1D06" w:rsidRPr="00C558FB" w:rsidRDefault="00C558FB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Strategy</w:t>
            </w:r>
          </w:p>
        </w:tc>
        <w:tc>
          <w:tcPr>
            <w:tcW w:w="1107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CA1D06" w:rsidRPr="00CA1D06" w:rsidRDefault="00CA1D06" w:rsidP="007571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 xml:space="preserve">Evidence from literature and </w:t>
            </w:r>
            <w:r w:rsidR="0075714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</w:tr>
      <w:tr w:rsidR="00CA1D06" w:rsidRPr="00CA1D06" w:rsidTr="004949E3">
        <w:trPr>
          <w:trHeight w:val="438"/>
        </w:trPr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CA1D06" w:rsidRPr="00CA1D06" w:rsidTr="004949E3">
        <w:trPr>
          <w:trHeight w:val="508"/>
        </w:trPr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CA1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Manual weed control</w:t>
            </w: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CA1D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Evidence: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If used respecting the phenology of the different species of weeds (i.e. before flowering and fruit-set seasons)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it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can preclude annual weeds growth (Dias-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, 2011). </w:t>
            </w:r>
          </w:p>
        </w:tc>
      </w:tr>
      <w:tr w:rsidR="00CA1D06" w:rsidRPr="00CA1D06" w:rsidTr="004949E3">
        <w:trPr>
          <w:trHeight w:val="507"/>
        </w:trPr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CA1D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Only in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ubsistence system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manual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weed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control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may have a negative impact over regrowth, but considering the small-scale of these operations, implications are negligible.</w:t>
            </w:r>
          </w:p>
        </w:tc>
      </w:tr>
      <w:tr w:rsidR="00CA1D06" w:rsidRPr="00CA1D06" w:rsidTr="004949E3">
        <w:trPr>
          <w:trHeight w:val="980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CA1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Mechanized weed control</w:t>
            </w: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pt-BR"/>
              </w:rPr>
              <w:t xml:space="preserve">Evidence: 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The use of bulldozers in mechanized weeding reduces seed availability, survivorship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and growth of seedlings of tree species, in particular when frequently applied and after long-term use (&gt; 10 years). It removes sprouting roots and underground stems which could work as colonizers in the initial stages of regrowth (Dias-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, 2011; Nepstad et al 1996;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Uhl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et al 1988; Moran et al 1994). </w:t>
            </w:r>
          </w:p>
        </w:tc>
      </w:tr>
      <w:tr w:rsidR="00CA1D06" w:rsidRPr="00CA1D06" w:rsidTr="004949E3">
        <w:trPr>
          <w:trHeight w:val="600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F1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The o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verall impact of mechanized weed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control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is expected to be negative on regrowth especially when combined with chemical fertilization and pH correction.</w:t>
            </w:r>
          </w:p>
        </w:tc>
      </w:tr>
      <w:tr w:rsidR="00CA1D06" w:rsidRPr="00CA1D06" w:rsidTr="004949E3">
        <w:trPr>
          <w:trHeight w:val="1196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CA1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lastRenderedPageBreak/>
              <w:t>Fire</w:t>
            </w: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F1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pt-BR"/>
              </w:rPr>
              <w:t>Evidence: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The use of fire reduces seeds availability but not sprouting of species able to maintain underground stems (Dias-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, 2011). It reduces seeds availability, sprouting roots, survivorship and growth of seedlings of tree species after long-term use (&gt; 10 years) (Nepstad et al 1996;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Uhl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and Jordan, 1984;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Uhl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et al. 1988; Moran et al 1994). It has also the potential to reduce biomass accumulation (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Wandelli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and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Fearnside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2015). The use of fire eliminates seed banks and stump sprouts of primary forest species from pastures, leaving only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pt-BR"/>
              </w:rPr>
              <w:t>Vismia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spp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which 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can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sprout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 (Williamson and 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Mesquita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, 2001).</w:t>
            </w:r>
          </w:p>
        </w:tc>
      </w:tr>
      <w:tr w:rsidR="00CA1D06" w:rsidRPr="00CA1D06" w:rsidTr="004949E3">
        <w:trPr>
          <w:trHeight w:val="422"/>
        </w:trPr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CA1D0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It has the 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potential to affect current dynamics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of secondary vegetation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as soil and seed banks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can be affected however considering the hazardous effects of fire on the chemical and physical properties of soil, this strategy may favor regrowth by reducing grasses’ competitiveness.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</w:tr>
      <w:tr w:rsidR="00CA1D06" w:rsidRPr="00CA1D06" w:rsidTr="004949E3">
        <w:trPr>
          <w:trHeight w:val="548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Herbicides</w:t>
            </w:r>
          </w:p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pt-BR"/>
              </w:rPr>
              <w:t>Evidence: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Herbicides have a limited impact to control invasion by weeds in non-degraded pastures and when adequately planned and executed (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i.e. applied as a 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combination of different agrochemicals), however in pastures already under degradation herbicides have very limited or no impact (Dias-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, 2011) </w:t>
            </w:r>
          </w:p>
        </w:tc>
      </w:tr>
      <w:tr w:rsidR="00CA1D06" w:rsidRPr="00CA1D06" w:rsidTr="004949E3">
        <w:trPr>
          <w:trHeight w:val="944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F1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Herbicides have been largely used to deal with degradation and avoid losses of herds by poisoning as some weeds are toxic, a problem particularly critical in small-scale systems. Effectiveness of these agrochemicals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 however,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is highly questionable as herbicides are very specific 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concerning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plant physiology and phenology, and their use although widespread is done without almost any technical concerns (e.g. field evaluations, recommendations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,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and application). In this sense, their negative impacts may very limited.</w:t>
            </w:r>
          </w:p>
        </w:tc>
      </w:tr>
      <w:tr w:rsidR="00CA1D06" w:rsidRPr="00CA1D06" w:rsidTr="004949E3">
        <w:trPr>
          <w:trHeight w:val="438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CA1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Chemical fertilization and Liming</w:t>
            </w:r>
          </w:p>
        </w:tc>
        <w:tc>
          <w:tcPr>
            <w:tcW w:w="1107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pt-BR"/>
              </w:rPr>
              <w:t xml:space="preserve">Evidence: 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Increases forage yield and strengths the root system of grass species, especially after the second year of use (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Boaretto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 et al. 2003)</w:t>
            </w:r>
          </w:p>
        </w:tc>
      </w:tr>
      <w:tr w:rsidR="00CA1D06" w:rsidRPr="00CA1D06" w:rsidTr="004949E3">
        <w:trPr>
          <w:trHeight w:val="438"/>
        </w:trPr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pt-BR"/>
              </w:rPr>
            </w:pPr>
          </w:p>
        </w:tc>
      </w:tr>
      <w:tr w:rsidR="00CA1D06" w:rsidRPr="00CA1D06" w:rsidTr="004949E3">
        <w:trPr>
          <w:trHeight w:val="782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1D06" w:rsidRPr="00CA1D06" w:rsidRDefault="00CA1D06" w:rsidP="00F17E3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In the Professional, Traditional and Mixed dairy-beef systems chemical fertilization and liming have the potential to effectively preclude regrowth but for the Subsistence system, no impact over regrowth 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is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expected. </w:t>
            </w:r>
          </w:p>
        </w:tc>
      </w:tr>
      <w:tr w:rsidR="00CA1D06" w:rsidRPr="00CA1D06" w:rsidTr="004949E3">
        <w:trPr>
          <w:trHeight w:val="328"/>
        </w:trPr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Division of pastures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E351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pt-BR"/>
              </w:rPr>
              <w:t xml:space="preserve">Evidence: 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Division and rotation of pasture are described as highly effective in reducing </w:t>
            </w:r>
            <w:r w:rsidR="00F17E3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the 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pressure of grazing (overgrazing) on pastures thus increasing grasses competitiveness against weeds invasion (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Días-Filho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, 2011)</w:t>
            </w:r>
          </w:p>
        </w:tc>
      </w:tr>
      <w:tr w:rsidR="00CA1D06" w:rsidRPr="00CA1D06" w:rsidTr="004949E3">
        <w:trPr>
          <w:trHeight w:val="327"/>
        </w:trPr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CA1D0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Under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high impact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systems i.e. Professional and Mixed dairy-beef, it is expected that division and rotation of pasture will have a negative impact over regrowth not only as a result of higher percentages of use of these practices but also because this is effectively part of a management routine in properties.</w:t>
            </w:r>
          </w:p>
        </w:tc>
      </w:tr>
      <w:tr w:rsidR="00CA1D06" w:rsidRPr="00CA1D06" w:rsidTr="004949E3">
        <w:trPr>
          <w:trHeight w:val="710"/>
        </w:trPr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558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Semi-confinement</w:t>
            </w:r>
          </w:p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A1D06" w:rsidRPr="00CA1D06" w:rsidRDefault="00CA1D06" w:rsidP="00F17E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CA1D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pt-BR"/>
              </w:rPr>
              <w:t xml:space="preserve">Evidence: 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Although there </w:t>
            </w:r>
            <w:r w:rsidR="00F17E3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is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 no evidence on the impacts of semi-confinement in precluding pasture degradation, we consider that increased use of this strategy will be so or more effective than division and rotation concerning a reduced pressure over pastures and increased compe</w:t>
            </w:r>
            <w:r w:rsidR="00F17E3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ti</w:t>
            </w:r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tiveness of grasses (</w:t>
            </w:r>
            <w:proofErr w:type="spellStart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Días-Filho</w:t>
            </w:r>
            <w:proofErr w:type="spellEnd"/>
            <w:r w:rsidRPr="00CA1D0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, 2011)</w:t>
            </w:r>
          </w:p>
        </w:tc>
      </w:tr>
      <w:tr w:rsidR="00CA1D06" w:rsidRPr="00CA1D06" w:rsidTr="00F17E34">
        <w:trPr>
          <w:trHeight w:val="503"/>
        </w:trPr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D06" w:rsidRPr="00C558FB" w:rsidRDefault="00CA1D06" w:rsidP="00E351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1D06" w:rsidRPr="00CA1D06" w:rsidRDefault="00CA1D06" w:rsidP="00CA1D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Expected effects</w:t>
            </w:r>
            <w:r w:rsidRPr="00CA1D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: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Semi-confinement will have a negative impact over regrowth by reducing pressure over pastures, especially in drier regions where </w:t>
            </w:r>
            <w:r w:rsidR="00F17E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the </w:t>
            </w:r>
            <w:r w:rsidRPr="00CA1D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carrying capacity of grasslands is reduced.</w:t>
            </w:r>
            <w:bookmarkStart w:id="0" w:name="_GoBack"/>
            <w:bookmarkEnd w:id="0"/>
          </w:p>
        </w:tc>
      </w:tr>
    </w:tbl>
    <w:p w:rsidR="009F713B" w:rsidRPr="00CA1D06" w:rsidRDefault="00F17E34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F713B" w:rsidRPr="00CA1D06" w:rsidSect="009C2743">
      <w:pgSz w:w="16838" w:h="11906" w:orient="landscape"/>
      <w:pgMar w:top="1701" w:right="266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7D4"/>
    <w:multiLevelType w:val="multilevel"/>
    <w:tmpl w:val="04160025"/>
    <w:lvl w:ilvl="0">
      <w:start w:val="1"/>
      <w:numFmt w:val="decimal"/>
      <w:pStyle w:val="Heading1"/>
      <w:lvlText w:val="%1"/>
      <w:lvlJc w:val="left"/>
      <w:pPr>
        <w:ind w:left="88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080" w:hanging="720"/>
      </w:p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jcxMDAxMjU2sbCwNDdW0lEKTi0uzszPAykwrAUACtGLmCwAAAA="/>
  </w:docVars>
  <w:rsids>
    <w:rsidRoot w:val="006E7BEC"/>
    <w:rsid w:val="00155B5C"/>
    <w:rsid w:val="0034161C"/>
    <w:rsid w:val="003E016C"/>
    <w:rsid w:val="004949E3"/>
    <w:rsid w:val="00513482"/>
    <w:rsid w:val="00532263"/>
    <w:rsid w:val="00563395"/>
    <w:rsid w:val="005D0FC7"/>
    <w:rsid w:val="00606D35"/>
    <w:rsid w:val="0069435B"/>
    <w:rsid w:val="006E7BEC"/>
    <w:rsid w:val="00757140"/>
    <w:rsid w:val="008C6BA6"/>
    <w:rsid w:val="009C2743"/>
    <w:rsid w:val="00B50237"/>
    <w:rsid w:val="00C43081"/>
    <w:rsid w:val="00C558FB"/>
    <w:rsid w:val="00CA1D06"/>
    <w:rsid w:val="00DE01D0"/>
    <w:rsid w:val="00E10463"/>
    <w:rsid w:val="00EA5664"/>
    <w:rsid w:val="00F1198C"/>
    <w:rsid w:val="00F1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FC89"/>
  <w15:docId w15:val="{4A153469-C4CE-4819-BBEA-ED103E87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63"/>
  </w:style>
  <w:style w:type="paragraph" w:styleId="Heading1">
    <w:name w:val="heading 1"/>
    <w:basedOn w:val="Normal"/>
    <w:next w:val="Normal"/>
    <w:link w:val="Heading1Char"/>
    <w:uiPriority w:val="9"/>
    <w:qFormat/>
    <w:rsid w:val="009C2743"/>
    <w:pPr>
      <w:keepNext/>
      <w:keepLines/>
      <w:numPr>
        <w:numId w:val="1"/>
      </w:numPr>
      <w:spacing w:before="120" w:after="120" w:line="360" w:lineRule="auto"/>
      <w:ind w:left="0" w:firstLine="0"/>
      <w:outlineLvl w:val="0"/>
    </w:pPr>
    <w:rPr>
      <w:rFonts w:ascii="Arial" w:eastAsia="Times New Roman" w:hAnsi="Arial" w:cs="Times New Roman"/>
      <w:b/>
      <w:bCs/>
      <w:cap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743"/>
    <w:pPr>
      <w:keepNext/>
      <w:keepLines/>
      <w:numPr>
        <w:ilvl w:val="1"/>
        <w:numId w:val="1"/>
      </w:numPr>
      <w:spacing w:before="120" w:after="120" w:line="360" w:lineRule="auto"/>
      <w:jc w:val="both"/>
      <w:outlineLvl w:val="1"/>
    </w:pPr>
    <w:rPr>
      <w:rFonts w:ascii="Arial" w:eastAsia="Times New Roman" w:hAnsi="Arial" w:cs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743"/>
    <w:pPr>
      <w:keepNext/>
      <w:keepLines/>
      <w:numPr>
        <w:ilvl w:val="2"/>
        <w:numId w:val="1"/>
      </w:numPr>
      <w:spacing w:before="120" w:after="120" w:line="360" w:lineRule="auto"/>
      <w:jc w:val="both"/>
      <w:outlineLvl w:val="2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2743"/>
    <w:pPr>
      <w:keepNext/>
      <w:keepLines/>
      <w:numPr>
        <w:ilvl w:val="3"/>
        <w:numId w:val="1"/>
      </w:numPr>
      <w:spacing w:before="120" w:after="120" w:line="360" w:lineRule="auto"/>
      <w:jc w:val="both"/>
      <w:outlineLvl w:val="3"/>
    </w:pPr>
    <w:rPr>
      <w:rFonts w:ascii="Arial" w:eastAsia="Times New Roman" w:hAnsi="Arial" w:cs="Times New Roman"/>
      <w:b/>
      <w:bCs/>
      <w:iCs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2743"/>
    <w:pPr>
      <w:keepNext/>
      <w:keepLines/>
      <w:numPr>
        <w:ilvl w:val="4"/>
        <w:numId w:val="1"/>
      </w:numPr>
      <w:spacing w:before="120" w:after="120" w:line="360" w:lineRule="auto"/>
      <w:ind w:left="1009" w:hanging="1009"/>
      <w:jc w:val="both"/>
      <w:outlineLvl w:val="4"/>
    </w:pPr>
    <w:rPr>
      <w:rFonts w:ascii="Arial" w:eastAsia="Times New Roman" w:hAnsi="Arial" w:cs="Times New Roman"/>
      <w:b/>
      <w:color w:val="00000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74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74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74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743"/>
    <w:pPr>
      <w:keepNext/>
      <w:keepLines/>
      <w:numPr>
        <w:ilvl w:val="8"/>
        <w:numId w:val="1"/>
      </w:numPr>
      <w:tabs>
        <w:tab w:val="num" w:pos="6481"/>
      </w:tabs>
      <w:spacing w:before="200" w:after="0"/>
      <w:ind w:left="6481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prformatado">
    <w:name w:val="Texto préformatado"/>
    <w:basedOn w:val="Normal"/>
    <w:qFormat/>
    <w:rsid w:val="006E7BEC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9C2743"/>
    <w:rPr>
      <w:rFonts w:ascii="Arial" w:eastAsia="Times New Roman" w:hAnsi="Arial" w:cs="Times New Roman"/>
      <w:b/>
      <w:bCs/>
      <w:caps/>
      <w:color w:val="0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2743"/>
    <w:rPr>
      <w:rFonts w:ascii="Arial" w:eastAsia="Times New Roman" w:hAnsi="Arial" w:cs="Times New Roman"/>
      <w:b/>
      <w:bCs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2743"/>
    <w:rPr>
      <w:rFonts w:ascii="Arial" w:eastAsia="Times New Roman" w:hAnsi="Arial" w:cs="Times New Roman"/>
      <w:b/>
      <w:bCs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C2743"/>
    <w:rPr>
      <w:rFonts w:ascii="Arial" w:eastAsia="Times New Roman" w:hAnsi="Arial" w:cs="Times New Roman"/>
      <w:b/>
      <w:bCs/>
      <w:i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C2743"/>
    <w:rPr>
      <w:rFonts w:ascii="Arial" w:eastAsia="Times New Roman" w:hAnsi="Arial" w:cs="Times New Roman"/>
      <w:b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74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74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74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7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9C2743"/>
    <w:rPr>
      <w:color w:val="0000FF"/>
      <w:u w:val="single"/>
    </w:rPr>
  </w:style>
  <w:style w:type="paragraph" w:customStyle="1" w:styleId="PARAGRAFO">
    <w:name w:val="PARAGRAFO"/>
    <w:basedOn w:val="Normal"/>
    <w:qFormat/>
    <w:rsid w:val="00EA5664"/>
    <w:pPr>
      <w:spacing w:after="120" w:line="360" w:lineRule="auto"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paula.aguiar@s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sage</cp:lastModifiedBy>
  <cp:revision>12</cp:revision>
  <cp:lastPrinted>2019-08-30T18:01:00Z</cp:lastPrinted>
  <dcterms:created xsi:type="dcterms:W3CDTF">2019-08-30T13:45:00Z</dcterms:created>
  <dcterms:modified xsi:type="dcterms:W3CDTF">2020-02-28T21:56:00Z</dcterms:modified>
</cp:coreProperties>
</file>