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720"/>
          <w:tab w:val="left" w:pos="11060" w:leader="none"/>
          <w:tab w:val="left" w:pos="11860" w:leader="none"/>
          <w:tab w:val="left" w:pos="12870" w:leader="none"/>
        </w:tabs>
        <w:bidi w:val="0"/>
        <w:ind w:left="-407" w:right="2765" w:hanging="0"/>
        <w:rPr/>
      </w:pPr>
      <w:r>
        <w:rPr/>
      </w:r>
    </w:p>
    <w:tbl>
      <w:tblPr>
        <w:tblW w:w="14007" w:type="dxa"/>
        <w:jc w:val="left"/>
        <w:tblInd w:w="141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993"/>
        <w:gridCol w:w="758"/>
        <w:gridCol w:w="2288"/>
        <w:gridCol w:w="1151"/>
        <w:gridCol w:w="2905"/>
        <w:gridCol w:w="1628"/>
        <w:gridCol w:w="2471"/>
      </w:tblGrid>
      <w:tr>
        <w:trPr>
          <w:trHeight w:val="170" w:hRule="atLeast"/>
        </w:trPr>
        <w:tc>
          <w:tcPr>
            <w:tcW w:w="813" w:type="dxa"/>
            <w:tcBorders>
              <w:bottom w:val="single" w:sz="4" w:space="0" w:color="00000A"/>
              <w:insideH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EV type</w:t>
            </w:r>
          </w:p>
        </w:tc>
        <w:tc>
          <w:tcPr>
            <w:tcW w:w="1993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EV Class</w:t>
            </w:r>
          </w:p>
        </w:tc>
        <w:tc>
          <w:tcPr>
            <w:tcW w:w="758" w:type="dxa"/>
            <w:tcBorders>
              <w:bottom w:val="single" w:sz="4" w:space="0" w:color="00000A"/>
              <w:insideH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EV </w:t>
            </w:r>
          </w:p>
        </w:tc>
        <w:tc>
          <w:tcPr>
            <w:tcW w:w="2288" w:type="dxa"/>
            <w:tcBorders>
              <w:bottom w:val="single" w:sz="4" w:space="0" w:color="00000A"/>
              <w:insideH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Variable</w:t>
            </w:r>
          </w:p>
        </w:tc>
        <w:tc>
          <w:tcPr>
            <w:tcW w:w="1151" w:type="dxa"/>
            <w:tcBorders>
              <w:bottom w:val="single" w:sz="4" w:space="0" w:color="00000A"/>
              <w:insideH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Unit per site</w:t>
            </w:r>
          </w:p>
        </w:tc>
        <w:tc>
          <w:tcPr>
            <w:tcW w:w="2905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Unit per time</w:t>
            </w:r>
          </w:p>
        </w:tc>
        <w:tc>
          <w:tcPr>
            <w:tcW w:w="1628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Reference</w:t>
            </w:r>
          </w:p>
        </w:tc>
        <w:tc>
          <w:tcPr>
            <w:tcW w:w="247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Indicator</w:t>
            </w:r>
          </w:p>
        </w:tc>
      </w:tr>
      <w:tr>
        <w:trPr>
          <w:trHeight w:val="605" w:hRule="atLeast"/>
        </w:trPr>
        <w:tc>
          <w:tcPr>
            <w:tcW w:w="813" w:type="dxa"/>
            <w:vMerge w:val="restart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EBV</w:t>
            </w:r>
          </w:p>
        </w:tc>
        <w:tc>
          <w:tcPr>
            <w:tcW w:w="1993" w:type="dxa"/>
            <w:vMerge w:val="restart"/>
            <w:tcBorders/>
            <w:shd w:fill="auto" w:val="clear"/>
            <w:vAlign w:val="center"/>
          </w:tcPr>
          <w:p>
            <w:pPr>
              <w:pStyle w:val="TextBody"/>
              <w:spacing w:before="0" w:after="12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Community composition </w:t>
            </w:r>
          </w:p>
        </w:tc>
        <w:tc>
          <w:tcPr>
            <w:tcW w:w="758" w:type="dxa"/>
            <w:vMerge w:val="restart"/>
            <w:tcBorders>
              <w:bottom w:val="single" w:sz="4" w:space="0" w:color="000001"/>
              <w:right w:val="single" w:sz="4" w:space="0" w:color="E7E6E6"/>
              <w:insideH w:val="single" w:sz="4" w:space="0" w:color="000001"/>
              <w:insideV w:val="single" w:sz="4" w:space="0" w:color="E7E6E6"/>
            </w:tcBorders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Simpson diversity</w:t>
            </w:r>
          </w:p>
        </w:tc>
        <w:tc>
          <w:tcPr>
            <w:tcW w:w="1151" w:type="dxa"/>
            <w:vMerge w:val="restart"/>
            <w:tcBorders>
              <w:left w:val="single" w:sz="4" w:space="0" w:color="E7E6E6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2905" w:type="dxa"/>
            <w:tcBorders>
              <w:left w:val="single" w:sz="4" w:space="0" w:color="E7E6E6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1990 = mean(1991-1995)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2005 = mean(2006 - 2010)</w:t>
            </w:r>
          </w:p>
        </w:tc>
        <w:tc>
          <w:tcPr>
            <w:tcW w:w="1628" w:type="dxa"/>
            <w:vMerge w:val="restart"/>
            <w:tcBorders>
              <w:left w:val="single" w:sz="4" w:space="0" w:color="E7E6E6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Regular surveys following the method of Delany (2005)</w:t>
            </w:r>
          </w:p>
        </w:tc>
        <w:tc>
          <w:tcPr>
            <w:tcW w:w="2471" w:type="dxa"/>
            <w:tcBorders>
              <w:left w:val="single" w:sz="4" w:space="0" w:color="E7E6E6"/>
            </w:tcBorders>
            <w:shd w:fill="auto" w:val="clear"/>
            <w:vAlign w:val="center"/>
          </w:tcPr>
          <w:p>
            <w:pPr>
              <w:pStyle w:val="TableContents"/>
              <w:widowControl/>
              <w:suppressLineNumbers/>
              <w:bidi w:val="0"/>
              <w:ind w:left="0" w:right="22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Species diversity change</w:t>
            </w:r>
          </w:p>
        </w:tc>
      </w:tr>
      <w:tr>
        <w:trPr>
          <w:trHeight w:val="18" w:hRule="atLeast"/>
        </w:trPr>
        <w:tc>
          <w:tcPr>
            <w:tcW w:w="813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bottom w:val="single" w:sz="4" w:space="0" w:color="000001"/>
              <w:right w:val="single" w:sz="4" w:space="0" w:color="E7E6E6"/>
              <w:insideH w:val="single" w:sz="4" w:space="0" w:color="000001"/>
              <w:insideV w:val="single" w:sz="4" w:space="0" w:color="E7E6E6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/>
              <w:bidi w:val="0"/>
              <w:ind w:left="0" w:right="14" w:hanging="0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Sorensen beta-diversity</w:t>
            </w:r>
          </w:p>
        </w:tc>
        <w:tc>
          <w:tcPr>
            <w:tcW w:w="1151" w:type="dxa"/>
            <w:vMerge w:val="continue"/>
            <w:tcBorders>
              <w:left w:val="single" w:sz="4" w:space="0" w:color="E7E6E6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T1= mean(1991-1995)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T2 = mean(1996 – 2000)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T3 =  mean(2001 - 2005)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T4 =  mean(2006 - 2010)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Beta(1990) =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species turnover between T1 and T2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Beta(2005) =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species turnover between T3 and T4</w:t>
            </w:r>
          </w:p>
        </w:tc>
        <w:tc>
          <w:tcPr>
            <w:tcW w:w="1628" w:type="dxa"/>
            <w:vMerge w:val="continue"/>
            <w:tcBorders>
              <w:left w:val="single" w:sz="4" w:space="0" w:color="E7E6E6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tcBorders>
              <w:left w:val="single" w:sz="4" w:space="0" w:color="E7E6E6"/>
            </w:tcBorders>
            <w:shd w:fill="auto" w:val="clear"/>
            <w:vAlign w:val="center"/>
          </w:tcPr>
          <w:p>
            <w:pPr>
              <w:pStyle w:val="TableContents"/>
              <w:widowControl/>
              <w:suppressLineNumbers/>
              <w:bidi w:val="0"/>
              <w:ind w:left="0" w:right="22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Species community change</w:t>
            </w:r>
          </w:p>
          <w:p>
            <w:pPr>
              <w:pStyle w:val="TableContents"/>
              <w:widowControl/>
              <w:suppressLineNumbers/>
              <w:bidi w:val="0"/>
              <w:ind w:left="0" w:right="22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94" w:hRule="atLeast"/>
        </w:trPr>
        <w:tc>
          <w:tcPr>
            <w:tcW w:w="813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restart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Ecosystem structure</w:t>
            </w:r>
          </w:p>
        </w:tc>
        <w:tc>
          <w:tcPr>
            <w:tcW w:w="758" w:type="dxa"/>
            <w:vMerge w:val="restart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Habitat Extent</w:t>
            </w:r>
          </w:p>
        </w:tc>
        <w:tc>
          <w:tcPr>
            <w:tcW w:w="2288" w:type="dxa"/>
            <w:tcBorders>
              <w:top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Urban area</w:t>
            </w:r>
          </w:p>
        </w:tc>
        <w:tc>
          <w:tcPr>
            <w:tcW w:w="1151" w:type="dxa"/>
            <w:vMerge w:val="restart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2905" w:type="dxa"/>
            <w:vMerge w:val="restart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1990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1628" w:type="dxa"/>
            <w:vMerge w:val="restart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GW-II/MWO database derived from Landsat time series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(Perennou et al, 2018)</w:t>
            </w:r>
          </w:p>
        </w:tc>
        <w:tc>
          <w:tcPr>
            <w:tcW w:w="2471" w:type="dxa"/>
            <w:vMerge w:val="restart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Land cover change</w:t>
            </w:r>
          </w:p>
          <w:p>
            <w:pPr>
              <w:pStyle w:val="TableContents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170" w:hRule="atLeast"/>
        </w:trPr>
        <w:tc>
          <w:tcPr>
            <w:tcW w:w="813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Agricultural land area</w:t>
            </w:r>
          </w:p>
        </w:tc>
        <w:tc>
          <w:tcPr>
            <w:tcW w:w="1151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8" w:hRule="atLeast"/>
        </w:trPr>
        <w:tc>
          <w:tcPr>
            <w:tcW w:w="813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Sea area</w:t>
            </w:r>
          </w:p>
        </w:tc>
        <w:tc>
          <w:tcPr>
            <w:tcW w:w="1151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813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Artificial wetland area</w:t>
            </w:r>
          </w:p>
        </w:tc>
        <w:tc>
          <w:tcPr>
            <w:tcW w:w="1151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4" w:hRule="atLeast"/>
        </w:trPr>
        <w:tc>
          <w:tcPr>
            <w:tcW w:w="813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>
              <w:bottom w:val="single" w:sz="4" w:space="0" w:color="00000A"/>
              <w:insideH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Natural wetland area</w:t>
            </w:r>
          </w:p>
        </w:tc>
        <w:tc>
          <w:tcPr>
            <w:tcW w:w="1151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Natural wetland change</w:t>
            </w:r>
          </w:p>
        </w:tc>
      </w:tr>
      <w:tr>
        <w:trPr>
          <w:trHeight w:val="94" w:hRule="atLeast"/>
        </w:trPr>
        <w:tc>
          <w:tcPr>
            <w:tcW w:w="813" w:type="dxa"/>
            <w:vMerge w:val="restart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ECV</w:t>
            </w:r>
          </w:p>
        </w:tc>
        <w:tc>
          <w:tcPr>
            <w:tcW w:w="1993" w:type="dxa"/>
            <w:vMerge w:val="restart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Temperature</w:t>
            </w:r>
          </w:p>
        </w:tc>
        <w:tc>
          <w:tcPr>
            <w:tcW w:w="758" w:type="dxa"/>
            <w:vMerge w:val="restart"/>
            <w:tcBorders>
              <w:top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</w:tc>
        <w:tc>
          <w:tcPr>
            <w:tcW w:w="2288" w:type="dxa"/>
            <w:tcBorders>
              <w:top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Annual mean temperature</w:t>
            </w:r>
          </w:p>
        </w:tc>
        <w:tc>
          <w:tcPr>
            <w:tcW w:w="1151" w:type="dxa"/>
            <w:vMerge w:val="restart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2905" w:type="dxa"/>
            <w:vMerge w:val="restart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 xml:space="preserve">1990 = mean(1986-1995)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2005 = mean(2001-2010)</w:t>
            </w:r>
          </w:p>
        </w:tc>
        <w:tc>
          <w:tcPr>
            <w:tcW w:w="1628" w:type="dxa"/>
            <w:vMerge w:val="restart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Krager et al. (2017)</w:t>
            </w:r>
          </w:p>
        </w:tc>
        <w:tc>
          <w:tcPr>
            <w:tcW w:w="2471" w:type="dxa"/>
            <w:vMerge w:val="restart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TableContents"/>
              <w:widowControl/>
              <w:suppressLineNumbers/>
              <w:bidi w:val="0"/>
              <w:ind w:left="112" w:right="22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Climate change</w:t>
            </w:r>
          </w:p>
        </w:tc>
      </w:tr>
      <w:tr>
        <w:trPr>
          <w:trHeight w:val="481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top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Temperature seasonality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78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top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Maximum temperature of warmest month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top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Minimum temperature of the coldest month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0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restart"/>
            <w:tcBorders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Precipitation</w:t>
            </w:r>
          </w:p>
        </w:tc>
        <w:tc>
          <w:tcPr>
            <w:tcW w:w="758" w:type="dxa"/>
            <w:vMerge w:val="restart"/>
            <w:tcBorders>
              <w:bottom w:val="single" w:sz="2" w:space="0" w:color="000000"/>
              <w:insideH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en-GB"/>
              </w:rPr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Annual precipitation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bottom w:val="single" w:sz="2" w:space="0" w:color="000000"/>
              <w:insideH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Precipitation of wettest month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bottom w:val="single" w:sz="2" w:space="0" w:color="000000"/>
              <w:insideH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/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Precipitation of driest month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813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3" w:type="dxa"/>
            <w:vMerge w:val="continue"/>
            <w:tcBorders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8" w:type="dxa"/>
            <w:vMerge w:val="continue"/>
            <w:tcBorders>
              <w:bottom w:val="single" w:sz="2" w:space="0" w:color="000000"/>
              <w:insideH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8" w:type="dxa"/>
            <w:tcBorders>
              <w:bottom w:val="single" w:sz="4" w:space="0" w:color="00000A"/>
              <w:insideH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en-GB"/>
              </w:rPr>
              <w:t>Precipitation seasonality</w:t>
            </w:r>
          </w:p>
        </w:tc>
        <w:tc>
          <w:tcPr>
            <w:tcW w:w="1151" w:type="dxa"/>
            <w:vMerge w:val="continue"/>
            <w:tcBorders>
              <w:top w:val="single" w:sz="4" w:space="0" w:color="00000A"/>
              <w:bottom w:val="single" w:sz="4" w:space="0" w:color="000001"/>
              <w:insideH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71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360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Table S6.</w:t>
      </w:r>
      <w:r>
        <w:rPr>
          <w:rFonts w:cs="Times New Roman" w:ascii="Times New Roman" w:hAnsi="Times New Roman"/>
          <w:sz w:val="22"/>
          <w:szCs w:val="22"/>
        </w:rPr>
        <w:t xml:space="preserve"> Variables studied and their </w:t>
      </w:r>
      <w:r>
        <w:rPr>
          <w:rFonts w:cs="Times New Roman" w:ascii="Times New Roman" w:hAnsi="Times New Roman"/>
          <w:sz w:val="22"/>
          <w:szCs w:val="22"/>
        </w:rPr>
        <w:t xml:space="preserve">potential </w:t>
      </w:r>
      <w:r>
        <w:rPr>
          <w:rFonts w:cs="Times New Roman" w:ascii="Times New Roman" w:hAnsi="Times New Roman"/>
          <w:sz w:val="22"/>
          <w:szCs w:val="22"/>
        </w:rPr>
        <w:t xml:space="preserve">Essential Variable (EV) attribution. With EBV = Essential Biodiversity Variables, ECV = Essential Climate Variables,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en-GB"/>
        </w:rPr>
        <w:t xml:space="preserve">GW-II =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GlobWetland-II project 2010-2014 and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en-GB"/>
        </w:rPr>
        <w:t xml:space="preserve">MWO = Mediterranean Wetland Outlook.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98" w:right="852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4"/>
        <w:szCs w:val="24"/>
        <w:lang w:val="en-GB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numPr>
        <w:ilvl w:val="0"/>
        <w:numId w:val="0"/>
      </w:numPr>
      <w:kinsoku w:val="true"/>
      <w:overflowPunct w:val="true"/>
      <w:autoSpaceDE w:val="true"/>
      <w:bidi w:val="0"/>
    </w:pPr>
    <w:rPr>
      <w:rFonts w:ascii="Calibri" w:hAnsi="Calibri" w:eastAsia="SimSun" w:cs="Calibri"/>
      <w:color w:val="auto"/>
      <w:sz w:val="24"/>
      <w:szCs w:val="24"/>
      <w:lang w:val="en-GB" w:eastAsia="en-US" w:bidi="ar-SA"/>
    </w:rPr>
  </w:style>
  <w:style w:type="character" w:styleId="DefaultParagraphFont">
    <w:name w:val="Default Paragraph Font"/>
    <w:qFormat/>
    <w:rPr/>
  </w:style>
  <w:style w:type="character" w:styleId="Annotationreference">
    <w:name w:val="annotation reference"/>
    <w:basedOn w:val="DefaultParagraphFont"/>
    <w:qFormat/>
    <w:rPr>
      <w:sz w:val="18"/>
      <w:szCs w:val="18"/>
    </w:rPr>
  </w:style>
  <w:style w:type="character" w:styleId="CommentTextChar">
    <w:name w:val="Comment Text Char"/>
    <w:basedOn w:val="DefaultParagraphFont"/>
    <w:qFormat/>
    <w:rPr/>
  </w:style>
  <w:style w:type="character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BalloonTextChar">
    <w:name w:val="Balloon Text Char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SimSun" w:cs="Lucida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Annotationtext">
    <w:name w:val="annotation text"/>
    <w:basedOn w:val="Normal"/>
    <w:qFormat/>
    <w:pPr>
      <w:numPr>
        <w:ilvl w:val="0"/>
        <w:numId w:val="0"/>
      </w:numPr>
    </w:pPr>
    <w:rPr/>
  </w:style>
  <w:style w:type="paragraph" w:styleId="Annotationsubject">
    <w:name w:val="annotation subject"/>
    <w:basedOn w:val="Annotationtext"/>
    <w:qFormat/>
    <w:pPr>
      <w:numPr>
        <w:ilvl w:val="0"/>
        <w:numId w:val="0"/>
      </w:numPr>
    </w:pPr>
    <w:rPr>
      <w:b/>
      <w:bCs/>
      <w:sz w:val="20"/>
      <w:szCs w:val="20"/>
    </w:rPr>
  </w:style>
  <w:style w:type="paragraph" w:styleId="BalloonText">
    <w:name w:val="Balloon Text"/>
    <w:basedOn w:val="Normal"/>
    <w:qFormat/>
    <w:pPr>
      <w:numPr>
        <w:ilvl w:val="0"/>
        <w:numId w:val="0"/>
      </w:numPr>
    </w:pPr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pPr>
      <w:numPr>
        <w:ilvl w:val="0"/>
        <w:numId w:val="0"/>
      </w:num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numPr>
        <w:ilvl w:val="0"/>
        <w:numId w:val="0"/>
      </w:num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LibreOffice/6.1.5.2$MacOSX_X86_64 LibreOffice_project/90f8dcf33c87b3705e78202e3df5142b201bd805</Application>
  <Pages>1</Pages>
  <Words>190</Words>
  <CharactersWithSpaces>1292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2019-03-26T18:25:38Z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