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FE5D8" w14:textId="77777777" w:rsidR="00B73204" w:rsidRPr="00F77EF9" w:rsidRDefault="00B73204" w:rsidP="00B73204">
      <w:pPr>
        <w:rPr>
          <w:rFonts w:ascii="Times New Roman" w:hAnsi="Times New Roman" w:cs="Times New Roman"/>
          <w:sz w:val="20"/>
          <w:szCs w:val="20"/>
        </w:rPr>
      </w:pPr>
      <w:r w:rsidRPr="00F77EF9">
        <w:rPr>
          <w:rFonts w:ascii="Times New Roman" w:hAnsi="Times New Roman" w:cs="Times New Roman"/>
          <w:b/>
          <w:bCs/>
          <w:sz w:val="20"/>
          <w:szCs w:val="20"/>
        </w:rPr>
        <w:t>Journal name:</w:t>
      </w:r>
      <w:r w:rsidRPr="00F77EF9">
        <w:rPr>
          <w:rFonts w:ascii="Times New Roman" w:hAnsi="Times New Roman" w:cs="Times New Roman"/>
          <w:sz w:val="20"/>
          <w:szCs w:val="20"/>
        </w:rPr>
        <w:t xml:space="preserve"> Regional Environmental Change</w:t>
      </w:r>
    </w:p>
    <w:p w14:paraId="71C1822E" w14:textId="77777777" w:rsidR="00B73204" w:rsidRDefault="00B73204" w:rsidP="00B73204">
      <w:pPr>
        <w:spacing w:line="360" w:lineRule="auto"/>
        <w:jc w:val="both"/>
        <w:rPr>
          <w:rFonts w:ascii="Times New Roman" w:hAnsi="Times New Roman" w:cs="Times New Roman"/>
          <w:i/>
          <w:iCs/>
          <w:sz w:val="20"/>
          <w:szCs w:val="20"/>
          <w:lang w:val="en-GB"/>
        </w:rPr>
      </w:pPr>
    </w:p>
    <w:p w14:paraId="27AC2270" w14:textId="77777777" w:rsidR="00B73204" w:rsidRPr="00D30644" w:rsidRDefault="00B73204" w:rsidP="00B73204">
      <w:pPr>
        <w:spacing w:line="360" w:lineRule="auto"/>
        <w:jc w:val="both"/>
        <w:rPr>
          <w:rFonts w:ascii="Times New Roman" w:hAnsi="Times New Roman" w:cs="Times New Roman"/>
          <w:i/>
          <w:iCs/>
          <w:sz w:val="20"/>
          <w:szCs w:val="20"/>
          <w:lang w:val="en-GB"/>
        </w:rPr>
      </w:pPr>
      <w:r>
        <w:rPr>
          <w:rFonts w:ascii="Times New Roman" w:hAnsi="Times New Roman" w:cs="Times New Roman"/>
          <w:i/>
          <w:iCs/>
          <w:sz w:val="20"/>
          <w:szCs w:val="20"/>
          <w:lang w:val="en-GB"/>
        </w:rPr>
        <w:t>Supplementary</w:t>
      </w:r>
      <w:r w:rsidRPr="00D30644">
        <w:rPr>
          <w:rFonts w:ascii="Times New Roman" w:hAnsi="Times New Roman" w:cs="Times New Roman"/>
          <w:i/>
          <w:iCs/>
          <w:sz w:val="20"/>
          <w:szCs w:val="20"/>
          <w:lang w:val="en-GB"/>
        </w:rPr>
        <w:t xml:space="preserve"> material of. </w:t>
      </w:r>
    </w:p>
    <w:p w14:paraId="3F0E650E" w14:textId="77777777" w:rsidR="00B302E8" w:rsidRDefault="00B302E8" w:rsidP="00B302E8">
      <w:pPr>
        <w:spacing w:before="180" w:line="360" w:lineRule="auto"/>
        <w:rPr>
          <w:rFonts w:ascii="Times New Roman" w:hAnsi="Times New Roman" w:cs="Times New Roman"/>
          <w:b/>
          <w:bCs/>
          <w:color w:val="000000" w:themeColor="text1"/>
          <w:lang w:val="en-GB"/>
        </w:rPr>
      </w:pPr>
      <w:r w:rsidRPr="009D6278">
        <w:rPr>
          <w:rFonts w:ascii="Times New Roman" w:hAnsi="Times New Roman" w:cs="Times New Roman"/>
          <w:b/>
          <w:bCs/>
          <w:color w:val="000000" w:themeColor="text1"/>
          <w:lang w:val="en-GB"/>
        </w:rPr>
        <w:t>Can the cropping systems of the Nile basin be adapted to climate change?</w:t>
      </w:r>
    </w:p>
    <w:p w14:paraId="7054C533" w14:textId="77777777" w:rsidR="00B73204" w:rsidRPr="00E8712F" w:rsidRDefault="00B73204" w:rsidP="00B73204">
      <w:pPr>
        <w:spacing w:before="180" w:line="360" w:lineRule="auto"/>
        <w:rPr>
          <w:rFonts w:ascii="Times New Roman" w:hAnsi="Times New Roman" w:cs="Times New Roman"/>
          <w:sz w:val="20"/>
          <w:szCs w:val="20"/>
          <w:lang w:val="de-DE"/>
        </w:rPr>
      </w:pPr>
      <w:r w:rsidRPr="00E8712F">
        <w:rPr>
          <w:rFonts w:ascii="Times New Roman" w:hAnsi="Times New Roman" w:cs="Times New Roman"/>
          <w:sz w:val="20"/>
          <w:szCs w:val="20"/>
          <w:lang w:val="de-DE"/>
        </w:rPr>
        <w:t>Albert Nkwasa</w:t>
      </w:r>
      <w:r w:rsidRPr="00E8712F">
        <w:rPr>
          <w:rFonts w:ascii="Times New Roman" w:hAnsi="Times New Roman" w:cs="Times New Roman"/>
          <w:sz w:val="20"/>
          <w:szCs w:val="20"/>
          <w:vertAlign w:val="superscript"/>
          <w:lang w:val="de-DE"/>
        </w:rPr>
        <w:t>1</w:t>
      </w:r>
      <w:r w:rsidRPr="00E8712F">
        <w:rPr>
          <w:rFonts w:ascii="Times New Roman" w:hAnsi="Times New Roman" w:cs="Times New Roman"/>
          <w:sz w:val="20"/>
          <w:szCs w:val="20"/>
          <w:lang w:val="de-DE"/>
        </w:rPr>
        <w:t>, Katharina Waha</w:t>
      </w:r>
      <w:r w:rsidRPr="00E8712F">
        <w:rPr>
          <w:rFonts w:ascii="Times New Roman" w:hAnsi="Times New Roman" w:cs="Times New Roman"/>
          <w:sz w:val="20"/>
          <w:szCs w:val="20"/>
          <w:vertAlign w:val="superscript"/>
          <w:lang w:val="de-DE"/>
        </w:rPr>
        <w:t>2</w:t>
      </w:r>
      <w:r w:rsidRPr="00E8712F">
        <w:rPr>
          <w:rFonts w:ascii="Times New Roman" w:hAnsi="Times New Roman" w:cs="Times New Roman"/>
          <w:sz w:val="20"/>
          <w:szCs w:val="20"/>
          <w:lang w:val="de-DE"/>
        </w:rPr>
        <w:t>, Ann van Griensven</w:t>
      </w:r>
      <w:r w:rsidRPr="00E8712F">
        <w:rPr>
          <w:rFonts w:ascii="Times New Roman" w:hAnsi="Times New Roman" w:cs="Times New Roman"/>
          <w:sz w:val="20"/>
          <w:szCs w:val="20"/>
          <w:vertAlign w:val="superscript"/>
          <w:lang w:val="de-DE"/>
        </w:rPr>
        <w:t xml:space="preserve">1,3 </w:t>
      </w:r>
    </w:p>
    <w:p w14:paraId="7F1E337A" w14:textId="77777777" w:rsidR="00B73204" w:rsidRPr="00E8712F" w:rsidRDefault="00B73204" w:rsidP="00B73204">
      <w:pPr>
        <w:pStyle w:val="Affiliation"/>
        <w:spacing w:line="360" w:lineRule="auto"/>
        <w:rPr>
          <w:szCs w:val="20"/>
          <w:lang w:val="de-DE"/>
        </w:rPr>
      </w:pPr>
      <w:r w:rsidRPr="00E8712F">
        <w:rPr>
          <w:szCs w:val="20"/>
          <w:vertAlign w:val="superscript"/>
          <w:lang w:val="de-DE"/>
        </w:rPr>
        <w:t xml:space="preserve">1 </w:t>
      </w:r>
      <w:proofErr w:type="spellStart"/>
      <w:r w:rsidRPr="00E8712F">
        <w:rPr>
          <w:szCs w:val="20"/>
          <w:lang w:val="de-DE"/>
        </w:rPr>
        <w:t>Hydrology</w:t>
      </w:r>
      <w:proofErr w:type="spellEnd"/>
      <w:r w:rsidRPr="00E8712F">
        <w:rPr>
          <w:szCs w:val="20"/>
          <w:lang w:val="de-DE"/>
        </w:rPr>
        <w:t xml:space="preserve"> and </w:t>
      </w:r>
      <w:proofErr w:type="spellStart"/>
      <w:r w:rsidRPr="00E8712F">
        <w:rPr>
          <w:szCs w:val="20"/>
          <w:lang w:val="de-DE"/>
        </w:rPr>
        <w:t>Hydraulic</w:t>
      </w:r>
      <w:proofErr w:type="spellEnd"/>
      <w:r w:rsidRPr="00E8712F">
        <w:rPr>
          <w:szCs w:val="20"/>
          <w:lang w:val="de-DE"/>
        </w:rPr>
        <w:t xml:space="preserve"> Engineering Department, </w:t>
      </w:r>
      <w:proofErr w:type="spellStart"/>
      <w:r w:rsidRPr="00E8712F">
        <w:rPr>
          <w:szCs w:val="20"/>
          <w:lang w:val="de-DE"/>
        </w:rPr>
        <w:t>Vrije</w:t>
      </w:r>
      <w:proofErr w:type="spellEnd"/>
      <w:r w:rsidRPr="00E8712F">
        <w:rPr>
          <w:szCs w:val="20"/>
          <w:lang w:val="de-DE"/>
        </w:rPr>
        <w:t xml:space="preserve"> </w:t>
      </w:r>
      <w:proofErr w:type="spellStart"/>
      <w:r w:rsidRPr="00E8712F">
        <w:rPr>
          <w:szCs w:val="20"/>
          <w:lang w:val="de-DE"/>
        </w:rPr>
        <w:t>Universiteit</w:t>
      </w:r>
      <w:proofErr w:type="spellEnd"/>
      <w:r w:rsidRPr="00E8712F">
        <w:rPr>
          <w:szCs w:val="20"/>
          <w:lang w:val="de-DE"/>
        </w:rPr>
        <w:t xml:space="preserve"> </w:t>
      </w:r>
      <w:proofErr w:type="spellStart"/>
      <w:r w:rsidRPr="00E8712F">
        <w:rPr>
          <w:szCs w:val="20"/>
          <w:lang w:val="de-DE"/>
        </w:rPr>
        <w:t>Brussel</w:t>
      </w:r>
      <w:proofErr w:type="spellEnd"/>
      <w:r w:rsidRPr="00E8712F">
        <w:rPr>
          <w:szCs w:val="20"/>
          <w:lang w:val="de-DE"/>
        </w:rPr>
        <w:t xml:space="preserve"> (VUB), 1050 </w:t>
      </w:r>
      <w:proofErr w:type="spellStart"/>
      <w:r w:rsidRPr="00E8712F">
        <w:rPr>
          <w:szCs w:val="20"/>
          <w:lang w:val="de-DE"/>
        </w:rPr>
        <w:t>Brussel</w:t>
      </w:r>
      <w:proofErr w:type="spellEnd"/>
      <w:r w:rsidRPr="00E8712F">
        <w:rPr>
          <w:szCs w:val="20"/>
          <w:lang w:val="de-DE"/>
        </w:rPr>
        <w:t xml:space="preserve">, </w:t>
      </w:r>
      <w:proofErr w:type="spellStart"/>
      <w:r w:rsidRPr="00E8712F">
        <w:rPr>
          <w:szCs w:val="20"/>
          <w:lang w:val="de-DE"/>
        </w:rPr>
        <w:t>Belgium</w:t>
      </w:r>
      <w:proofErr w:type="spellEnd"/>
    </w:p>
    <w:p w14:paraId="44A9DC8F" w14:textId="77777777" w:rsidR="00B73204" w:rsidRPr="00E8712F" w:rsidRDefault="00B73204" w:rsidP="00B73204">
      <w:pPr>
        <w:pStyle w:val="Affiliation"/>
        <w:spacing w:line="360" w:lineRule="auto"/>
        <w:rPr>
          <w:szCs w:val="20"/>
          <w:lang w:val="de-DE"/>
        </w:rPr>
      </w:pPr>
      <w:r w:rsidRPr="00E8712F">
        <w:rPr>
          <w:szCs w:val="20"/>
          <w:vertAlign w:val="superscript"/>
          <w:lang w:val="de-DE"/>
        </w:rPr>
        <w:t>2</w:t>
      </w:r>
      <w:r w:rsidRPr="00E8712F">
        <w:rPr>
          <w:szCs w:val="20"/>
          <w:lang w:val="de-DE"/>
        </w:rPr>
        <w:t xml:space="preserve">CSIRO, </w:t>
      </w:r>
      <w:proofErr w:type="spellStart"/>
      <w:r w:rsidRPr="00E8712F">
        <w:rPr>
          <w:szCs w:val="20"/>
          <w:lang w:val="de-DE"/>
        </w:rPr>
        <w:t>Agriculture</w:t>
      </w:r>
      <w:proofErr w:type="spellEnd"/>
      <w:r w:rsidRPr="00E8712F">
        <w:rPr>
          <w:szCs w:val="20"/>
          <w:lang w:val="de-DE"/>
        </w:rPr>
        <w:t xml:space="preserve"> &amp; Food, 306 </w:t>
      </w:r>
      <w:proofErr w:type="spellStart"/>
      <w:r w:rsidRPr="00E8712F">
        <w:rPr>
          <w:szCs w:val="20"/>
          <w:lang w:val="de-DE"/>
        </w:rPr>
        <w:t>Carmody</w:t>
      </w:r>
      <w:proofErr w:type="spellEnd"/>
      <w:r w:rsidRPr="00E8712F">
        <w:rPr>
          <w:szCs w:val="20"/>
          <w:lang w:val="de-DE"/>
        </w:rPr>
        <w:t xml:space="preserve"> </w:t>
      </w:r>
      <w:proofErr w:type="spellStart"/>
      <w:r w:rsidRPr="00E8712F">
        <w:rPr>
          <w:szCs w:val="20"/>
          <w:lang w:val="de-DE"/>
        </w:rPr>
        <w:t>Rd</w:t>
      </w:r>
      <w:proofErr w:type="spellEnd"/>
      <w:r w:rsidRPr="00E8712F">
        <w:rPr>
          <w:szCs w:val="20"/>
          <w:lang w:val="de-DE"/>
        </w:rPr>
        <w:t xml:space="preserve">, St Lucia, QLD, Australia </w:t>
      </w:r>
    </w:p>
    <w:p w14:paraId="437F42ED" w14:textId="77777777" w:rsidR="00B73204" w:rsidRPr="00923BBF" w:rsidRDefault="00B73204" w:rsidP="00B73204">
      <w:pPr>
        <w:spacing w:line="360" w:lineRule="auto"/>
        <w:rPr>
          <w:rFonts w:ascii="Times New Roman" w:hAnsi="Times New Roman" w:cs="Times New Roman"/>
          <w:sz w:val="20"/>
          <w:szCs w:val="20"/>
          <w:lang w:val="en-GB"/>
        </w:rPr>
      </w:pPr>
      <w:r w:rsidRPr="00923BBF">
        <w:rPr>
          <w:rFonts w:ascii="Times New Roman" w:hAnsi="Times New Roman" w:cs="Times New Roman"/>
          <w:sz w:val="20"/>
          <w:szCs w:val="20"/>
          <w:vertAlign w:val="superscript"/>
          <w:lang w:val="en-GB"/>
        </w:rPr>
        <w:t>3</w:t>
      </w:r>
      <w:r w:rsidRPr="00923BBF">
        <w:rPr>
          <w:rFonts w:ascii="Times New Roman" w:hAnsi="Times New Roman" w:cs="Times New Roman"/>
          <w:sz w:val="20"/>
          <w:szCs w:val="20"/>
          <w:lang w:val="en-GB"/>
        </w:rPr>
        <w:t xml:space="preserve"> Water Science &amp; Engineering Department, IHE Delft Institute for Water Education, 2611 AX Delft, The Netherlands</w:t>
      </w:r>
    </w:p>
    <w:p w14:paraId="043743EF" w14:textId="77777777" w:rsidR="00B73204" w:rsidRPr="00923BBF" w:rsidRDefault="00B73204" w:rsidP="00B73204">
      <w:pPr>
        <w:pStyle w:val="Correspondence"/>
        <w:spacing w:line="360" w:lineRule="auto"/>
        <w:rPr>
          <w:szCs w:val="20"/>
        </w:rPr>
      </w:pPr>
      <w:r w:rsidRPr="00923BBF">
        <w:rPr>
          <w:i/>
          <w:szCs w:val="20"/>
        </w:rPr>
        <w:t>Correspondence to</w:t>
      </w:r>
      <w:r w:rsidRPr="00923BBF">
        <w:rPr>
          <w:szCs w:val="20"/>
        </w:rPr>
        <w:t>: Albert Nkwasa (albert.nkwasa@vub.be)</w:t>
      </w:r>
    </w:p>
    <w:p w14:paraId="366F49DE" w14:textId="77777777" w:rsidR="002F5BAA" w:rsidRPr="00B73204" w:rsidRDefault="002F5BAA" w:rsidP="002F5BAA">
      <w:pPr>
        <w:spacing w:line="360" w:lineRule="auto"/>
        <w:jc w:val="both"/>
        <w:rPr>
          <w:rFonts w:ascii="Times New Roman" w:hAnsi="Times New Roman" w:cs="Times New Roman"/>
          <w:b/>
          <w:bCs/>
          <w:sz w:val="20"/>
          <w:szCs w:val="20"/>
          <w:lang w:val="en-GB"/>
        </w:rPr>
      </w:pPr>
    </w:p>
    <w:p w14:paraId="2C9D51FF" w14:textId="77777777" w:rsidR="002F5BAA" w:rsidRPr="00B73204" w:rsidRDefault="002F5BAA" w:rsidP="002F5BAA">
      <w:pPr>
        <w:spacing w:line="360" w:lineRule="auto"/>
        <w:jc w:val="both"/>
        <w:rPr>
          <w:rFonts w:ascii="Times New Roman" w:hAnsi="Times New Roman" w:cs="Times New Roman"/>
          <w:b/>
          <w:bCs/>
          <w:sz w:val="20"/>
          <w:szCs w:val="20"/>
        </w:rPr>
      </w:pPr>
    </w:p>
    <w:p w14:paraId="2752DD10" w14:textId="77777777" w:rsidR="002F5BAA" w:rsidRPr="00B73204" w:rsidRDefault="002F5BAA" w:rsidP="002F5BAA">
      <w:pPr>
        <w:spacing w:line="360" w:lineRule="auto"/>
        <w:jc w:val="both"/>
        <w:rPr>
          <w:rFonts w:ascii="Times New Roman" w:hAnsi="Times New Roman" w:cs="Times New Roman"/>
          <w:b/>
          <w:bCs/>
          <w:sz w:val="20"/>
          <w:szCs w:val="20"/>
        </w:rPr>
      </w:pPr>
    </w:p>
    <w:p w14:paraId="1EC753F1" w14:textId="77777777" w:rsidR="002F5BAA" w:rsidRPr="00B73204" w:rsidRDefault="002F5BAA" w:rsidP="002F5BAA">
      <w:pPr>
        <w:spacing w:line="360" w:lineRule="auto"/>
        <w:jc w:val="both"/>
        <w:rPr>
          <w:rFonts w:ascii="Times New Roman" w:hAnsi="Times New Roman" w:cs="Times New Roman"/>
          <w:b/>
          <w:bCs/>
          <w:sz w:val="20"/>
          <w:szCs w:val="20"/>
        </w:rPr>
      </w:pPr>
    </w:p>
    <w:p w14:paraId="7F795DF4" w14:textId="77777777" w:rsidR="002F5BAA" w:rsidRPr="00B73204" w:rsidRDefault="002F5BAA" w:rsidP="002F5BAA">
      <w:pPr>
        <w:spacing w:line="360" w:lineRule="auto"/>
        <w:jc w:val="both"/>
        <w:rPr>
          <w:rFonts w:ascii="Times New Roman" w:hAnsi="Times New Roman" w:cs="Times New Roman"/>
          <w:b/>
          <w:bCs/>
          <w:sz w:val="20"/>
          <w:szCs w:val="20"/>
        </w:rPr>
      </w:pPr>
    </w:p>
    <w:p w14:paraId="6BFFD3F0" w14:textId="77777777" w:rsidR="002F5BAA" w:rsidRPr="00B73204" w:rsidRDefault="002F5BAA" w:rsidP="002F5BAA">
      <w:pPr>
        <w:spacing w:line="360" w:lineRule="auto"/>
        <w:jc w:val="both"/>
        <w:rPr>
          <w:rFonts w:ascii="Times New Roman" w:hAnsi="Times New Roman" w:cs="Times New Roman"/>
          <w:b/>
          <w:bCs/>
          <w:sz w:val="20"/>
          <w:szCs w:val="20"/>
        </w:rPr>
      </w:pPr>
    </w:p>
    <w:p w14:paraId="567E47BB" w14:textId="77777777" w:rsidR="002F5BAA" w:rsidRPr="00B73204" w:rsidRDefault="002F5BAA" w:rsidP="002F5BAA">
      <w:pPr>
        <w:spacing w:line="360" w:lineRule="auto"/>
        <w:jc w:val="both"/>
        <w:rPr>
          <w:rFonts w:ascii="Times New Roman" w:hAnsi="Times New Roman" w:cs="Times New Roman"/>
          <w:b/>
          <w:bCs/>
          <w:sz w:val="20"/>
          <w:szCs w:val="20"/>
        </w:rPr>
      </w:pPr>
    </w:p>
    <w:p w14:paraId="298B3EA0" w14:textId="77777777" w:rsidR="002F5BAA" w:rsidRPr="00B73204" w:rsidRDefault="002F5BAA" w:rsidP="002F5BAA">
      <w:pPr>
        <w:spacing w:line="360" w:lineRule="auto"/>
        <w:jc w:val="both"/>
        <w:rPr>
          <w:rFonts w:ascii="Times New Roman" w:hAnsi="Times New Roman" w:cs="Times New Roman"/>
          <w:b/>
          <w:bCs/>
          <w:sz w:val="20"/>
          <w:szCs w:val="20"/>
        </w:rPr>
      </w:pPr>
    </w:p>
    <w:p w14:paraId="19AB252D" w14:textId="77777777" w:rsidR="002F5BAA" w:rsidRPr="00B73204" w:rsidRDefault="002F5BAA" w:rsidP="002F5BAA">
      <w:pPr>
        <w:spacing w:line="360" w:lineRule="auto"/>
        <w:jc w:val="both"/>
        <w:rPr>
          <w:rFonts w:ascii="Times New Roman" w:hAnsi="Times New Roman" w:cs="Times New Roman"/>
          <w:b/>
          <w:bCs/>
          <w:sz w:val="20"/>
          <w:szCs w:val="20"/>
        </w:rPr>
      </w:pPr>
    </w:p>
    <w:p w14:paraId="71FE1B73" w14:textId="77777777" w:rsidR="002F5BAA" w:rsidRPr="00B73204" w:rsidRDefault="002F5BAA" w:rsidP="002F5BAA">
      <w:pPr>
        <w:spacing w:line="360" w:lineRule="auto"/>
        <w:jc w:val="both"/>
        <w:rPr>
          <w:rFonts w:ascii="Times New Roman" w:hAnsi="Times New Roman" w:cs="Times New Roman"/>
          <w:b/>
          <w:bCs/>
          <w:sz w:val="20"/>
          <w:szCs w:val="20"/>
        </w:rPr>
      </w:pPr>
    </w:p>
    <w:p w14:paraId="2F48890A" w14:textId="77777777" w:rsidR="002F5BAA" w:rsidRPr="00B73204" w:rsidRDefault="002F5BAA" w:rsidP="002F5BAA">
      <w:pPr>
        <w:spacing w:line="360" w:lineRule="auto"/>
        <w:jc w:val="both"/>
        <w:rPr>
          <w:rFonts w:ascii="Times New Roman" w:hAnsi="Times New Roman" w:cs="Times New Roman"/>
          <w:b/>
          <w:bCs/>
          <w:sz w:val="20"/>
          <w:szCs w:val="20"/>
        </w:rPr>
      </w:pPr>
    </w:p>
    <w:p w14:paraId="7513F495" w14:textId="77777777" w:rsidR="002F5BAA" w:rsidRPr="00B73204" w:rsidRDefault="002F5BAA" w:rsidP="002F5BAA">
      <w:pPr>
        <w:spacing w:line="360" w:lineRule="auto"/>
        <w:jc w:val="both"/>
        <w:rPr>
          <w:rFonts w:ascii="Times New Roman" w:hAnsi="Times New Roman" w:cs="Times New Roman"/>
          <w:b/>
          <w:bCs/>
          <w:sz w:val="20"/>
          <w:szCs w:val="20"/>
        </w:rPr>
      </w:pPr>
    </w:p>
    <w:p w14:paraId="680D93DF" w14:textId="77777777" w:rsidR="002F5BAA" w:rsidRPr="00B73204" w:rsidRDefault="002F5BAA" w:rsidP="002F5BAA">
      <w:pPr>
        <w:spacing w:line="360" w:lineRule="auto"/>
        <w:jc w:val="both"/>
        <w:rPr>
          <w:rFonts w:ascii="Times New Roman" w:hAnsi="Times New Roman" w:cs="Times New Roman"/>
          <w:b/>
          <w:bCs/>
          <w:sz w:val="20"/>
          <w:szCs w:val="20"/>
        </w:rPr>
      </w:pPr>
    </w:p>
    <w:p w14:paraId="3E913860" w14:textId="77777777" w:rsidR="002F5BAA" w:rsidRPr="00B73204" w:rsidRDefault="002F5BAA" w:rsidP="002F5BAA">
      <w:pPr>
        <w:spacing w:line="360" w:lineRule="auto"/>
        <w:jc w:val="both"/>
        <w:rPr>
          <w:rFonts w:ascii="Times New Roman" w:hAnsi="Times New Roman" w:cs="Times New Roman"/>
          <w:b/>
          <w:bCs/>
          <w:sz w:val="20"/>
          <w:szCs w:val="20"/>
        </w:rPr>
      </w:pPr>
    </w:p>
    <w:p w14:paraId="1DD63C35" w14:textId="77777777" w:rsidR="002F5BAA" w:rsidRPr="00B73204" w:rsidRDefault="002F5BAA" w:rsidP="002F5BAA">
      <w:pPr>
        <w:spacing w:line="360" w:lineRule="auto"/>
        <w:jc w:val="both"/>
        <w:rPr>
          <w:rFonts w:ascii="Times New Roman" w:hAnsi="Times New Roman" w:cs="Times New Roman"/>
          <w:b/>
          <w:bCs/>
          <w:sz w:val="20"/>
          <w:szCs w:val="20"/>
        </w:rPr>
      </w:pPr>
    </w:p>
    <w:p w14:paraId="5DC68480" w14:textId="77777777" w:rsidR="002F5BAA" w:rsidRPr="00B73204" w:rsidRDefault="002F5BAA" w:rsidP="002F5BAA">
      <w:pPr>
        <w:spacing w:line="360" w:lineRule="auto"/>
        <w:jc w:val="both"/>
        <w:rPr>
          <w:rFonts w:ascii="Times New Roman" w:hAnsi="Times New Roman" w:cs="Times New Roman"/>
          <w:b/>
          <w:bCs/>
          <w:sz w:val="20"/>
          <w:szCs w:val="20"/>
        </w:rPr>
      </w:pPr>
    </w:p>
    <w:p w14:paraId="659A0C1E" w14:textId="77777777" w:rsidR="002F5BAA" w:rsidRPr="00B73204" w:rsidRDefault="002F5BAA" w:rsidP="002F5BAA">
      <w:pPr>
        <w:spacing w:line="360" w:lineRule="auto"/>
        <w:jc w:val="both"/>
        <w:rPr>
          <w:rFonts w:ascii="Times New Roman" w:hAnsi="Times New Roman" w:cs="Times New Roman"/>
          <w:b/>
          <w:bCs/>
          <w:sz w:val="20"/>
          <w:szCs w:val="20"/>
        </w:rPr>
      </w:pPr>
    </w:p>
    <w:p w14:paraId="7ACDEBE1" w14:textId="77777777" w:rsidR="002F5BAA" w:rsidRPr="00B73204" w:rsidRDefault="002F5BAA" w:rsidP="002F5BAA">
      <w:pPr>
        <w:spacing w:line="360" w:lineRule="auto"/>
        <w:jc w:val="both"/>
        <w:rPr>
          <w:rFonts w:ascii="Times New Roman" w:hAnsi="Times New Roman" w:cs="Times New Roman"/>
          <w:b/>
          <w:bCs/>
          <w:sz w:val="20"/>
          <w:szCs w:val="20"/>
        </w:rPr>
      </w:pPr>
    </w:p>
    <w:p w14:paraId="7D7CB6C2" w14:textId="4F88AC16" w:rsidR="002F5BAA" w:rsidRPr="001F07FF" w:rsidRDefault="002F5BAA" w:rsidP="002F5BAA">
      <w:pPr>
        <w:spacing w:line="360" w:lineRule="auto"/>
        <w:jc w:val="both"/>
        <w:rPr>
          <w:rFonts w:ascii="Times New Roman" w:hAnsi="Times New Roman" w:cs="Times New Roman"/>
          <w:b/>
          <w:bCs/>
          <w:sz w:val="20"/>
          <w:szCs w:val="20"/>
        </w:rPr>
      </w:pPr>
      <w:r w:rsidRPr="002F5BAA">
        <w:rPr>
          <w:rFonts w:ascii="Times New Roman" w:eastAsiaTheme="minorEastAsia" w:hAnsi="Times New Roman" w:cs="Times New Roman"/>
          <w:b/>
          <w:bCs/>
          <w:sz w:val="20"/>
          <w:szCs w:val="20"/>
        </w:rPr>
        <w:lastRenderedPageBreak/>
        <w:t>Supplementary material</w:t>
      </w:r>
      <w:r w:rsidRPr="001F07FF">
        <w:rPr>
          <w:rFonts w:ascii="Times New Roman" w:hAnsi="Times New Roman" w:cs="Times New Roman"/>
          <w:b/>
          <w:bCs/>
          <w:sz w:val="20"/>
          <w:szCs w:val="20"/>
        </w:rPr>
        <w:t xml:space="preserve"> </w:t>
      </w:r>
      <w:r>
        <w:rPr>
          <w:rFonts w:ascii="Times New Roman" w:hAnsi="Times New Roman" w:cs="Times New Roman"/>
          <w:b/>
          <w:bCs/>
          <w:sz w:val="20"/>
          <w:szCs w:val="20"/>
        </w:rPr>
        <w:t>B</w:t>
      </w:r>
      <w:r w:rsidRPr="001F07FF">
        <w:rPr>
          <w:rFonts w:ascii="Times New Roman" w:hAnsi="Times New Roman" w:cs="Times New Roman"/>
          <w:b/>
          <w:bCs/>
          <w:sz w:val="20"/>
          <w:szCs w:val="20"/>
        </w:rPr>
        <w:t xml:space="preserve">: </w:t>
      </w:r>
      <w:r w:rsidRPr="001F07FF">
        <w:rPr>
          <w:rFonts w:ascii="Times New Roman" w:eastAsiaTheme="minorEastAsia" w:hAnsi="Times New Roman" w:cs="Times New Roman"/>
          <w:b/>
          <w:bCs/>
          <w:sz w:val="20"/>
          <w:szCs w:val="20"/>
        </w:rPr>
        <w:t>Hydrological Mass Balance calibration (HMBC)</w:t>
      </w:r>
    </w:p>
    <w:p w14:paraId="347C3A0C" w14:textId="29C096F4" w:rsidR="002F5BAA" w:rsidRPr="001F07FF" w:rsidRDefault="002F5BAA" w:rsidP="002F5BAA">
      <w:pPr>
        <w:spacing w:line="360" w:lineRule="auto"/>
        <w:jc w:val="both"/>
        <w:rPr>
          <w:rFonts w:ascii="Times New Roman" w:hAnsi="Times New Roman" w:cs="Times New Roman"/>
          <w:sz w:val="20"/>
          <w:szCs w:val="20"/>
        </w:rPr>
      </w:pPr>
      <w:r w:rsidRPr="001F07FF">
        <w:rPr>
          <w:rFonts w:ascii="Times New Roman" w:eastAsiaTheme="minorEastAsia" w:hAnsi="Times New Roman" w:cs="Times New Roman"/>
          <w:sz w:val="20"/>
          <w:szCs w:val="20"/>
        </w:rPr>
        <w:t>HMBC utilizes soft data (information on individual processes e.g., surface runoff, ET and groundwater) to enhance the calibration process for large scale models at lower computation and time costs. In this study, t</w:t>
      </w:r>
      <w:r w:rsidRPr="001F07FF">
        <w:rPr>
          <w:rFonts w:ascii="Times New Roman" w:hAnsi="Times New Roman" w:cs="Times New Roman"/>
          <w:sz w:val="20"/>
          <w:szCs w:val="20"/>
        </w:rPr>
        <w:t xml:space="preserve">he surface runoff ratio, ET ratio and ground water ratio between the observed and simulated values improved towards the objective ratios derived from long-term data, resulting </w:t>
      </w:r>
      <w:r>
        <w:rPr>
          <w:rFonts w:ascii="Times New Roman" w:hAnsi="Times New Roman" w:cs="Times New Roman"/>
          <w:sz w:val="20"/>
          <w:szCs w:val="20"/>
        </w:rPr>
        <w:t>in</w:t>
      </w:r>
      <w:r w:rsidRPr="001F07FF">
        <w:rPr>
          <w:rFonts w:ascii="Times New Roman" w:hAnsi="Times New Roman" w:cs="Times New Roman"/>
          <w:sz w:val="20"/>
          <w:szCs w:val="20"/>
        </w:rPr>
        <w:t xml:space="preserve"> an improvement in the discharge simulations</w:t>
      </w:r>
      <w:r w:rsidRPr="001F07FF">
        <w:rPr>
          <w:rFonts w:ascii="Times New Roman" w:eastAsiaTheme="minorEastAsia" w:hAnsi="Times New Roman" w:cs="Times New Roman"/>
          <w:sz w:val="20"/>
          <w:szCs w:val="20"/>
        </w:rPr>
        <w:t>.</w:t>
      </w:r>
      <w:r w:rsidRPr="001F07FF">
        <w:rPr>
          <w:rFonts w:ascii="Times New Roman" w:hAnsi="Times New Roman" w:cs="Times New Roman"/>
          <w:sz w:val="20"/>
          <w:szCs w:val="20"/>
        </w:rPr>
        <w:t xml:space="preserve"> Fig</w:t>
      </w:r>
      <w:r w:rsidR="002670E4">
        <w:rPr>
          <w:rFonts w:ascii="Times New Roman" w:hAnsi="Times New Roman" w:cs="Times New Roman"/>
          <w:sz w:val="20"/>
          <w:szCs w:val="20"/>
        </w:rPr>
        <w:t>.</w:t>
      </w:r>
      <w:r w:rsidRPr="001F07FF">
        <w:rPr>
          <w:rFonts w:ascii="Times New Roman" w:hAnsi="Times New Roman" w:cs="Times New Roman"/>
          <w:sz w:val="20"/>
          <w:szCs w:val="20"/>
        </w:rPr>
        <w:t xml:space="preserve"> </w:t>
      </w:r>
      <w:r>
        <w:rPr>
          <w:rFonts w:ascii="Times New Roman" w:hAnsi="Times New Roman" w:cs="Times New Roman"/>
          <w:sz w:val="20"/>
          <w:szCs w:val="20"/>
        </w:rPr>
        <w:t>B</w:t>
      </w:r>
      <w:r w:rsidRPr="001F07FF">
        <w:rPr>
          <w:rFonts w:ascii="Times New Roman" w:hAnsi="Times New Roman" w:cs="Times New Roman"/>
          <w:sz w:val="20"/>
          <w:szCs w:val="20"/>
        </w:rPr>
        <w:t xml:space="preserve">1 (a) and (b) show the statistical comparison of discharge at the GRDC gauging stations with </w:t>
      </w:r>
      <w:r>
        <w:rPr>
          <w:rFonts w:ascii="Times New Roman" w:hAnsi="Times New Roman" w:cs="Times New Roman"/>
          <w:sz w:val="20"/>
          <w:szCs w:val="20"/>
        </w:rPr>
        <w:t>75% of the stations</w:t>
      </w:r>
      <w:r w:rsidRPr="001F07FF">
        <w:rPr>
          <w:rFonts w:ascii="Times New Roman" w:hAnsi="Times New Roman" w:cs="Times New Roman"/>
          <w:sz w:val="20"/>
          <w:szCs w:val="20"/>
        </w:rPr>
        <w:t xml:space="preserve"> having a</w:t>
      </w:r>
      <w:r>
        <w:rPr>
          <w:rFonts w:ascii="Times New Roman" w:hAnsi="Times New Roman" w:cs="Times New Roman"/>
          <w:sz w:val="20"/>
          <w:szCs w:val="20"/>
        </w:rPr>
        <w:t xml:space="preserve"> Nash Sutcliffe efficiency</w:t>
      </w:r>
      <w:r w:rsidRPr="001F07FF">
        <w:rPr>
          <w:rFonts w:ascii="Times New Roman" w:hAnsi="Times New Roman" w:cs="Times New Roman"/>
          <w:sz w:val="20"/>
          <w:szCs w:val="20"/>
        </w:rPr>
        <w:t xml:space="preserve"> </w:t>
      </w:r>
      <w:r>
        <w:rPr>
          <w:rFonts w:ascii="Times New Roman" w:hAnsi="Times New Roman" w:cs="Times New Roman"/>
          <w:sz w:val="20"/>
          <w:szCs w:val="20"/>
        </w:rPr>
        <w:t>(</w:t>
      </w:r>
      <w:r w:rsidRPr="001F07FF">
        <w:rPr>
          <w:rFonts w:ascii="Times New Roman" w:hAnsi="Times New Roman" w:cs="Times New Roman"/>
          <w:sz w:val="20"/>
          <w:szCs w:val="20"/>
        </w:rPr>
        <w:t>NSE</w:t>
      </w:r>
      <w:r>
        <w:rPr>
          <w:rFonts w:ascii="Times New Roman" w:hAnsi="Times New Roman" w:cs="Times New Roman"/>
          <w:sz w:val="20"/>
          <w:szCs w:val="20"/>
        </w:rPr>
        <w:t>) of</w:t>
      </w:r>
      <w:r w:rsidRPr="001F07FF">
        <w:rPr>
          <w:rFonts w:ascii="Times New Roman" w:hAnsi="Times New Roman" w:cs="Times New Roman"/>
          <w:sz w:val="20"/>
          <w:szCs w:val="20"/>
        </w:rPr>
        <w:t xml:space="preserve"> &gt; 0.</w:t>
      </w:r>
      <w:r>
        <w:rPr>
          <w:rFonts w:ascii="Times New Roman" w:hAnsi="Times New Roman" w:cs="Times New Roman"/>
          <w:sz w:val="20"/>
          <w:szCs w:val="20"/>
        </w:rPr>
        <w:t>1</w:t>
      </w:r>
      <w:r w:rsidRPr="001F07FF">
        <w:rPr>
          <w:rFonts w:ascii="Times New Roman" w:hAnsi="Times New Roman" w:cs="Times New Roman"/>
          <w:sz w:val="20"/>
          <w:szCs w:val="20"/>
        </w:rPr>
        <w:t>, a significant improvement to the default model results</w:t>
      </w:r>
      <w:r>
        <w:rPr>
          <w:rFonts w:ascii="Times New Roman" w:hAnsi="Times New Roman" w:cs="Times New Roman"/>
          <w:sz w:val="20"/>
          <w:szCs w:val="20"/>
        </w:rPr>
        <w:t xml:space="preserve"> with all stations having an NSE &lt; 0</w:t>
      </w:r>
      <w:r w:rsidRPr="001F07FF">
        <w:rPr>
          <w:rFonts w:ascii="Times New Roman" w:hAnsi="Times New Roman" w:cs="Times New Roman"/>
          <w:sz w:val="20"/>
          <w:szCs w:val="20"/>
        </w:rPr>
        <w:t xml:space="preserve">. </w:t>
      </w:r>
      <w:r>
        <w:rPr>
          <w:rFonts w:ascii="Times New Roman" w:hAnsi="Times New Roman" w:cs="Times New Roman"/>
          <w:sz w:val="20"/>
          <w:szCs w:val="20"/>
        </w:rPr>
        <w:t>In addition, 90% of the stations had a Percent of Bias (PBIAS) with in</w:t>
      </w:r>
      <w:r w:rsidRPr="0057734A">
        <w:rPr>
          <w:rFonts w:ascii="Times New Roman" w:hAnsi="Times New Roman" w:cs="Times New Roman"/>
          <w:sz w:val="20"/>
          <w:szCs w:val="20"/>
        </w:rPr>
        <w:t xml:space="preserve"> </w:t>
      </w:r>
      <w:r>
        <w:rPr>
          <w:rFonts w:ascii="Times New Roman" w:hAnsi="Times New Roman" w:cs="Times New Roman"/>
          <w:sz w:val="20"/>
          <w:szCs w:val="20"/>
        </w:rPr>
        <w:t>± 20%.</w:t>
      </w:r>
    </w:p>
    <w:p w14:paraId="1CCBA4B8" w14:textId="3379836C" w:rsidR="002F5BAA" w:rsidRPr="001F07FF" w:rsidRDefault="001C5087" w:rsidP="002F5BAA">
      <w:pPr>
        <w:keepNext/>
        <w:spacing w:after="0" w:line="360" w:lineRule="auto"/>
        <w:jc w:val="both"/>
        <w:rPr>
          <w:rFonts w:ascii="Times New Roman" w:hAnsi="Times New Roman" w:cs="Times New Roman"/>
          <w:color w:val="000000" w:themeColor="text1"/>
          <w:sz w:val="20"/>
          <w:szCs w:val="20"/>
        </w:rPr>
      </w:pPr>
      <w:r>
        <w:rPr>
          <w:noProof/>
        </w:rPr>
        <w:drawing>
          <wp:inline distT="0" distB="0" distL="0" distR="0" wp14:anchorId="5F31E6A4" wp14:editId="71955BC8">
            <wp:extent cx="5772150" cy="4439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3597" r="11703" b="4556"/>
                    <a:stretch/>
                  </pic:blipFill>
                  <pic:spPr bwMode="auto">
                    <a:xfrm>
                      <a:off x="0" y="0"/>
                      <a:ext cx="5784983" cy="4449094"/>
                    </a:xfrm>
                    <a:prstGeom prst="rect">
                      <a:avLst/>
                    </a:prstGeom>
                    <a:noFill/>
                    <a:ln>
                      <a:noFill/>
                    </a:ln>
                    <a:extLst>
                      <a:ext uri="{53640926-AAD7-44D8-BBD7-CCE9431645EC}">
                        <a14:shadowObscured xmlns:a14="http://schemas.microsoft.com/office/drawing/2010/main"/>
                      </a:ext>
                    </a:extLst>
                  </pic:spPr>
                </pic:pic>
              </a:graphicData>
            </a:graphic>
          </wp:inline>
        </w:drawing>
      </w:r>
    </w:p>
    <w:p w14:paraId="4B7AEFD3" w14:textId="29F5CB96" w:rsidR="002F5BAA" w:rsidRPr="001C5087" w:rsidRDefault="002F5BAA" w:rsidP="002F5BAA">
      <w:pPr>
        <w:pStyle w:val="Caption"/>
        <w:spacing w:line="360" w:lineRule="auto"/>
        <w:jc w:val="both"/>
        <w:rPr>
          <w:rFonts w:ascii="Times New Roman" w:hAnsi="Times New Roman" w:cs="Times New Roman"/>
          <w:i w:val="0"/>
          <w:iCs w:val="0"/>
          <w:color w:val="000000" w:themeColor="text1"/>
          <w:sz w:val="20"/>
          <w:szCs w:val="20"/>
        </w:rPr>
      </w:pPr>
      <w:r w:rsidRPr="001C5087">
        <w:rPr>
          <w:rFonts w:ascii="Times New Roman" w:hAnsi="Times New Roman" w:cs="Times New Roman"/>
          <w:b/>
          <w:bCs/>
          <w:i w:val="0"/>
          <w:iCs w:val="0"/>
          <w:color w:val="000000" w:themeColor="text1"/>
          <w:sz w:val="20"/>
          <w:szCs w:val="20"/>
        </w:rPr>
        <w:t>Fig</w:t>
      </w:r>
      <w:r w:rsidR="002670E4" w:rsidRPr="001C5087">
        <w:rPr>
          <w:rFonts w:ascii="Times New Roman" w:hAnsi="Times New Roman" w:cs="Times New Roman"/>
          <w:b/>
          <w:bCs/>
          <w:i w:val="0"/>
          <w:iCs w:val="0"/>
          <w:color w:val="000000" w:themeColor="text1"/>
          <w:sz w:val="20"/>
          <w:szCs w:val="20"/>
        </w:rPr>
        <w:t>.</w:t>
      </w:r>
      <w:r w:rsidRPr="001C5087">
        <w:rPr>
          <w:rFonts w:ascii="Times New Roman" w:hAnsi="Times New Roman" w:cs="Times New Roman"/>
          <w:b/>
          <w:bCs/>
          <w:i w:val="0"/>
          <w:iCs w:val="0"/>
          <w:color w:val="000000" w:themeColor="text1"/>
          <w:sz w:val="20"/>
          <w:szCs w:val="20"/>
        </w:rPr>
        <w:t xml:space="preserve"> B1</w:t>
      </w:r>
      <w:r w:rsidRPr="001C5087">
        <w:rPr>
          <w:rFonts w:ascii="Times New Roman" w:hAnsi="Times New Roman" w:cs="Times New Roman"/>
          <w:i w:val="0"/>
          <w:iCs w:val="0"/>
          <w:color w:val="000000" w:themeColor="text1"/>
          <w:sz w:val="20"/>
          <w:szCs w:val="20"/>
        </w:rPr>
        <w:t xml:space="preserve">: Model performance of NSE (a) and PBIAS (b) at flow gauging stations after implementing HMBC (A – default model and B – revised model) (extract from </w:t>
      </w:r>
      <w:r w:rsidR="001C5087" w:rsidRPr="001C5087">
        <w:rPr>
          <w:rFonts w:ascii="Times New Roman" w:hAnsi="Times New Roman" w:cs="Times New Roman"/>
          <w:i w:val="0"/>
          <w:iCs w:val="0"/>
          <w:color w:val="000000" w:themeColor="text1"/>
          <w:sz w:val="20"/>
          <w:szCs w:val="20"/>
        </w:rPr>
        <w:fldChar w:fldCharType="begin"/>
      </w:r>
      <w:r w:rsidR="001C5087" w:rsidRPr="001C5087">
        <w:rPr>
          <w:rFonts w:ascii="Times New Roman" w:hAnsi="Times New Roman" w:cs="Times New Roman"/>
          <w:i w:val="0"/>
          <w:iCs w:val="0"/>
          <w:color w:val="000000" w:themeColor="text1"/>
          <w:sz w:val="20"/>
          <w:szCs w:val="20"/>
        </w:rPr>
        <w:instrText xml:space="preserve"> ADDIN ZOTERO_ITEM CSL_CITATION {"citationID":"GatQ3Pt1","properties":{"formattedCitation":"(Nkwasa et al., 2022)","plainCitation":"(Nkwasa et al., 2022)","noteIndex":0},"citationItems":[{"id":849,"uris":["http://zotero.org/users/4432747/items/AFDYL7MU"],"itemData":{"id":849,"type":"article-journal","abstract":"Study region\nNile basin.\nStudy focus\nSeveral studies have shown a relationship between climate change and changes in sediment yield. However, there are limited modeling applications that study this relationship at regional scales mainly due to data availability and computational cost. This study proposes a methodological framework using the SWAT+ model to predict and project sediment yield at a regional scale in data-scarce regions using global datasets. We implement a framework that (a) incorporates topographic factors from high/medium resolution DEMs (b) incorporates crop phenology data (c) introduces an areal threshold to linearize sediment yield in large model units and (d) apply a hydrological mass balance calibration. We test this methodology in the Nile Basin using a model application with (revised) and without (default) the framework under historical and future climate projections.\nNew hydrological insights for the region\nResults show improved sediment yield estimates in the revised model, both in absolute values and spatial distribution when compared to measured and reported estimates. The contemporary long term (1989 – 2019) annual mean sediment yield in the revised model was 1.79 t ha−1 yr−1 and projected to increase by 61 % (44 % more than the default estimates) in the future period (2071 – 2100), with the greatest sediment yield increase in the eastern part of the basin. Thus, the proposed framework improves and influences modeled and predicted sediment yield respectively.","container-title":"Journal of Hydrology: Regional Studies","DOI":"10.1016/j.ejrh.2022.101152","ISSN":"2214-5818","journalAbbreviation":"Journal of Hydrology: Regional Studies","language":"en","page":"101152","source":"ScienceDirect","title":"Regionalization of the SWAT+ model for projecting climate change impacts on sediment yield: An application in the Nile basin","title-short":"Regionalization of the SWAT+ model for projecting climate change impacts on sediment yield","volume":"42","author":[{"family":"Nkwasa","given":"Albert"},{"family":"Chawanda","given":"Celray James"},{"family":"Griensven","given":"Ann","non-dropping-particle":"van"}],"issued":{"date-parts":[["2022",8,1]]}}}],"schema":"https://github.com/citation-style-language/schema/raw/master/csl-citation.json"} </w:instrText>
      </w:r>
      <w:r w:rsidR="001C5087" w:rsidRPr="001C5087">
        <w:rPr>
          <w:rFonts w:ascii="Times New Roman" w:hAnsi="Times New Roman" w:cs="Times New Roman"/>
          <w:i w:val="0"/>
          <w:iCs w:val="0"/>
          <w:color w:val="000000" w:themeColor="text1"/>
          <w:sz w:val="20"/>
          <w:szCs w:val="20"/>
        </w:rPr>
        <w:fldChar w:fldCharType="separate"/>
      </w:r>
      <w:r w:rsidR="001C5087" w:rsidRPr="001C5087">
        <w:rPr>
          <w:rFonts w:ascii="Times New Roman" w:hAnsi="Times New Roman" w:cs="Times New Roman"/>
          <w:i w:val="0"/>
          <w:iCs w:val="0"/>
          <w:color w:val="000000" w:themeColor="text1"/>
          <w:sz w:val="20"/>
        </w:rPr>
        <w:t>Nkwasa et al., 2022)</w:t>
      </w:r>
      <w:r w:rsidR="001C5087" w:rsidRPr="001C5087">
        <w:rPr>
          <w:rFonts w:ascii="Times New Roman" w:hAnsi="Times New Roman" w:cs="Times New Roman"/>
          <w:i w:val="0"/>
          <w:iCs w:val="0"/>
          <w:color w:val="000000" w:themeColor="text1"/>
          <w:sz w:val="20"/>
          <w:szCs w:val="20"/>
        </w:rPr>
        <w:fldChar w:fldCharType="end"/>
      </w:r>
    </w:p>
    <w:p w14:paraId="3838562F" w14:textId="77777777" w:rsidR="002F5BAA" w:rsidRPr="001C5087" w:rsidRDefault="002F5BAA" w:rsidP="001C5087">
      <w:pPr>
        <w:spacing w:line="360" w:lineRule="auto"/>
        <w:jc w:val="both"/>
        <w:rPr>
          <w:rFonts w:ascii="Times New Roman" w:hAnsi="Times New Roman" w:cs="Times New Roman"/>
          <w:b/>
          <w:bCs/>
          <w:sz w:val="20"/>
          <w:szCs w:val="20"/>
          <w:lang w:val="nl-NL"/>
        </w:rPr>
      </w:pPr>
      <w:proofErr w:type="spellStart"/>
      <w:r w:rsidRPr="001C5087">
        <w:rPr>
          <w:rFonts w:ascii="Times New Roman" w:hAnsi="Times New Roman" w:cs="Times New Roman"/>
          <w:b/>
          <w:bCs/>
          <w:sz w:val="20"/>
          <w:szCs w:val="20"/>
          <w:lang w:val="nl-NL"/>
        </w:rPr>
        <w:t>References</w:t>
      </w:r>
      <w:proofErr w:type="spellEnd"/>
    </w:p>
    <w:p w14:paraId="41B8F1C8" w14:textId="77777777" w:rsidR="001C5087" w:rsidRPr="001C5087" w:rsidRDefault="001C5087" w:rsidP="001C5087">
      <w:pPr>
        <w:pStyle w:val="Bibliography"/>
        <w:spacing w:line="360" w:lineRule="auto"/>
        <w:jc w:val="both"/>
        <w:rPr>
          <w:rFonts w:ascii="Times New Roman" w:hAnsi="Times New Roman" w:cs="Times New Roman"/>
          <w:sz w:val="20"/>
          <w:szCs w:val="20"/>
        </w:rPr>
      </w:pPr>
      <w:r w:rsidRPr="001C5087">
        <w:rPr>
          <w:rFonts w:ascii="Times New Roman" w:hAnsi="Times New Roman" w:cs="Times New Roman"/>
          <w:sz w:val="20"/>
          <w:szCs w:val="20"/>
        </w:rPr>
        <w:fldChar w:fldCharType="begin"/>
      </w:r>
      <w:r w:rsidRPr="001C5087">
        <w:rPr>
          <w:rFonts w:ascii="Times New Roman" w:hAnsi="Times New Roman" w:cs="Times New Roman"/>
          <w:sz w:val="20"/>
          <w:szCs w:val="20"/>
          <w:lang w:val="nl-NL"/>
        </w:rPr>
        <w:instrText xml:space="preserve"> ADDIN ZOTERO_BIBL {"uncited":[],"omitted":[],"custom":[]} CSL_BIBLIOGRAPHY </w:instrText>
      </w:r>
      <w:r w:rsidRPr="001C5087">
        <w:rPr>
          <w:rFonts w:ascii="Times New Roman" w:hAnsi="Times New Roman" w:cs="Times New Roman"/>
          <w:sz w:val="20"/>
          <w:szCs w:val="20"/>
        </w:rPr>
        <w:fldChar w:fldCharType="separate"/>
      </w:r>
      <w:r w:rsidRPr="001C5087">
        <w:rPr>
          <w:rFonts w:ascii="Times New Roman" w:hAnsi="Times New Roman" w:cs="Times New Roman"/>
          <w:sz w:val="20"/>
          <w:szCs w:val="20"/>
          <w:lang w:val="nl-NL"/>
        </w:rPr>
        <w:t xml:space="preserve">Nkwasa, A., Chawanda, C.J., van Griensven, A., 2022. </w:t>
      </w:r>
      <w:r w:rsidRPr="001C5087">
        <w:rPr>
          <w:rFonts w:ascii="Times New Roman" w:hAnsi="Times New Roman" w:cs="Times New Roman"/>
          <w:sz w:val="20"/>
          <w:szCs w:val="20"/>
        </w:rPr>
        <w:t>Regionalization of the SWAT+ model for projecting climate change impacts on sediment yield: An application in the Nile basin. J. Hydrol. Reg. Stud. 42, 101152. https://doi.org/10.1016/j.ejrh.2022.101152</w:t>
      </w:r>
    </w:p>
    <w:p w14:paraId="4DEDB41F" w14:textId="11C9E310" w:rsidR="00322B5E" w:rsidRDefault="001C5087" w:rsidP="001C5087">
      <w:pPr>
        <w:spacing w:line="360" w:lineRule="auto"/>
        <w:jc w:val="both"/>
      </w:pPr>
      <w:r w:rsidRPr="001C5087">
        <w:rPr>
          <w:rFonts w:ascii="Times New Roman" w:hAnsi="Times New Roman" w:cs="Times New Roman"/>
          <w:sz w:val="20"/>
          <w:szCs w:val="20"/>
        </w:rPr>
        <w:fldChar w:fldCharType="end"/>
      </w:r>
    </w:p>
    <w:sectPr w:rsidR="00322B5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017D0" w14:textId="77777777" w:rsidR="00597AD5" w:rsidRDefault="00597AD5" w:rsidP="00625928">
      <w:pPr>
        <w:spacing w:after="0" w:line="240" w:lineRule="auto"/>
      </w:pPr>
      <w:r>
        <w:separator/>
      </w:r>
    </w:p>
  </w:endnote>
  <w:endnote w:type="continuationSeparator" w:id="0">
    <w:p w14:paraId="27EF8275" w14:textId="77777777" w:rsidR="00597AD5" w:rsidRDefault="00597AD5" w:rsidP="00625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368087"/>
      <w:docPartObj>
        <w:docPartGallery w:val="Page Numbers (Bottom of Page)"/>
        <w:docPartUnique/>
      </w:docPartObj>
    </w:sdtPr>
    <w:sdtEndPr>
      <w:rPr>
        <w:rFonts w:ascii="Times New Roman" w:hAnsi="Times New Roman" w:cs="Times New Roman"/>
        <w:noProof/>
        <w:color w:val="000000" w:themeColor="text1"/>
        <w:sz w:val="20"/>
        <w:szCs w:val="20"/>
      </w:rPr>
    </w:sdtEndPr>
    <w:sdtContent>
      <w:p w14:paraId="252E29FA" w14:textId="4B5E44CA" w:rsidR="00625928" w:rsidRPr="00625928" w:rsidRDefault="00625928">
        <w:pPr>
          <w:pStyle w:val="Footer"/>
          <w:jc w:val="right"/>
          <w:rPr>
            <w:rFonts w:ascii="Times New Roman" w:hAnsi="Times New Roman" w:cs="Times New Roman"/>
            <w:color w:val="000000" w:themeColor="text1"/>
            <w:sz w:val="20"/>
            <w:szCs w:val="20"/>
          </w:rPr>
        </w:pPr>
        <w:r w:rsidRPr="00625928">
          <w:rPr>
            <w:rFonts w:ascii="Times New Roman" w:hAnsi="Times New Roman" w:cs="Times New Roman"/>
            <w:color w:val="000000" w:themeColor="text1"/>
            <w:sz w:val="20"/>
            <w:szCs w:val="20"/>
          </w:rPr>
          <w:fldChar w:fldCharType="begin"/>
        </w:r>
        <w:r w:rsidRPr="00625928">
          <w:rPr>
            <w:rFonts w:ascii="Times New Roman" w:hAnsi="Times New Roman" w:cs="Times New Roman"/>
            <w:color w:val="000000" w:themeColor="text1"/>
            <w:sz w:val="20"/>
            <w:szCs w:val="20"/>
          </w:rPr>
          <w:instrText xml:space="preserve"> PAGE   \* MERGEFORMAT </w:instrText>
        </w:r>
        <w:r w:rsidRPr="00625928">
          <w:rPr>
            <w:rFonts w:ascii="Times New Roman" w:hAnsi="Times New Roman" w:cs="Times New Roman"/>
            <w:color w:val="000000" w:themeColor="text1"/>
            <w:sz w:val="20"/>
            <w:szCs w:val="20"/>
          </w:rPr>
          <w:fldChar w:fldCharType="separate"/>
        </w:r>
        <w:r w:rsidRPr="00625928">
          <w:rPr>
            <w:rFonts w:ascii="Times New Roman" w:hAnsi="Times New Roman" w:cs="Times New Roman"/>
            <w:noProof/>
            <w:color w:val="000000" w:themeColor="text1"/>
            <w:sz w:val="20"/>
            <w:szCs w:val="20"/>
          </w:rPr>
          <w:t>2</w:t>
        </w:r>
        <w:r w:rsidRPr="00625928">
          <w:rPr>
            <w:rFonts w:ascii="Times New Roman" w:hAnsi="Times New Roman" w:cs="Times New Roman"/>
            <w:noProof/>
            <w:color w:val="000000" w:themeColor="text1"/>
            <w:sz w:val="20"/>
            <w:szCs w:val="20"/>
          </w:rPr>
          <w:fldChar w:fldCharType="end"/>
        </w:r>
      </w:p>
    </w:sdtContent>
  </w:sdt>
  <w:p w14:paraId="30D4B4C4" w14:textId="77777777" w:rsidR="00625928" w:rsidRDefault="006259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B3FE1" w14:textId="77777777" w:rsidR="00597AD5" w:rsidRDefault="00597AD5" w:rsidP="00625928">
      <w:pPr>
        <w:spacing w:after="0" w:line="240" w:lineRule="auto"/>
      </w:pPr>
      <w:r>
        <w:separator/>
      </w:r>
    </w:p>
  </w:footnote>
  <w:footnote w:type="continuationSeparator" w:id="0">
    <w:p w14:paraId="51887367" w14:textId="77777777" w:rsidR="00597AD5" w:rsidRDefault="00597AD5" w:rsidP="006259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BAA"/>
    <w:rsid w:val="001C5087"/>
    <w:rsid w:val="002670E4"/>
    <w:rsid w:val="002D4984"/>
    <w:rsid w:val="002F5BAA"/>
    <w:rsid w:val="00322B5E"/>
    <w:rsid w:val="00597AD5"/>
    <w:rsid w:val="005B0D5C"/>
    <w:rsid w:val="00625928"/>
    <w:rsid w:val="00AC3BF5"/>
    <w:rsid w:val="00B302E8"/>
    <w:rsid w:val="00B73204"/>
    <w:rsid w:val="00EB4AE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B5052"/>
  <w15:chartTrackingRefBased/>
  <w15:docId w15:val="{CE863DB8-411A-4977-8620-F3B03AECA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BA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respondence">
    <w:name w:val="Correspondence"/>
    <w:basedOn w:val="Normal"/>
    <w:link w:val="CorrespondenceChar"/>
    <w:qFormat/>
    <w:rsid w:val="002F5BAA"/>
    <w:pPr>
      <w:spacing w:before="120" w:after="360" w:line="240" w:lineRule="auto"/>
      <w:jc w:val="both"/>
    </w:pPr>
    <w:rPr>
      <w:rFonts w:ascii="Times New Roman" w:eastAsia="Times New Roman" w:hAnsi="Times New Roman" w:cs="Times New Roman"/>
      <w:sz w:val="20"/>
      <w:szCs w:val="24"/>
      <w:lang w:val="en-GB" w:eastAsia="de-DE"/>
    </w:rPr>
  </w:style>
  <w:style w:type="character" w:customStyle="1" w:styleId="CorrespondenceChar">
    <w:name w:val="Correspondence Char"/>
    <w:basedOn w:val="DefaultParagraphFont"/>
    <w:link w:val="Correspondence"/>
    <w:rsid w:val="002F5BAA"/>
    <w:rPr>
      <w:rFonts w:ascii="Times New Roman" w:eastAsia="Times New Roman" w:hAnsi="Times New Roman" w:cs="Times New Roman"/>
      <w:sz w:val="20"/>
      <w:szCs w:val="24"/>
      <w:lang w:val="en-GB" w:eastAsia="de-DE"/>
    </w:rPr>
  </w:style>
  <w:style w:type="paragraph" w:styleId="Caption">
    <w:name w:val="caption"/>
    <w:basedOn w:val="Normal"/>
    <w:next w:val="Normal"/>
    <w:uiPriority w:val="35"/>
    <w:unhideWhenUsed/>
    <w:qFormat/>
    <w:rsid w:val="002F5BAA"/>
    <w:pPr>
      <w:spacing w:after="200" w:line="240" w:lineRule="auto"/>
    </w:pPr>
    <w:rPr>
      <w:i/>
      <w:iCs/>
      <w:color w:val="44546A" w:themeColor="text2"/>
      <w:sz w:val="18"/>
      <w:szCs w:val="18"/>
    </w:rPr>
  </w:style>
  <w:style w:type="paragraph" w:styleId="Bibliography">
    <w:name w:val="Bibliography"/>
    <w:basedOn w:val="Normal"/>
    <w:next w:val="Normal"/>
    <w:uiPriority w:val="37"/>
    <w:unhideWhenUsed/>
    <w:rsid w:val="002F5BAA"/>
    <w:pPr>
      <w:spacing w:after="0" w:line="240" w:lineRule="auto"/>
      <w:ind w:left="720" w:hanging="720"/>
    </w:pPr>
  </w:style>
  <w:style w:type="paragraph" w:styleId="Header">
    <w:name w:val="header"/>
    <w:basedOn w:val="Normal"/>
    <w:link w:val="HeaderChar"/>
    <w:uiPriority w:val="99"/>
    <w:unhideWhenUsed/>
    <w:rsid w:val="006259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5928"/>
    <w:rPr>
      <w:lang w:val="en-US"/>
    </w:rPr>
  </w:style>
  <w:style w:type="paragraph" w:styleId="Footer">
    <w:name w:val="footer"/>
    <w:basedOn w:val="Normal"/>
    <w:link w:val="FooterChar"/>
    <w:uiPriority w:val="99"/>
    <w:unhideWhenUsed/>
    <w:rsid w:val="006259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5928"/>
    <w:rPr>
      <w:lang w:val="en-US"/>
    </w:rPr>
  </w:style>
  <w:style w:type="paragraph" w:customStyle="1" w:styleId="Affiliation">
    <w:name w:val="Affiliation"/>
    <w:basedOn w:val="Normal"/>
    <w:link w:val="AffiliationChar"/>
    <w:qFormat/>
    <w:rsid w:val="00B73204"/>
    <w:pPr>
      <w:spacing w:before="120" w:after="0" w:line="240" w:lineRule="auto"/>
      <w:contextualSpacing/>
      <w:jc w:val="both"/>
    </w:pPr>
    <w:rPr>
      <w:rFonts w:ascii="Times New Roman" w:eastAsia="Times New Roman" w:hAnsi="Times New Roman" w:cs="Times New Roman"/>
      <w:sz w:val="20"/>
      <w:szCs w:val="24"/>
      <w:lang w:val="en-GB" w:eastAsia="de-DE"/>
    </w:rPr>
  </w:style>
  <w:style w:type="character" w:customStyle="1" w:styleId="AffiliationChar">
    <w:name w:val="Affiliation Char"/>
    <w:basedOn w:val="DefaultParagraphFont"/>
    <w:link w:val="Affiliation"/>
    <w:rsid w:val="00B73204"/>
    <w:rPr>
      <w:rFonts w:ascii="Times New Roman" w:eastAsia="Times New Roman" w:hAnsi="Times New Roman" w:cs="Times New Roman"/>
      <w:sz w:val="20"/>
      <w:szCs w:val="24"/>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700</Words>
  <Characters>3856</Characters>
  <Application>Microsoft Office Word</Application>
  <DocSecurity>0</DocSecurity>
  <Lines>32</Lines>
  <Paragraphs>9</Paragraphs>
  <ScaleCrop>false</ScaleCrop>
  <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Nkwasa</dc:creator>
  <cp:keywords/>
  <dc:description/>
  <cp:lastModifiedBy>Albert Nkwasa</cp:lastModifiedBy>
  <cp:revision>9</cp:revision>
  <dcterms:created xsi:type="dcterms:W3CDTF">2022-03-20T20:20:00Z</dcterms:created>
  <dcterms:modified xsi:type="dcterms:W3CDTF">2022-11-21T12:49:00Z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zotero-version="6.0.10"&gt;&lt;session id="xwITGdHM"/&gt;&lt;style id="http://www.zotero.org/styles/journal-of-hydrology"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ies>
</file>