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6B1B9" w14:textId="77777777" w:rsidR="00D71E48" w:rsidRPr="00F77EF9" w:rsidRDefault="00D71E48" w:rsidP="00D71E48">
      <w:pPr>
        <w:rPr>
          <w:rFonts w:ascii="Times New Roman" w:hAnsi="Times New Roman" w:cs="Times New Roman"/>
          <w:sz w:val="20"/>
          <w:szCs w:val="20"/>
        </w:rPr>
      </w:pPr>
      <w:r w:rsidRPr="00F77EF9">
        <w:rPr>
          <w:rFonts w:ascii="Times New Roman" w:hAnsi="Times New Roman" w:cs="Times New Roman"/>
          <w:b/>
          <w:bCs/>
          <w:sz w:val="20"/>
          <w:szCs w:val="20"/>
        </w:rPr>
        <w:t>Journal name:</w:t>
      </w:r>
      <w:r w:rsidRPr="00F77EF9">
        <w:rPr>
          <w:rFonts w:ascii="Times New Roman" w:hAnsi="Times New Roman" w:cs="Times New Roman"/>
          <w:sz w:val="20"/>
          <w:szCs w:val="20"/>
        </w:rPr>
        <w:t xml:space="preserve"> Regional Environmental Change</w:t>
      </w:r>
    </w:p>
    <w:p w14:paraId="13ECC7EC" w14:textId="77777777" w:rsidR="00D71E48" w:rsidRDefault="00D71E48" w:rsidP="00D71E48">
      <w:pPr>
        <w:spacing w:line="360" w:lineRule="auto"/>
        <w:jc w:val="both"/>
        <w:rPr>
          <w:rFonts w:ascii="Times New Roman" w:hAnsi="Times New Roman" w:cs="Times New Roman"/>
          <w:i/>
          <w:iCs/>
          <w:sz w:val="20"/>
          <w:szCs w:val="20"/>
          <w:lang w:val="en-GB"/>
        </w:rPr>
      </w:pPr>
    </w:p>
    <w:p w14:paraId="7DBE67AC" w14:textId="77777777" w:rsidR="00D71E48" w:rsidRPr="00D30644" w:rsidRDefault="00D71E48" w:rsidP="00D71E48">
      <w:pPr>
        <w:spacing w:line="360" w:lineRule="auto"/>
        <w:jc w:val="both"/>
        <w:rPr>
          <w:rFonts w:ascii="Times New Roman" w:hAnsi="Times New Roman" w:cs="Times New Roman"/>
          <w:i/>
          <w:iCs/>
          <w:sz w:val="20"/>
          <w:szCs w:val="20"/>
          <w:lang w:val="en-GB"/>
        </w:rPr>
      </w:pPr>
      <w:r>
        <w:rPr>
          <w:rFonts w:ascii="Times New Roman" w:hAnsi="Times New Roman" w:cs="Times New Roman"/>
          <w:i/>
          <w:iCs/>
          <w:sz w:val="20"/>
          <w:szCs w:val="20"/>
          <w:lang w:val="en-GB"/>
        </w:rPr>
        <w:t>Supplementary</w:t>
      </w:r>
      <w:r w:rsidRPr="00D30644">
        <w:rPr>
          <w:rFonts w:ascii="Times New Roman" w:hAnsi="Times New Roman" w:cs="Times New Roman"/>
          <w:i/>
          <w:iCs/>
          <w:sz w:val="20"/>
          <w:szCs w:val="20"/>
          <w:lang w:val="en-GB"/>
        </w:rPr>
        <w:t xml:space="preserve"> material of. </w:t>
      </w:r>
    </w:p>
    <w:p w14:paraId="783B73ED" w14:textId="77777777" w:rsidR="00B224E3" w:rsidRDefault="00B224E3" w:rsidP="00B224E3">
      <w:pPr>
        <w:spacing w:before="180" w:line="360" w:lineRule="auto"/>
        <w:rPr>
          <w:rFonts w:ascii="Times New Roman" w:hAnsi="Times New Roman" w:cs="Times New Roman"/>
          <w:b/>
          <w:bCs/>
          <w:color w:val="000000" w:themeColor="text1"/>
          <w:lang w:val="en-GB"/>
        </w:rPr>
      </w:pPr>
      <w:r w:rsidRPr="009D6278">
        <w:rPr>
          <w:rFonts w:ascii="Times New Roman" w:hAnsi="Times New Roman" w:cs="Times New Roman"/>
          <w:b/>
          <w:bCs/>
          <w:color w:val="000000" w:themeColor="text1"/>
          <w:lang w:val="en-GB"/>
        </w:rPr>
        <w:t>Can the cropping systems of the Nile basin be adapted to climate change?</w:t>
      </w:r>
    </w:p>
    <w:p w14:paraId="5CBE1A9E" w14:textId="77777777" w:rsidR="00D71E48" w:rsidRPr="00E8712F" w:rsidRDefault="00D71E48" w:rsidP="00D71E48">
      <w:pPr>
        <w:spacing w:before="180" w:line="360" w:lineRule="auto"/>
        <w:rPr>
          <w:rFonts w:ascii="Times New Roman" w:hAnsi="Times New Roman" w:cs="Times New Roman"/>
          <w:sz w:val="20"/>
          <w:szCs w:val="20"/>
          <w:lang w:val="de-DE"/>
        </w:rPr>
      </w:pPr>
      <w:r w:rsidRPr="00E8712F">
        <w:rPr>
          <w:rFonts w:ascii="Times New Roman" w:hAnsi="Times New Roman" w:cs="Times New Roman"/>
          <w:sz w:val="20"/>
          <w:szCs w:val="20"/>
          <w:lang w:val="de-DE"/>
        </w:rPr>
        <w:t>Albert Nkwasa</w:t>
      </w:r>
      <w:r w:rsidRPr="00E8712F">
        <w:rPr>
          <w:rFonts w:ascii="Times New Roman" w:hAnsi="Times New Roman" w:cs="Times New Roman"/>
          <w:sz w:val="20"/>
          <w:szCs w:val="20"/>
          <w:vertAlign w:val="superscript"/>
          <w:lang w:val="de-DE"/>
        </w:rPr>
        <w:t>1</w:t>
      </w:r>
      <w:r w:rsidRPr="00E8712F">
        <w:rPr>
          <w:rFonts w:ascii="Times New Roman" w:hAnsi="Times New Roman" w:cs="Times New Roman"/>
          <w:sz w:val="20"/>
          <w:szCs w:val="20"/>
          <w:lang w:val="de-DE"/>
        </w:rPr>
        <w:t>, Katharina Waha</w:t>
      </w:r>
      <w:r w:rsidRPr="00E8712F">
        <w:rPr>
          <w:rFonts w:ascii="Times New Roman" w:hAnsi="Times New Roman" w:cs="Times New Roman"/>
          <w:sz w:val="20"/>
          <w:szCs w:val="20"/>
          <w:vertAlign w:val="superscript"/>
          <w:lang w:val="de-DE"/>
        </w:rPr>
        <w:t>2</w:t>
      </w:r>
      <w:r w:rsidRPr="00E8712F">
        <w:rPr>
          <w:rFonts w:ascii="Times New Roman" w:hAnsi="Times New Roman" w:cs="Times New Roman"/>
          <w:sz w:val="20"/>
          <w:szCs w:val="20"/>
          <w:lang w:val="de-DE"/>
        </w:rPr>
        <w:t>, Ann van Griensven</w:t>
      </w:r>
      <w:r w:rsidRPr="00E8712F">
        <w:rPr>
          <w:rFonts w:ascii="Times New Roman" w:hAnsi="Times New Roman" w:cs="Times New Roman"/>
          <w:sz w:val="20"/>
          <w:szCs w:val="20"/>
          <w:vertAlign w:val="superscript"/>
          <w:lang w:val="de-DE"/>
        </w:rPr>
        <w:t xml:space="preserve">1,3 </w:t>
      </w:r>
    </w:p>
    <w:p w14:paraId="0410078E" w14:textId="77777777" w:rsidR="00D71E48" w:rsidRPr="00E8712F" w:rsidRDefault="00D71E48" w:rsidP="00D71E48">
      <w:pPr>
        <w:pStyle w:val="Affiliation"/>
        <w:spacing w:line="360" w:lineRule="auto"/>
        <w:rPr>
          <w:szCs w:val="20"/>
          <w:lang w:val="de-DE"/>
        </w:rPr>
      </w:pPr>
      <w:r w:rsidRPr="00E8712F">
        <w:rPr>
          <w:szCs w:val="20"/>
          <w:vertAlign w:val="superscript"/>
          <w:lang w:val="de-DE"/>
        </w:rPr>
        <w:t xml:space="preserve">1 </w:t>
      </w:r>
      <w:r w:rsidRPr="00E8712F">
        <w:rPr>
          <w:szCs w:val="20"/>
          <w:lang w:val="de-DE"/>
        </w:rPr>
        <w:t>Hydrology and Hydraulic Engineering Department, Vrije Universiteit Brussel (VUB), 1050 Brussel, Belgium</w:t>
      </w:r>
    </w:p>
    <w:p w14:paraId="75FE7221" w14:textId="77777777" w:rsidR="00D71E48" w:rsidRPr="00E8712F" w:rsidRDefault="00D71E48" w:rsidP="00D71E48">
      <w:pPr>
        <w:pStyle w:val="Affiliation"/>
        <w:spacing w:line="360" w:lineRule="auto"/>
        <w:rPr>
          <w:szCs w:val="20"/>
          <w:lang w:val="de-DE"/>
        </w:rPr>
      </w:pPr>
      <w:r w:rsidRPr="00E8712F">
        <w:rPr>
          <w:szCs w:val="20"/>
          <w:vertAlign w:val="superscript"/>
          <w:lang w:val="de-DE"/>
        </w:rPr>
        <w:t>2</w:t>
      </w:r>
      <w:r w:rsidRPr="00E8712F">
        <w:rPr>
          <w:szCs w:val="20"/>
          <w:lang w:val="de-DE"/>
        </w:rPr>
        <w:t xml:space="preserve">CSIRO, Agriculture &amp; Food, 306 Carmody Rd, St Lucia, QLD, Australia </w:t>
      </w:r>
    </w:p>
    <w:p w14:paraId="3D6D47E3" w14:textId="77777777" w:rsidR="00D71E48" w:rsidRPr="00923BBF" w:rsidRDefault="00D71E48" w:rsidP="00D71E48">
      <w:pPr>
        <w:spacing w:line="360" w:lineRule="auto"/>
        <w:rPr>
          <w:rFonts w:ascii="Times New Roman" w:hAnsi="Times New Roman" w:cs="Times New Roman"/>
          <w:sz w:val="20"/>
          <w:szCs w:val="20"/>
          <w:lang w:val="en-GB"/>
        </w:rPr>
      </w:pPr>
      <w:r w:rsidRPr="00923BBF">
        <w:rPr>
          <w:rFonts w:ascii="Times New Roman" w:hAnsi="Times New Roman" w:cs="Times New Roman"/>
          <w:sz w:val="20"/>
          <w:szCs w:val="20"/>
          <w:vertAlign w:val="superscript"/>
          <w:lang w:val="en-GB"/>
        </w:rPr>
        <w:t>3</w:t>
      </w:r>
      <w:r w:rsidRPr="00923BBF">
        <w:rPr>
          <w:rFonts w:ascii="Times New Roman" w:hAnsi="Times New Roman" w:cs="Times New Roman"/>
          <w:sz w:val="20"/>
          <w:szCs w:val="20"/>
          <w:lang w:val="en-GB"/>
        </w:rPr>
        <w:t xml:space="preserve"> Water Science &amp; Engineering Department, IHE Delft Institute for Water Education, 2611 AX Delft, The Netherlands</w:t>
      </w:r>
    </w:p>
    <w:p w14:paraId="246B9886" w14:textId="77777777" w:rsidR="00D71E48" w:rsidRPr="00923BBF" w:rsidRDefault="00D71E48" w:rsidP="00D71E48">
      <w:pPr>
        <w:pStyle w:val="Correspondence"/>
        <w:spacing w:line="360" w:lineRule="auto"/>
        <w:rPr>
          <w:szCs w:val="20"/>
        </w:rPr>
      </w:pPr>
      <w:r w:rsidRPr="00923BBF">
        <w:rPr>
          <w:i/>
          <w:szCs w:val="20"/>
        </w:rPr>
        <w:t>Correspondence to</w:t>
      </w:r>
      <w:r w:rsidRPr="00923BBF">
        <w:rPr>
          <w:szCs w:val="20"/>
        </w:rPr>
        <w:t>: Albert Nkwasa (albert.nkwasa@vub.be)</w:t>
      </w:r>
    </w:p>
    <w:p w14:paraId="352E2AA8" w14:textId="77777777" w:rsidR="005D4B52" w:rsidRPr="00D71E48" w:rsidRDefault="005D4B52" w:rsidP="005D4B52">
      <w:pPr>
        <w:spacing w:line="360" w:lineRule="auto"/>
        <w:jc w:val="both"/>
        <w:rPr>
          <w:rFonts w:ascii="Times New Roman" w:hAnsi="Times New Roman" w:cs="Times New Roman"/>
          <w:b/>
          <w:bCs/>
          <w:sz w:val="20"/>
          <w:szCs w:val="20"/>
          <w:lang w:val="en-GB"/>
        </w:rPr>
      </w:pPr>
    </w:p>
    <w:p w14:paraId="485A2DBC" w14:textId="77777777" w:rsidR="005D4B52" w:rsidRPr="00D71E48" w:rsidRDefault="005D4B52" w:rsidP="005D4B52">
      <w:pPr>
        <w:spacing w:line="360" w:lineRule="auto"/>
        <w:jc w:val="both"/>
        <w:rPr>
          <w:rFonts w:ascii="Times New Roman" w:hAnsi="Times New Roman" w:cs="Times New Roman"/>
          <w:b/>
          <w:bCs/>
          <w:sz w:val="20"/>
          <w:szCs w:val="20"/>
        </w:rPr>
      </w:pPr>
    </w:p>
    <w:p w14:paraId="07CEF1C4" w14:textId="77777777" w:rsidR="005D4B52" w:rsidRPr="00D71E48" w:rsidRDefault="005D4B52" w:rsidP="005D4B52">
      <w:pPr>
        <w:spacing w:line="360" w:lineRule="auto"/>
        <w:jc w:val="both"/>
        <w:rPr>
          <w:rFonts w:ascii="Times New Roman" w:hAnsi="Times New Roman" w:cs="Times New Roman"/>
          <w:b/>
          <w:bCs/>
          <w:sz w:val="20"/>
          <w:szCs w:val="20"/>
        </w:rPr>
      </w:pPr>
    </w:p>
    <w:p w14:paraId="70D9E400" w14:textId="77777777" w:rsidR="005D4B52" w:rsidRPr="00D71E48" w:rsidRDefault="005D4B52" w:rsidP="005D4B52">
      <w:pPr>
        <w:spacing w:line="360" w:lineRule="auto"/>
        <w:jc w:val="both"/>
        <w:rPr>
          <w:rFonts w:ascii="Times New Roman" w:hAnsi="Times New Roman" w:cs="Times New Roman"/>
          <w:b/>
          <w:bCs/>
          <w:sz w:val="20"/>
          <w:szCs w:val="20"/>
        </w:rPr>
      </w:pPr>
    </w:p>
    <w:p w14:paraId="6FDCB027" w14:textId="77777777" w:rsidR="005D4B52" w:rsidRPr="00D71E48" w:rsidRDefault="005D4B52" w:rsidP="005D4B52">
      <w:pPr>
        <w:spacing w:line="360" w:lineRule="auto"/>
        <w:jc w:val="both"/>
        <w:rPr>
          <w:rFonts w:ascii="Times New Roman" w:hAnsi="Times New Roman" w:cs="Times New Roman"/>
          <w:b/>
          <w:bCs/>
          <w:sz w:val="20"/>
          <w:szCs w:val="20"/>
        </w:rPr>
      </w:pPr>
    </w:p>
    <w:p w14:paraId="4F95B21F" w14:textId="77777777" w:rsidR="005D4B52" w:rsidRPr="00D71E48" w:rsidRDefault="005D4B52" w:rsidP="005D4B52">
      <w:pPr>
        <w:spacing w:line="360" w:lineRule="auto"/>
        <w:jc w:val="both"/>
        <w:rPr>
          <w:rFonts w:ascii="Times New Roman" w:hAnsi="Times New Roman" w:cs="Times New Roman"/>
          <w:b/>
          <w:bCs/>
          <w:sz w:val="20"/>
          <w:szCs w:val="20"/>
        </w:rPr>
      </w:pPr>
    </w:p>
    <w:p w14:paraId="56AEDC38" w14:textId="77777777" w:rsidR="005D4B52" w:rsidRPr="00D71E48" w:rsidRDefault="005D4B52" w:rsidP="005D4B52">
      <w:pPr>
        <w:spacing w:line="360" w:lineRule="auto"/>
        <w:jc w:val="both"/>
        <w:rPr>
          <w:rFonts w:ascii="Times New Roman" w:hAnsi="Times New Roman" w:cs="Times New Roman"/>
          <w:b/>
          <w:bCs/>
          <w:sz w:val="20"/>
          <w:szCs w:val="20"/>
        </w:rPr>
      </w:pPr>
    </w:p>
    <w:p w14:paraId="680BD856" w14:textId="77777777" w:rsidR="005D4B52" w:rsidRPr="00D71E48" w:rsidRDefault="005D4B52" w:rsidP="005D4B52">
      <w:pPr>
        <w:spacing w:line="360" w:lineRule="auto"/>
        <w:jc w:val="both"/>
        <w:rPr>
          <w:rFonts w:ascii="Times New Roman" w:hAnsi="Times New Roman" w:cs="Times New Roman"/>
          <w:b/>
          <w:bCs/>
          <w:sz w:val="20"/>
          <w:szCs w:val="20"/>
        </w:rPr>
      </w:pPr>
    </w:p>
    <w:p w14:paraId="5DB7D2BD" w14:textId="77777777" w:rsidR="005D4B52" w:rsidRPr="00D71E48" w:rsidRDefault="005D4B52" w:rsidP="005D4B52">
      <w:pPr>
        <w:spacing w:line="360" w:lineRule="auto"/>
        <w:jc w:val="both"/>
        <w:rPr>
          <w:rFonts w:ascii="Times New Roman" w:hAnsi="Times New Roman" w:cs="Times New Roman"/>
          <w:b/>
          <w:bCs/>
          <w:sz w:val="20"/>
          <w:szCs w:val="20"/>
        </w:rPr>
      </w:pPr>
    </w:p>
    <w:p w14:paraId="111A25BC" w14:textId="77777777" w:rsidR="005D4B52" w:rsidRPr="00D71E48" w:rsidRDefault="005D4B52" w:rsidP="005D4B52">
      <w:pPr>
        <w:spacing w:line="360" w:lineRule="auto"/>
        <w:jc w:val="both"/>
        <w:rPr>
          <w:rFonts w:ascii="Times New Roman" w:hAnsi="Times New Roman" w:cs="Times New Roman"/>
          <w:b/>
          <w:bCs/>
          <w:sz w:val="20"/>
          <w:szCs w:val="20"/>
        </w:rPr>
      </w:pPr>
    </w:p>
    <w:p w14:paraId="5E29A24B" w14:textId="77777777" w:rsidR="005D4B52" w:rsidRPr="00D71E48" w:rsidRDefault="005D4B52" w:rsidP="005D4B52">
      <w:pPr>
        <w:spacing w:line="360" w:lineRule="auto"/>
        <w:jc w:val="both"/>
        <w:rPr>
          <w:rFonts w:ascii="Times New Roman" w:hAnsi="Times New Roman" w:cs="Times New Roman"/>
          <w:b/>
          <w:bCs/>
          <w:sz w:val="20"/>
          <w:szCs w:val="20"/>
        </w:rPr>
      </w:pPr>
    </w:p>
    <w:p w14:paraId="10875F07" w14:textId="77777777" w:rsidR="005D4B52" w:rsidRPr="00D71E48" w:rsidRDefault="005D4B52" w:rsidP="005D4B52">
      <w:pPr>
        <w:spacing w:line="360" w:lineRule="auto"/>
        <w:jc w:val="both"/>
        <w:rPr>
          <w:rFonts w:ascii="Times New Roman" w:hAnsi="Times New Roman" w:cs="Times New Roman"/>
          <w:b/>
          <w:bCs/>
          <w:sz w:val="20"/>
          <w:szCs w:val="20"/>
        </w:rPr>
      </w:pPr>
    </w:p>
    <w:p w14:paraId="47D05347" w14:textId="77777777" w:rsidR="005D4B52" w:rsidRPr="00D71E48" w:rsidRDefault="005D4B52" w:rsidP="005D4B52">
      <w:pPr>
        <w:spacing w:line="360" w:lineRule="auto"/>
        <w:jc w:val="both"/>
        <w:rPr>
          <w:rFonts w:ascii="Times New Roman" w:hAnsi="Times New Roman" w:cs="Times New Roman"/>
          <w:b/>
          <w:bCs/>
          <w:sz w:val="20"/>
          <w:szCs w:val="20"/>
        </w:rPr>
      </w:pPr>
    </w:p>
    <w:p w14:paraId="0E35D3F4" w14:textId="77777777" w:rsidR="005D4B52" w:rsidRPr="00D71E48" w:rsidRDefault="005D4B52" w:rsidP="005D4B52">
      <w:pPr>
        <w:spacing w:line="360" w:lineRule="auto"/>
        <w:jc w:val="both"/>
        <w:rPr>
          <w:rFonts w:ascii="Times New Roman" w:hAnsi="Times New Roman" w:cs="Times New Roman"/>
          <w:b/>
          <w:bCs/>
          <w:sz w:val="20"/>
          <w:szCs w:val="20"/>
        </w:rPr>
      </w:pPr>
    </w:p>
    <w:p w14:paraId="216B894B" w14:textId="77777777" w:rsidR="005D4B52" w:rsidRPr="00D71E48" w:rsidRDefault="005D4B52" w:rsidP="005D4B52">
      <w:pPr>
        <w:spacing w:line="360" w:lineRule="auto"/>
        <w:jc w:val="both"/>
        <w:rPr>
          <w:rFonts w:ascii="Times New Roman" w:hAnsi="Times New Roman" w:cs="Times New Roman"/>
          <w:b/>
          <w:bCs/>
          <w:sz w:val="20"/>
          <w:szCs w:val="20"/>
        </w:rPr>
      </w:pPr>
    </w:p>
    <w:p w14:paraId="5A27FF34" w14:textId="77777777" w:rsidR="005D4B52" w:rsidRPr="00D71E48" w:rsidRDefault="005D4B52" w:rsidP="005D4B52">
      <w:pPr>
        <w:spacing w:line="360" w:lineRule="auto"/>
        <w:jc w:val="both"/>
        <w:rPr>
          <w:rFonts w:ascii="Times New Roman" w:hAnsi="Times New Roman" w:cs="Times New Roman"/>
          <w:b/>
          <w:bCs/>
          <w:sz w:val="20"/>
          <w:szCs w:val="20"/>
        </w:rPr>
      </w:pPr>
    </w:p>
    <w:p w14:paraId="16510416" w14:textId="77777777" w:rsidR="005D4B52" w:rsidRPr="00D71E48" w:rsidRDefault="005D4B52" w:rsidP="005D4B52">
      <w:pPr>
        <w:spacing w:line="360" w:lineRule="auto"/>
        <w:jc w:val="both"/>
        <w:rPr>
          <w:rFonts w:ascii="Times New Roman" w:hAnsi="Times New Roman" w:cs="Times New Roman"/>
          <w:b/>
          <w:bCs/>
          <w:sz w:val="20"/>
          <w:szCs w:val="20"/>
        </w:rPr>
      </w:pPr>
    </w:p>
    <w:p w14:paraId="2501AA1B" w14:textId="77777777" w:rsidR="005D4B52" w:rsidRPr="00D71E48" w:rsidRDefault="005D4B52" w:rsidP="005D4B52">
      <w:pPr>
        <w:spacing w:line="360" w:lineRule="auto"/>
        <w:jc w:val="both"/>
        <w:rPr>
          <w:rFonts w:ascii="Times New Roman" w:hAnsi="Times New Roman" w:cs="Times New Roman"/>
          <w:b/>
          <w:bCs/>
          <w:sz w:val="20"/>
          <w:szCs w:val="20"/>
        </w:rPr>
      </w:pPr>
    </w:p>
    <w:p w14:paraId="1F0A93B4" w14:textId="49107D27" w:rsidR="005D4B52" w:rsidRPr="001F07FF" w:rsidRDefault="005D4B52" w:rsidP="005D4B52">
      <w:pPr>
        <w:spacing w:line="360" w:lineRule="auto"/>
        <w:jc w:val="both"/>
        <w:rPr>
          <w:rFonts w:ascii="Times New Roman" w:hAnsi="Times New Roman" w:cs="Times New Roman"/>
          <w:b/>
          <w:bCs/>
          <w:sz w:val="20"/>
          <w:szCs w:val="20"/>
        </w:rPr>
      </w:pPr>
      <w:r>
        <w:rPr>
          <w:rFonts w:ascii="Times New Roman" w:hAnsi="Times New Roman" w:cs="Times New Roman"/>
          <w:b/>
          <w:bCs/>
          <w:sz w:val="20"/>
          <w:szCs w:val="20"/>
        </w:rPr>
        <w:lastRenderedPageBreak/>
        <w:t>Supplementary</w:t>
      </w:r>
      <w:r w:rsidRPr="001F07FF">
        <w:rPr>
          <w:rFonts w:ascii="Times New Roman" w:hAnsi="Times New Roman" w:cs="Times New Roman"/>
          <w:b/>
          <w:bCs/>
          <w:sz w:val="20"/>
          <w:szCs w:val="20"/>
        </w:rPr>
        <w:t xml:space="preserve"> material </w:t>
      </w:r>
      <w:r>
        <w:rPr>
          <w:rFonts w:ascii="Times New Roman" w:hAnsi="Times New Roman" w:cs="Times New Roman"/>
          <w:b/>
          <w:bCs/>
          <w:sz w:val="20"/>
          <w:szCs w:val="20"/>
        </w:rPr>
        <w:t>D</w:t>
      </w:r>
      <w:r w:rsidRPr="001F07FF">
        <w:rPr>
          <w:rFonts w:ascii="Times New Roman" w:hAnsi="Times New Roman" w:cs="Times New Roman"/>
          <w:b/>
          <w:bCs/>
          <w:sz w:val="20"/>
          <w:szCs w:val="20"/>
        </w:rPr>
        <w:t>: Leaf Area Index validation</w:t>
      </w:r>
    </w:p>
    <w:p w14:paraId="73D134C2" w14:textId="6D4426EB" w:rsidR="005D4B52" w:rsidRDefault="005D4B52" w:rsidP="005D4B52">
      <w:pPr>
        <w:spacing w:line="360" w:lineRule="auto"/>
        <w:jc w:val="both"/>
        <w:rPr>
          <w:rFonts w:ascii="Times New Roman" w:hAnsi="Times New Roman" w:cs="Times New Roman"/>
          <w:sz w:val="20"/>
          <w:szCs w:val="20"/>
        </w:rPr>
      </w:pPr>
      <w:r w:rsidRPr="001F07FF">
        <w:rPr>
          <w:rFonts w:ascii="Times New Roman" w:hAnsi="Times New Roman" w:cs="Times New Roman"/>
          <w:sz w:val="20"/>
          <w:szCs w:val="20"/>
        </w:rPr>
        <w:t>The simulated LAI shows a strong seasonality with remote sensing</w:t>
      </w:r>
      <w:r>
        <w:rPr>
          <w:rFonts w:ascii="Times New Roman" w:hAnsi="Times New Roman" w:cs="Times New Roman"/>
          <w:sz w:val="20"/>
          <w:szCs w:val="20"/>
        </w:rPr>
        <w:t xml:space="preserve"> (RS)</w:t>
      </w:r>
      <w:r w:rsidRPr="001F07FF">
        <w:rPr>
          <w:rFonts w:ascii="Times New Roman" w:hAnsi="Times New Roman" w:cs="Times New Roman"/>
          <w:sz w:val="20"/>
          <w:szCs w:val="20"/>
        </w:rPr>
        <w:t xml:space="preserve"> </w:t>
      </w:r>
      <w:r>
        <w:rPr>
          <w:rFonts w:ascii="Times New Roman" w:hAnsi="Times New Roman" w:cs="Times New Roman"/>
          <w:sz w:val="20"/>
          <w:szCs w:val="20"/>
        </w:rPr>
        <w:t>derived</w:t>
      </w:r>
      <w:r w:rsidRPr="001F07FF">
        <w:rPr>
          <w:rFonts w:ascii="Times New Roman" w:hAnsi="Times New Roman" w:cs="Times New Roman"/>
          <w:sz w:val="20"/>
          <w:szCs w:val="20"/>
        </w:rPr>
        <w:t xml:space="preserve"> LAI in Fig</w:t>
      </w:r>
      <w:r w:rsidR="00B3424A">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D1</w:t>
      </w:r>
      <w:r w:rsidRPr="001F07FF">
        <w:rPr>
          <w:rFonts w:ascii="Times New Roman" w:hAnsi="Times New Roman" w:cs="Times New Roman"/>
          <w:sz w:val="20"/>
          <w:szCs w:val="20"/>
        </w:rPr>
        <w:t xml:space="preserve"> and Fig</w:t>
      </w:r>
      <w:r w:rsidR="00B3424A">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D2</w:t>
      </w:r>
      <w:r w:rsidRPr="001F07FF">
        <w:rPr>
          <w:rFonts w:ascii="Times New Roman" w:hAnsi="Times New Roman" w:cs="Times New Roman"/>
          <w:sz w:val="20"/>
          <w:szCs w:val="20"/>
        </w:rPr>
        <w:t xml:space="preserve"> for the single and double cropping systems respectively. In the Upper Blue Nile (Fig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D1</w:t>
      </w:r>
      <w:r w:rsidRPr="001F07FF">
        <w:rPr>
          <w:rFonts w:ascii="Times New Roman" w:hAnsi="Times New Roman" w:cs="Times New Roman"/>
          <w:sz w:val="20"/>
          <w:szCs w:val="20"/>
        </w:rPr>
        <w:t>a) and 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D1</w:t>
      </w:r>
      <w:r w:rsidRPr="001F07FF">
        <w:rPr>
          <w:rFonts w:ascii="Times New Roman" w:hAnsi="Times New Roman" w:cs="Times New Roman"/>
          <w:sz w:val="20"/>
          <w:szCs w:val="20"/>
        </w:rPr>
        <w:t>b), the LAI peaks between the months of July to October for the single cropping system. However, the double cropping system (Fig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D2</w:t>
      </w:r>
      <w:r w:rsidRPr="001F07FF">
        <w:rPr>
          <w:rFonts w:ascii="Times New Roman" w:hAnsi="Times New Roman" w:cs="Times New Roman"/>
          <w:sz w:val="20"/>
          <w:szCs w:val="20"/>
        </w:rPr>
        <w:t xml:space="preserve">d) has an additional peak in the months of December to April (irrigated second cropping season) that coincides with the dry period (October to January) and extends into the short rainy period (February to May). According to </w:t>
      </w:r>
      <w:r w:rsidRPr="001F07FF">
        <w:rPr>
          <w:rFonts w:ascii="Times New Roman" w:hAnsi="Times New Roman" w:cs="Times New Roman"/>
          <w:sz w:val="20"/>
          <w:szCs w:val="20"/>
        </w:rPr>
        <w:fldChar w:fldCharType="begin"/>
      </w:r>
      <w:r>
        <w:rPr>
          <w:rFonts w:ascii="Times New Roman" w:hAnsi="Times New Roman" w:cs="Times New Roman"/>
          <w:sz w:val="20"/>
          <w:szCs w:val="20"/>
        </w:rPr>
        <w:instrText xml:space="preserve"> ADDIN ZOTERO_ITEM CSL_CITATION {"citationID":"C2KJyflS","properties":{"formattedCitation":"(Musayev et al., 2021)","plainCitation":"(Musayev et al., 2021)","dontUpdate":true,"noteIndex":0},"citationItems":[{"id":"AhUWnJOv/KW2BootG","uris":["http://zotero.org/users/4432747/items/A28IC8J6"],"uri":["http://zotero.org/users/4432747/items/A28IC8J6"],"itemData":{"id":1300,"type":"article-journal","abstract":"Smallholder farmers in Ethiopia are vulnerable to climate change impacts due to their low adaptive capacity and dependence on rainfed agriculture. Thus, a successful weather forecast system may bring significant economic and social value to the community. The main objectives of this study were to identify the key information exchange agents, understand the information flow path, rank the relative importance of the different information dissemination pathways, and determine weather forecast adoption. We conducted a household survey in five villages of Rim Kebele in Bahir Dar area and found that farmers communicate with four main agents with regard to information exchange. We developed an agent-based model to learn the adoption rates of weather forecast information. Agriculture extension agents were found to be the most influential members of the community. Farmers’ communicating with neighboring village farmers showed higher adoption. Our results show at least twice that improvements in communication network attain higher adoption rates. Radio has also demonstrated positive uptake of information. We also found that forecast accuracy of 70% is sufficient to achieve high adoption rates. Our findings might help decision-makers recognize critical information flow pathways and their relative importance, and identify barriers to disseminating weather forecast information in the community.","container-title":"Sustainability","DOI":"10.3390/su13094936","issue":"9","language":"en","note":"number: 9\npublisher: Multidisciplinary Digital Publishing Institute","page":"4936","source":"www.mdpi.com","title":"Development of an Agent-Based Model for Weather Forecast Information Exchange in Rural Area of Bahir Dar, Ethiopia","volume":"13","author":[{"family":"Musayev","given":"Sardorbek"},{"family":"Mellor","given":"Jonathan"},{"family":"Walsh","given":"Tara"},{"family":"Anagnostou","given":"Emmanouil"}],"issued":{"date-parts":[["2021",1]]}}}],"schema":"https://github.com/citation-style-language/schema/raw/master/csl-citation.json"} </w:instrText>
      </w:r>
      <w:r w:rsidRPr="001F07FF">
        <w:rPr>
          <w:rFonts w:ascii="Times New Roman" w:hAnsi="Times New Roman" w:cs="Times New Roman"/>
          <w:sz w:val="20"/>
          <w:szCs w:val="20"/>
        </w:rPr>
        <w:fldChar w:fldCharType="separate"/>
      </w:r>
      <w:r w:rsidRPr="001F07FF">
        <w:rPr>
          <w:rFonts w:ascii="Times New Roman" w:hAnsi="Times New Roman" w:cs="Times New Roman"/>
          <w:sz w:val="20"/>
        </w:rPr>
        <w:t>Musayev et al. (2021)</w:t>
      </w:r>
      <w:r w:rsidRPr="001F07FF">
        <w:rPr>
          <w:rFonts w:ascii="Times New Roman" w:hAnsi="Times New Roman" w:cs="Times New Roman"/>
          <w:sz w:val="20"/>
          <w:szCs w:val="20"/>
        </w:rPr>
        <w:fldChar w:fldCharType="end"/>
      </w:r>
      <w:r w:rsidRPr="001F07FF">
        <w:rPr>
          <w:rFonts w:ascii="Times New Roman" w:hAnsi="Times New Roman" w:cs="Times New Roman"/>
          <w:sz w:val="20"/>
          <w:szCs w:val="20"/>
        </w:rPr>
        <w:t xml:space="preserve">, farmers that irrigate can have an additional cropping season in either the dry period or the short rainy period. </w:t>
      </w:r>
      <w:r>
        <w:rPr>
          <w:rFonts w:ascii="Times New Roman" w:hAnsi="Times New Roman" w:cs="Times New Roman"/>
          <w:sz w:val="20"/>
          <w:szCs w:val="20"/>
        </w:rPr>
        <w:t>T</w:t>
      </w:r>
      <w:r w:rsidRPr="001F07FF">
        <w:rPr>
          <w:rFonts w:ascii="Times New Roman" w:hAnsi="Times New Roman" w:cs="Times New Roman"/>
          <w:sz w:val="20"/>
          <w:szCs w:val="20"/>
        </w:rPr>
        <w:t xml:space="preserve">he </w:t>
      </w:r>
      <w:r>
        <w:rPr>
          <w:rFonts w:ascii="Times New Roman" w:hAnsi="Times New Roman" w:cs="Times New Roman"/>
          <w:sz w:val="20"/>
          <w:szCs w:val="20"/>
        </w:rPr>
        <w:t xml:space="preserve">growing season of </w:t>
      </w:r>
      <w:r w:rsidRPr="001F07FF">
        <w:rPr>
          <w:rFonts w:ascii="Times New Roman" w:hAnsi="Times New Roman" w:cs="Times New Roman"/>
          <w:sz w:val="20"/>
          <w:szCs w:val="20"/>
        </w:rPr>
        <w:t xml:space="preserve">double cropping system in the Victoria catchment </w:t>
      </w:r>
      <w:r>
        <w:rPr>
          <w:rFonts w:ascii="Times New Roman" w:hAnsi="Times New Roman" w:cs="Times New Roman"/>
          <w:sz w:val="20"/>
          <w:szCs w:val="20"/>
        </w:rPr>
        <w:t xml:space="preserve">is </w:t>
      </w:r>
      <w:r w:rsidRPr="001F07FF">
        <w:rPr>
          <w:rFonts w:ascii="Times New Roman" w:hAnsi="Times New Roman" w:cs="Times New Roman"/>
          <w:sz w:val="20"/>
          <w:szCs w:val="20"/>
        </w:rPr>
        <w:t xml:space="preserve">well </w:t>
      </w:r>
      <w:r>
        <w:rPr>
          <w:rFonts w:ascii="Times New Roman" w:hAnsi="Times New Roman" w:cs="Times New Roman"/>
          <w:sz w:val="20"/>
          <w:szCs w:val="20"/>
        </w:rPr>
        <w:t xml:space="preserve">aligned </w:t>
      </w:r>
      <w:r w:rsidRPr="001F07FF">
        <w:rPr>
          <w:rFonts w:ascii="Times New Roman" w:hAnsi="Times New Roman" w:cs="Times New Roman"/>
          <w:sz w:val="20"/>
          <w:szCs w:val="20"/>
        </w:rPr>
        <w:t>with the two rainy seasons (Fig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D2</w:t>
      </w:r>
      <w:r w:rsidRPr="001F07FF">
        <w:rPr>
          <w:rFonts w:ascii="Times New Roman" w:hAnsi="Times New Roman" w:cs="Times New Roman"/>
          <w:sz w:val="20"/>
          <w:szCs w:val="20"/>
        </w:rPr>
        <w:t>a) and 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D2</w:t>
      </w:r>
      <w:r w:rsidRPr="001F07FF">
        <w:rPr>
          <w:rFonts w:ascii="Times New Roman" w:hAnsi="Times New Roman" w:cs="Times New Roman"/>
          <w:sz w:val="20"/>
          <w:szCs w:val="20"/>
        </w:rPr>
        <w:t xml:space="preserve">b) </w:t>
      </w:r>
    </w:p>
    <w:p w14:paraId="3BE1E48C" w14:textId="1601A306" w:rsidR="005D4B52" w:rsidRPr="00A459D5" w:rsidRDefault="005D4B52" w:rsidP="005D4B52">
      <w:pPr>
        <w:spacing w:line="360" w:lineRule="auto"/>
        <w:jc w:val="both"/>
        <w:rPr>
          <w:rFonts w:ascii="Times New Roman" w:hAnsi="Times New Roman" w:cs="Times New Roman"/>
          <w:sz w:val="20"/>
          <w:szCs w:val="20"/>
          <w:lang w:val="en-GB"/>
        </w:rPr>
      </w:pPr>
      <w:r w:rsidRPr="00A459D5">
        <w:rPr>
          <w:rFonts w:ascii="Times New Roman" w:hAnsi="Times New Roman" w:cs="Times New Roman"/>
          <w:sz w:val="20"/>
          <w:szCs w:val="20"/>
          <w:lang w:val="en-GB"/>
        </w:rPr>
        <w:t>However, in the Victoria catchment, located in the equatorial region, we observe a single growing season in areas where we have two rainfall seasons</w:t>
      </w:r>
      <w:r>
        <w:rPr>
          <w:rFonts w:ascii="Times New Roman" w:hAnsi="Times New Roman" w:cs="Times New Roman"/>
          <w:sz w:val="20"/>
          <w:szCs w:val="20"/>
          <w:lang w:val="en-GB"/>
        </w:rPr>
        <w:t xml:space="preserve"> </w:t>
      </w:r>
      <w:r w:rsidRPr="001F07FF">
        <w:rPr>
          <w:rFonts w:ascii="Times New Roman" w:hAnsi="Times New Roman" w:cs="Times New Roman"/>
          <w:sz w:val="20"/>
          <w:szCs w:val="20"/>
        </w:rPr>
        <w:t>(Fig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D1</w:t>
      </w:r>
      <w:r w:rsidRPr="001F07FF">
        <w:rPr>
          <w:rFonts w:ascii="Times New Roman" w:hAnsi="Times New Roman" w:cs="Times New Roman"/>
          <w:sz w:val="20"/>
          <w:szCs w:val="20"/>
        </w:rPr>
        <w:t>c) and 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D1</w:t>
      </w:r>
      <w:r w:rsidRPr="001F07FF">
        <w:rPr>
          <w:rFonts w:ascii="Times New Roman" w:hAnsi="Times New Roman" w:cs="Times New Roman"/>
          <w:sz w:val="20"/>
          <w:szCs w:val="20"/>
        </w:rPr>
        <w:t>d)</w:t>
      </w:r>
      <w:r w:rsidRPr="00A459D5">
        <w:rPr>
          <w:rFonts w:ascii="Times New Roman" w:hAnsi="Times New Roman" w:cs="Times New Roman"/>
          <w:sz w:val="20"/>
          <w:szCs w:val="20"/>
          <w:lang w:val="en-GB"/>
        </w:rPr>
        <w:t>. This shows that there is still potential for crop intensification by adding a second cropping season (sequential cropping) during the second rainy season</w:t>
      </w:r>
      <w:r>
        <w:rPr>
          <w:rFonts w:ascii="Times New Roman" w:hAnsi="Times New Roman" w:cs="Times New Roman"/>
          <w:sz w:val="20"/>
          <w:szCs w:val="20"/>
          <w:lang w:val="en-GB"/>
        </w:rPr>
        <w:t xml:space="preserve"> or some multiple cropping areas are not captured in the multiple cropping dataset </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ZOTERO_ITEM CSL_CITATION {"citationID":"XpdJse0V","properties":{"formattedCitation":"(Waha et al., 2020)","plainCitation":"(Waha et al., 2020)","noteIndex":0},"citationItems":[{"id":143,"uris":["http://zotero.org/users/4432747/items/APPIMJD3"],"uri":["http://zotero.org/users/4432747/items/APPIMJD3"],"itemData":{"id":143,"type":"article-journal","container-title":"v2. CSIRO. Data Collection","DOI":"10.25919/5f1f7bb3270bb","title":"Multiple Cropping Systems of the World","author":[{"family":"Waha","given":"Katharina"},{"family":"Dietrich","given":"Jan Philipp"},{"family":"Portmann","given":"Felix T"},{"family":"Bondeau","given":"Alberte"},{"family":"Herrero Acosta","given":"Mario"}],"issued":{"date-parts":[["2020"]]}}}],"schema":"https://github.com/citation-style-language/schema/raw/master/csl-citation.json"} </w:instrText>
      </w:r>
      <w:r>
        <w:rPr>
          <w:rFonts w:ascii="Times New Roman" w:hAnsi="Times New Roman" w:cs="Times New Roman"/>
          <w:sz w:val="20"/>
          <w:szCs w:val="20"/>
          <w:lang w:val="en-GB"/>
        </w:rPr>
        <w:fldChar w:fldCharType="separate"/>
      </w:r>
      <w:r w:rsidRPr="007C3CCE">
        <w:rPr>
          <w:rFonts w:ascii="Times New Roman" w:hAnsi="Times New Roman" w:cs="Times New Roman"/>
          <w:sz w:val="20"/>
        </w:rPr>
        <w:t>(Waha et al., 2020)</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used</w:t>
      </w:r>
      <w:r w:rsidRPr="00A459D5">
        <w:rPr>
          <w:rFonts w:ascii="Times New Roman" w:hAnsi="Times New Roman" w:cs="Times New Roman"/>
          <w:sz w:val="20"/>
          <w:szCs w:val="20"/>
          <w:lang w:val="en-GB"/>
        </w:rPr>
        <w:t xml:space="preserve">. </w:t>
      </w:r>
      <w:r>
        <w:rPr>
          <w:rFonts w:ascii="Times New Roman" w:hAnsi="Times New Roman" w:cs="Times New Roman"/>
          <w:sz w:val="20"/>
          <w:szCs w:val="20"/>
          <w:lang w:val="en-GB"/>
        </w:rPr>
        <w:t>It is worth mentioning that</w:t>
      </w:r>
      <w:r w:rsidRPr="00A459D5">
        <w:rPr>
          <w:rFonts w:ascii="Times New Roman" w:hAnsi="Times New Roman" w:cs="Times New Roman"/>
          <w:sz w:val="20"/>
          <w:szCs w:val="20"/>
          <w:lang w:val="en-GB"/>
        </w:rPr>
        <w:t xml:space="preserve"> in other parts of the basin with only one rainy season, potentially a second irrigated season could be added if resources and management practices allow.</w:t>
      </w:r>
    </w:p>
    <w:p w14:paraId="6409A241" w14:textId="77777777" w:rsidR="005D4B52" w:rsidRPr="001F07FF" w:rsidRDefault="005D4B52" w:rsidP="005D4B52">
      <w:pPr>
        <w:keepNext/>
        <w:spacing w:line="360" w:lineRule="auto"/>
        <w:jc w:val="both"/>
        <w:rPr>
          <w:rFonts w:ascii="Times New Roman" w:hAnsi="Times New Roman" w:cs="Times New Roman"/>
        </w:rPr>
      </w:pPr>
      <w:r w:rsidRPr="001F07FF">
        <w:rPr>
          <w:rFonts w:ascii="Times New Roman" w:hAnsi="Times New Roman" w:cs="Times New Roman"/>
          <w:noProof/>
        </w:rPr>
        <w:drawing>
          <wp:inline distT="0" distB="0" distL="0" distR="0" wp14:anchorId="5C801CC4" wp14:editId="39DC6472">
            <wp:extent cx="5153025" cy="28507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847"/>
                    <a:stretch/>
                  </pic:blipFill>
                  <pic:spPr bwMode="auto">
                    <a:xfrm>
                      <a:off x="0" y="0"/>
                      <a:ext cx="5281914" cy="2922005"/>
                    </a:xfrm>
                    <a:prstGeom prst="rect">
                      <a:avLst/>
                    </a:prstGeom>
                    <a:noFill/>
                    <a:ln>
                      <a:noFill/>
                    </a:ln>
                    <a:extLst>
                      <a:ext uri="{53640926-AAD7-44D8-BBD7-CCE9431645EC}">
                        <a14:shadowObscured xmlns:a14="http://schemas.microsoft.com/office/drawing/2010/main"/>
                      </a:ext>
                    </a:extLst>
                  </pic:spPr>
                </pic:pic>
              </a:graphicData>
            </a:graphic>
          </wp:inline>
        </w:drawing>
      </w:r>
      <w:r w:rsidRPr="001F07FF">
        <w:rPr>
          <w:rFonts w:ascii="Times New Roman" w:hAnsi="Times New Roman" w:cs="Times New Roman"/>
        </w:rPr>
        <w:t xml:space="preserve"> </w:t>
      </w:r>
    </w:p>
    <w:p w14:paraId="60A277D2" w14:textId="33E9F496" w:rsidR="005D4B52" w:rsidRPr="001F07FF" w:rsidRDefault="005D4B52" w:rsidP="005D4B52">
      <w:pPr>
        <w:pStyle w:val="Caption"/>
        <w:spacing w:before="120" w:after="120" w:line="360" w:lineRule="auto"/>
        <w:jc w:val="both"/>
        <w:rPr>
          <w:rFonts w:ascii="Times New Roman" w:hAnsi="Times New Roman" w:cs="Times New Roman"/>
          <w:i w:val="0"/>
          <w:iCs w:val="0"/>
          <w:color w:val="000000" w:themeColor="text1"/>
          <w:sz w:val="20"/>
          <w:szCs w:val="20"/>
        </w:rPr>
      </w:pPr>
      <w:r w:rsidRPr="00382E34">
        <w:rPr>
          <w:rFonts w:ascii="Times New Roman" w:hAnsi="Times New Roman" w:cs="Times New Roman"/>
          <w:b/>
          <w:bCs/>
          <w:i w:val="0"/>
          <w:iCs w:val="0"/>
          <w:color w:val="000000" w:themeColor="text1"/>
          <w:sz w:val="20"/>
          <w:szCs w:val="20"/>
        </w:rPr>
        <w:t>Fig</w:t>
      </w:r>
      <w:r w:rsidR="00382E34" w:rsidRPr="00382E34">
        <w:rPr>
          <w:rFonts w:ascii="Times New Roman" w:hAnsi="Times New Roman" w:cs="Times New Roman"/>
          <w:b/>
          <w:bCs/>
          <w:i w:val="0"/>
          <w:iCs w:val="0"/>
          <w:color w:val="000000" w:themeColor="text1"/>
          <w:sz w:val="20"/>
          <w:szCs w:val="20"/>
        </w:rPr>
        <w:t>.</w:t>
      </w:r>
      <w:r w:rsidRPr="00382E34">
        <w:rPr>
          <w:rFonts w:ascii="Times New Roman" w:hAnsi="Times New Roman" w:cs="Times New Roman"/>
          <w:b/>
          <w:bCs/>
          <w:i w:val="0"/>
          <w:iCs w:val="0"/>
          <w:color w:val="000000" w:themeColor="text1"/>
          <w:sz w:val="20"/>
          <w:szCs w:val="20"/>
        </w:rPr>
        <w:t xml:space="preserve"> D1</w:t>
      </w:r>
      <w:r w:rsidRPr="001F07FF">
        <w:rPr>
          <w:rFonts w:ascii="Times New Roman" w:hAnsi="Times New Roman" w:cs="Times New Roman"/>
          <w:i w:val="0"/>
          <w:iCs w:val="0"/>
          <w:color w:val="000000" w:themeColor="text1"/>
          <w:sz w:val="20"/>
          <w:szCs w:val="20"/>
        </w:rPr>
        <w:t>: Seasonal LAI simulations of single cropping systems for selected HRU’s for; (a) rainfed wheat and (b) rainfed maize in the Upper Blue Nile catchment; (c) rainfed maize and (d) rainfed soy in the Victoria catchment</w:t>
      </w:r>
    </w:p>
    <w:p w14:paraId="53DB95D2" w14:textId="5BAE99B0" w:rsidR="005D4B52" w:rsidRPr="00A459D5" w:rsidRDefault="005D4B52" w:rsidP="005D4B52">
      <w:pPr>
        <w:spacing w:line="360" w:lineRule="auto"/>
        <w:jc w:val="both"/>
        <w:rPr>
          <w:rFonts w:ascii="Times New Roman" w:hAnsi="Times New Roman" w:cs="Times New Roman"/>
          <w:sz w:val="20"/>
          <w:szCs w:val="20"/>
          <w:lang w:val="en-GB"/>
        </w:rPr>
      </w:pPr>
      <w:r w:rsidRPr="00382E34">
        <w:rPr>
          <w:rFonts w:ascii="Times New Roman" w:hAnsi="Times New Roman" w:cs="Times New Roman"/>
          <w:sz w:val="20"/>
          <w:szCs w:val="20"/>
          <w:lang w:val="it-IT"/>
        </w:rPr>
        <w:t>In the Nile delta (Fig</w:t>
      </w:r>
      <w:r w:rsidR="00382E34" w:rsidRPr="00382E34">
        <w:rPr>
          <w:rFonts w:ascii="Times New Roman" w:hAnsi="Times New Roman" w:cs="Times New Roman"/>
          <w:sz w:val="20"/>
          <w:szCs w:val="20"/>
          <w:lang w:val="it-IT"/>
        </w:rPr>
        <w:t>.</w:t>
      </w:r>
      <w:r w:rsidRPr="00382E34">
        <w:rPr>
          <w:rFonts w:ascii="Times New Roman" w:hAnsi="Times New Roman" w:cs="Times New Roman"/>
          <w:sz w:val="20"/>
          <w:szCs w:val="20"/>
          <w:lang w:val="it-IT"/>
        </w:rPr>
        <w:t xml:space="preserve"> </w:t>
      </w:r>
      <w:r>
        <w:rPr>
          <w:rFonts w:ascii="Times New Roman" w:hAnsi="Times New Roman" w:cs="Times New Roman"/>
          <w:sz w:val="20"/>
          <w:szCs w:val="20"/>
        </w:rPr>
        <w:t>D2</w:t>
      </w:r>
      <w:r w:rsidRPr="001F07FF">
        <w:rPr>
          <w:rFonts w:ascii="Times New Roman" w:hAnsi="Times New Roman" w:cs="Times New Roman"/>
          <w:sz w:val="20"/>
          <w:szCs w:val="20"/>
        </w:rPr>
        <w:t>c), we only have an irrigated double cropping system whose LAI signal agrees with the remote sensing signal. In both 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D1</w:t>
      </w:r>
      <w:r w:rsidRPr="001F07FF">
        <w:rPr>
          <w:rFonts w:ascii="Times New Roman" w:hAnsi="Times New Roman" w:cs="Times New Roman"/>
          <w:sz w:val="20"/>
          <w:szCs w:val="20"/>
        </w:rPr>
        <w:t xml:space="preserve"> and Fig</w:t>
      </w:r>
      <w:r w:rsidR="00382E34">
        <w:rPr>
          <w:rFonts w:ascii="Times New Roman" w:hAnsi="Times New Roman" w:cs="Times New Roman"/>
          <w:sz w:val="20"/>
          <w:szCs w:val="20"/>
        </w:rPr>
        <w:t>.</w:t>
      </w:r>
      <w:r w:rsidRPr="001F07FF">
        <w:rPr>
          <w:rFonts w:ascii="Times New Roman" w:hAnsi="Times New Roman" w:cs="Times New Roman"/>
          <w:sz w:val="20"/>
          <w:szCs w:val="20"/>
        </w:rPr>
        <w:t xml:space="preserve"> </w:t>
      </w:r>
      <w:r>
        <w:rPr>
          <w:rFonts w:ascii="Times New Roman" w:hAnsi="Times New Roman" w:cs="Times New Roman"/>
          <w:sz w:val="20"/>
          <w:szCs w:val="20"/>
        </w:rPr>
        <w:t>D2</w:t>
      </w:r>
      <w:r w:rsidRPr="001F07FF">
        <w:rPr>
          <w:rFonts w:ascii="Times New Roman" w:hAnsi="Times New Roman" w:cs="Times New Roman"/>
          <w:sz w:val="20"/>
          <w:szCs w:val="20"/>
        </w:rPr>
        <w:t xml:space="preserve">, the result of the different catchments in the Nile basin show that the crop phenology is strongly coupled to rainfall seasonality in regard to both spatial and temporal patterns in the basin. It is also worth noting that the LAI signal of the remote sensing does not go to zero due to the likely presence of other vegetation in a pixel e.g weeds unlike the LAI signal from the SWAT+ model that goes to zero once the crop is harvested. Additionally, </w:t>
      </w:r>
      <w:r>
        <w:rPr>
          <w:rFonts w:ascii="Times New Roman" w:hAnsi="Times New Roman" w:cs="Times New Roman"/>
          <w:sz w:val="20"/>
          <w:szCs w:val="20"/>
        </w:rPr>
        <w:t xml:space="preserve">3.4 </w:t>
      </w:r>
      <w:r w:rsidRPr="001F07FF">
        <w:rPr>
          <w:rFonts w:ascii="Times New Roman" w:hAnsi="Times New Roman" w:cs="Times New Roman"/>
          <w:sz w:val="20"/>
          <w:szCs w:val="20"/>
        </w:rPr>
        <w:t>% of crop area had a triple cropping system which was adjusted to a double cropping system as the LAI from the seasons mismatched the LAI from RS.</w:t>
      </w:r>
      <w:r>
        <w:rPr>
          <w:rFonts w:ascii="Times New Roman" w:hAnsi="Times New Roman" w:cs="Times New Roman"/>
          <w:sz w:val="20"/>
          <w:szCs w:val="20"/>
        </w:rPr>
        <w:t xml:space="preserve"> Another limitation of this LAI validation is that</w:t>
      </w:r>
      <w:r w:rsidRPr="00A459D5">
        <w:rPr>
          <w:rFonts w:ascii="Times New Roman" w:hAnsi="Times New Roman" w:cs="Times New Roman"/>
          <w:sz w:val="20"/>
          <w:szCs w:val="20"/>
          <w:lang w:val="en-GB"/>
        </w:rPr>
        <w:t xml:space="preserve"> </w:t>
      </w:r>
      <w:r>
        <w:rPr>
          <w:rFonts w:ascii="Times New Roman" w:hAnsi="Times New Roman" w:cs="Times New Roman"/>
          <w:sz w:val="20"/>
          <w:szCs w:val="20"/>
          <w:lang w:val="en-GB"/>
        </w:rPr>
        <w:t>validation</w:t>
      </w:r>
      <w:r w:rsidRPr="00A459D5">
        <w:rPr>
          <w:rFonts w:ascii="Times New Roman" w:hAnsi="Times New Roman" w:cs="Times New Roman"/>
          <w:sz w:val="20"/>
          <w:szCs w:val="20"/>
          <w:lang w:val="en-GB"/>
        </w:rPr>
        <w:t xml:space="preserve"> was only done on the largest HRUs that occupied the catchments. This may not be </w:t>
      </w:r>
      <w:r w:rsidRPr="00A459D5">
        <w:rPr>
          <w:rFonts w:ascii="Times New Roman" w:hAnsi="Times New Roman" w:cs="Times New Roman"/>
          <w:sz w:val="20"/>
          <w:szCs w:val="20"/>
          <w:lang w:val="en-GB"/>
        </w:rPr>
        <w:lastRenderedPageBreak/>
        <w:t xml:space="preserve">representative of the whole catchment e.g overlaps in seasonal cropping in different parts of the region. Hence, for local application, a detailed validation is required with farmer practices. </w:t>
      </w:r>
    </w:p>
    <w:p w14:paraId="2A0F6DA9" w14:textId="77777777" w:rsidR="005D4B52" w:rsidRPr="001F07FF" w:rsidRDefault="005D4B52" w:rsidP="005D4B52">
      <w:pPr>
        <w:spacing w:line="360" w:lineRule="auto"/>
        <w:jc w:val="both"/>
        <w:rPr>
          <w:rFonts w:ascii="Times New Roman" w:hAnsi="Times New Roman" w:cs="Times New Roman"/>
        </w:rPr>
      </w:pPr>
      <w:r w:rsidRPr="001F07FF">
        <w:rPr>
          <w:rFonts w:ascii="Times New Roman" w:hAnsi="Times New Roman" w:cs="Times New Roman"/>
          <w:sz w:val="20"/>
          <w:szCs w:val="20"/>
        </w:rPr>
        <w:t xml:space="preserve"> </w:t>
      </w:r>
      <w:r w:rsidRPr="001F07FF">
        <w:rPr>
          <w:rFonts w:ascii="Times New Roman" w:hAnsi="Times New Roman" w:cs="Times New Roman"/>
          <w:noProof/>
        </w:rPr>
        <w:drawing>
          <wp:inline distT="0" distB="0" distL="0" distR="0" wp14:anchorId="570629B4" wp14:editId="227AB263">
            <wp:extent cx="5210175" cy="28579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6684" cy="2872457"/>
                    </a:xfrm>
                    <a:prstGeom prst="rect">
                      <a:avLst/>
                    </a:prstGeom>
                    <a:noFill/>
                    <a:ln>
                      <a:noFill/>
                    </a:ln>
                  </pic:spPr>
                </pic:pic>
              </a:graphicData>
            </a:graphic>
          </wp:inline>
        </w:drawing>
      </w:r>
    </w:p>
    <w:p w14:paraId="2CEEB41A" w14:textId="311DC6EC" w:rsidR="005D4B52" w:rsidRPr="001F07FF" w:rsidRDefault="005D4B52" w:rsidP="005D4B52">
      <w:pPr>
        <w:pStyle w:val="Caption"/>
        <w:spacing w:before="120" w:after="120" w:line="360" w:lineRule="auto"/>
        <w:jc w:val="both"/>
        <w:rPr>
          <w:rFonts w:ascii="Times New Roman" w:hAnsi="Times New Roman" w:cs="Times New Roman"/>
          <w:i w:val="0"/>
          <w:iCs w:val="0"/>
          <w:color w:val="000000" w:themeColor="text1"/>
          <w:sz w:val="20"/>
          <w:szCs w:val="20"/>
        </w:rPr>
      </w:pPr>
      <w:r w:rsidRPr="00B3424A">
        <w:rPr>
          <w:rFonts w:ascii="Times New Roman" w:hAnsi="Times New Roman" w:cs="Times New Roman"/>
          <w:b/>
          <w:bCs/>
          <w:i w:val="0"/>
          <w:iCs w:val="0"/>
          <w:color w:val="000000" w:themeColor="text1"/>
          <w:sz w:val="20"/>
          <w:szCs w:val="20"/>
        </w:rPr>
        <w:t>Fig</w:t>
      </w:r>
      <w:r w:rsidR="00B3424A" w:rsidRPr="00B3424A">
        <w:rPr>
          <w:rFonts w:ascii="Times New Roman" w:hAnsi="Times New Roman" w:cs="Times New Roman"/>
          <w:b/>
          <w:bCs/>
          <w:i w:val="0"/>
          <w:iCs w:val="0"/>
          <w:color w:val="000000" w:themeColor="text1"/>
          <w:sz w:val="20"/>
          <w:szCs w:val="20"/>
        </w:rPr>
        <w:t>.</w:t>
      </w:r>
      <w:r w:rsidRPr="00B3424A">
        <w:rPr>
          <w:rFonts w:ascii="Times New Roman" w:hAnsi="Times New Roman" w:cs="Times New Roman"/>
          <w:b/>
          <w:bCs/>
          <w:i w:val="0"/>
          <w:iCs w:val="0"/>
          <w:color w:val="000000" w:themeColor="text1"/>
          <w:sz w:val="20"/>
          <w:szCs w:val="20"/>
        </w:rPr>
        <w:t xml:space="preserve"> D2</w:t>
      </w:r>
      <w:r w:rsidRPr="001F07FF">
        <w:rPr>
          <w:rFonts w:ascii="Times New Roman" w:hAnsi="Times New Roman" w:cs="Times New Roman"/>
          <w:i w:val="0"/>
          <w:iCs w:val="0"/>
          <w:color w:val="000000" w:themeColor="text1"/>
          <w:sz w:val="20"/>
          <w:szCs w:val="20"/>
        </w:rPr>
        <w:t>: Seasonal LAI simulations of double cropping systems for; (a) irrigated wheat and (b) irrigated soy in the Victoria catchment; (c) irrigated wheat in the Nile delta; (</w:t>
      </w:r>
      <w:r>
        <w:rPr>
          <w:rFonts w:ascii="Times New Roman" w:hAnsi="Times New Roman" w:cs="Times New Roman"/>
          <w:i w:val="0"/>
          <w:iCs w:val="0"/>
          <w:color w:val="000000" w:themeColor="text1"/>
          <w:sz w:val="20"/>
          <w:szCs w:val="20"/>
        </w:rPr>
        <w:t>d</w:t>
      </w:r>
      <w:r w:rsidRPr="001F07FF">
        <w:rPr>
          <w:rFonts w:ascii="Times New Roman" w:hAnsi="Times New Roman" w:cs="Times New Roman"/>
          <w:i w:val="0"/>
          <w:iCs w:val="0"/>
          <w:color w:val="000000" w:themeColor="text1"/>
          <w:sz w:val="20"/>
          <w:szCs w:val="20"/>
        </w:rPr>
        <w:t>) irrigated maize in the Upper Blue Nile catchment</w:t>
      </w:r>
    </w:p>
    <w:p w14:paraId="4CD5F7F4" w14:textId="5CBA5B8F" w:rsidR="00322B5E" w:rsidRPr="005D4B52" w:rsidRDefault="005D4B52" w:rsidP="005D4B52">
      <w:pPr>
        <w:spacing w:line="360" w:lineRule="auto"/>
        <w:jc w:val="both"/>
        <w:rPr>
          <w:rFonts w:ascii="Times New Roman" w:hAnsi="Times New Roman" w:cs="Times New Roman"/>
          <w:b/>
          <w:bCs/>
          <w:color w:val="000000" w:themeColor="text1"/>
          <w:sz w:val="20"/>
          <w:szCs w:val="20"/>
        </w:rPr>
      </w:pPr>
      <w:r w:rsidRPr="005D4B52">
        <w:rPr>
          <w:rFonts w:ascii="Times New Roman" w:hAnsi="Times New Roman" w:cs="Times New Roman"/>
          <w:b/>
          <w:bCs/>
          <w:color w:val="000000" w:themeColor="text1"/>
          <w:sz w:val="20"/>
          <w:szCs w:val="20"/>
        </w:rPr>
        <w:t>References</w:t>
      </w:r>
    </w:p>
    <w:p w14:paraId="3120E5F0" w14:textId="77777777" w:rsidR="005D4B52" w:rsidRPr="005D4B52" w:rsidRDefault="005D4B52" w:rsidP="005D4B52">
      <w:pPr>
        <w:pStyle w:val="Bibliography"/>
        <w:spacing w:line="360" w:lineRule="auto"/>
        <w:jc w:val="both"/>
        <w:rPr>
          <w:rFonts w:ascii="Times New Roman" w:hAnsi="Times New Roman" w:cs="Times New Roman"/>
          <w:color w:val="000000" w:themeColor="text1"/>
          <w:sz w:val="20"/>
          <w:szCs w:val="20"/>
        </w:rPr>
      </w:pPr>
      <w:r w:rsidRPr="005D4B52">
        <w:rPr>
          <w:rFonts w:ascii="Times New Roman" w:hAnsi="Times New Roman" w:cs="Times New Roman"/>
          <w:color w:val="000000" w:themeColor="text1"/>
          <w:sz w:val="20"/>
          <w:szCs w:val="20"/>
        </w:rPr>
        <w:fldChar w:fldCharType="begin"/>
      </w:r>
      <w:r w:rsidRPr="005D4B52">
        <w:rPr>
          <w:rFonts w:ascii="Times New Roman" w:hAnsi="Times New Roman" w:cs="Times New Roman"/>
          <w:color w:val="000000" w:themeColor="text1"/>
          <w:sz w:val="20"/>
          <w:szCs w:val="20"/>
        </w:rPr>
        <w:instrText xml:space="preserve"> ADDIN ZOTERO_BIBL {"uncited":[],"omitted":[],"custom":[]} CSL_BIBLIOGRAPHY </w:instrText>
      </w:r>
      <w:r w:rsidRPr="005D4B52">
        <w:rPr>
          <w:rFonts w:ascii="Times New Roman" w:hAnsi="Times New Roman" w:cs="Times New Roman"/>
          <w:color w:val="000000" w:themeColor="text1"/>
          <w:sz w:val="20"/>
          <w:szCs w:val="20"/>
        </w:rPr>
        <w:fldChar w:fldCharType="separate"/>
      </w:r>
      <w:r w:rsidRPr="005D4B52">
        <w:rPr>
          <w:rFonts w:ascii="Times New Roman" w:hAnsi="Times New Roman" w:cs="Times New Roman"/>
          <w:color w:val="000000" w:themeColor="text1"/>
          <w:sz w:val="20"/>
          <w:szCs w:val="20"/>
        </w:rPr>
        <w:t>Musayev, S., Mellor, J., Walsh, T., Anagnostou, E., 2021. Development of an Agent-Based Model for Weather Forecast Information Exchange in Rural Area of Bahir Dar, Ethiopia. Sustainability 13, 4936. https://doi.org/10.3390/su13094936</w:t>
      </w:r>
    </w:p>
    <w:p w14:paraId="5621ECBF" w14:textId="77777777" w:rsidR="005D4B52" w:rsidRPr="005D4B52" w:rsidRDefault="005D4B52" w:rsidP="005D4B52">
      <w:pPr>
        <w:pStyle w:val="Bibliography"/>
        <w:spacing w:line="360" w:lineRule="auto"/>
        <w:jc w:val="both"/>
        <w:rPr>
          <w:rFonts w:ascii="Times New Roman" w:hAnsi="Times New Roman" w:cs="Times New Roman"/>
          <w:color w:val="000000" w:themeColor="text1"/>
          <w:sz w:val="20"/>
          <w:szCs w:val="20"/>
        </w:rPr>
      </w:pPr>
      <w:r w:rsidRPr="005D4B52">
        <w:rPr>
          <w:rFonts w:ascii="Times New Roman" w:hAnsi="Times New Roman" w:cs="Times New Roman"/>
          <w:color w:val="000000" w:themeColor="text1"/>
          <w:sz w:val="20"/>
          <w:szCs w:val="20"/>
        </w:rPr>
        <w:t>Waha, K., Dietrich, J.P., Portmann, F.T., Bondeau, A., Herrero Acosta, M., 2020. Multiple Cropping Systems of the World. V2 CSIRO Data Collect. https://doi.org/10.25919/5f1f7bb3270bb</w:t>
      </w:r>
    </w:p>
    <w:p w14:paraId="74575AD5" w14:textId="6D88C439" w:rsidR="005D4B52" w:rsidRDefault="005D4B52" w:rsidP="005D4B52">
      <w:pPr>
        <w:spacing w:line="360" w:lineRule="auto"/>
        <w:jc w:val="both"/>
      </w:pPr>
      <w:r w:rsidRPr="005D4B52">
        <w:rPr>
          <w:rFonts w:ascii="Times New Roman" w:hAnsi="Times New Roman" w:cs="Times New Roman"/>
          <w:color w:val="000000" w:themeColor="text1"/>
          <w:sz w:val="20"/>
          <w:szCs w:val="20"/>
        </w:rPr>
        <w:fldChar w:fldCharType="end"/>
      </w:r>
    </w:p>
    <w:sectPr w:rsidR="005D4B5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62E5A" w14:textId="77777777" w:rsidR="00856788" w:rsidRDefault="00856788" w:rsidP="005D4B52">
      <w:pPr>
        <w:spacing w:after="0" w:line="240" w:lineRule="auto"/>
      </w:pPr>
      <w:r>
        <w:separator/>
      </w:r>
    </w:p>
  </w:endnote>
  <w:endnote w:type="continuationSeparator" w:id="0">
    <w:p w14:paraId="6FAD5D62" w14:textId="77777777" w:rsidR="00856788" w:rsidRDefault="00856788" w:rsidP="005D4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888358"/>
      <w:docPartObj>
        <w:docPartGallery w:val="Page Numbers (Bottom of Page)"/>
        <w:docPartUnique/>
      </w:docPartObj>
    </w:sdtPr>
    <w:sdtEndPr>
      <w:rPr>
        <w:rFonts w:ascii="Times New Roman" w:hAnsi="Times New Roman" w:cs="Times New Roman"/>
        <w:noProof/>
        <w:color w:val="000000" w:themeColor="text1"/>
        <w:sz w:val="20"/>
        <w:szCs w:val="20"/>
      </w:rPr>
    </w:sdtEndPr>
    <w:sdtContent>
      <w:p w14:paraId="19080A02" w14:textId="6B2BC34A" w:rsidR="005D4B52" w:rsidRPr="005D4B52" w:rsidRDefault="005D4B52">
        <w:pPr>
          <w:pStyle w:val="Footer"/>
          <w:jc w:val="right"/>
          <w:rPr>
            <w:rFonts w:ascii="Times New Roman" w:hAnsi="Times New Roman" w:cs="Times New Roman"/>
            <w:color w:val="000000" w:themeColor="text1"/>
            <w:sz w:val="20"/>
            <w:szCs w:val="20"/>
          </w:rPr>
        </w:pPr>
        <w:r w:rsidRPr="005D4B52">
          <w:rPr>
            <w:rFonts w:ascii="Times New Roman" w:hAnsi="Times New Roman" w:cs="Times New Roman"/>
            <w:color w:val="000000" w:themeColor="text1"/>
            <w:sz w:val="20"/>
            <w:szCs w:val="20"/>
          </w:rPr>
          <w:fldChar w:fldCharType="begin"/>
        </w:r>
        <w:r w:rsidRPr="005D4B52">
          <w:rPr>
            <w:rFonts w:ascii="Times New Roman" w:hAnsi="Times New Roman" w:cs="Times New Roman"/>
            <w:color w:val="000000" w:themeColor="text1"/>
            <w:sz w:val="20"/>
            <w:szCs w:val="20"/>
          </w:rPr>
          <w:instrText xml:space="preserve"> PAGE   \* MERGEFORMAT </w:instrText>
        </w:r>
        <w:r w:rsidRPr="005D4B52">
          <w:rPr>
            <w:rFonts w:ascii="Times New Roman" w:hAnsi="Times New Roman" w:cs="Times New Roman"/>
            <w:color w:val="000000" w:themeColor="text1"/>
            <w:sz w:val="20"/>
            <w:szCs w:val="20"/>
          </w:rPr>
          <w:fldChar w:fldCharType="separate"/>
        </w:r>
        <w:r w:rsidRPr="005D4B52">
          <w:rPr>
            <w:rFonts w:ascii="Times New Roman" w:hAnsi="Times New Roman" w:cs="Times New Roman"/>
            <w:noProof/>
            <w:color w:val="000000" w:themeColor="text1"/>
            <w:sz w:val="20"/>
            <w:szCs w:val="20"/>
          </w:rPr>
          <w:t>2</w:t>
        </w:r>
        <w:r w:rsidRPr="005D4B52">
          <w:rPr>
            <w:rFonts w:ascii="Times New Roman" w:hAnsi="Times New Roman" w:cs="Times New Roman"/>
            <w:noProof/>
            <w:color w:val="000000" w:themeColor="text1"/>
            <w:sz w:val="20"/>
            <w:szCs w:val="20"/>
          </w:rPr>
          <w:fldChar w:fldCharType="end"/>
        </w:r>
      </w:p>
    </w:sdtContent>
  </w:sdt>
  <w:p w14:paraId="1F9DEA99" w14:textId="77777777" w:rsidR="005D4B52" w:rsidRDefault="005D4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8D4C" w14:textId="77777777" w:rsidR="00856788" w:rsidRDefault="00856788" w:rsidP="005D4B52">
      <w:pPr>
        <w:spacing w:after="0" w:line="240" w:lineRule="auto"/>
      </w:pPr>
      <w:r>
        <w:separator/>
      </w:r>
    </w:p>
  </w:footnote>
  <w:footnote w:type="continuationSeparator" w:id="0">
    <w:p w14:paraId="54A13928" w14:textId="77777777" w:rsidR="00856788" w:rsidRDefault="00856788" w:rsidP="005D4B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B52"/>
    <w:rsid w:val="002D4984"/>
    <w:rsid w:val="00322B5E"/>
    <w:rsid w:val="00382E34"/>
    <w:rsid w:val="004A6AB1"/>
    <w:rsid w:val="005B0D5C"/>
    <w:rsid w:val="005D4B52"/>
    <w:rsid w:val="006C36D8"/>
    <w:rsid w:val="00856788"/>
    <w:rsid w:val="00B224E3"/>
    <w:rsid w:val="00B3424A"/>
    <w:rsid w:val="00D71E4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5DBE3"/>
  <w15:chartTrackingRefBased/>
  <w15:docId w15:val="{CF144E2E-5551-4202-BDCB-0142D3BD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B5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rrespondence">
    <w:name w:val="Correspondence"/>
    <w:basedOn w:val="Normal"/>
    <w:link w:val="CorrespondenceChar"/>
    <w:qFormat/>
    <w:rsid w:val="005D4B52"/>
    <w:pPr>
      <w:spacing w:before="120" w:after="360" w:line="240" w:lineRule="auto"/>
      <w:jc w:val="both"/>
    </w:pPr>
    <w:rPr>
      <w:rFonts w:ascii="Times New Roman" w:eastAsia="Times New Roman" w:hAnsi="Times New Roman" w:cs="Times New Roman"/>
      <w:sz w:val="20"/>
      <w:szCs w:val="24"/>
      <w:lang w:val="en-GB" w:eastAsia="de-DE"/>
    </w:rPr>
  </w:style>
  <w:style w:type="character" w:customStyle="1" w:styleId="CorrespondenceChar">
    <w:name w:val="Correspondence Char"/>
    <w:basedOn w:val="DefaultParagraphFont"/>
    <w:link w:val="Correspondence"/>
    <w:rsid w:val="005D4B52"/>
    <w:rPr>
      <w:rFonts w:ascii="Times New Roman" w:eastAsia="Times New Roman" w:hAnsi="Times New Roman" w:cs="Times New Roman"/>
      <w:sz w:val="20"/>
      <w:szCs w:val="24"/>
      <w:lang w:val="en-GB" w:eastAsia="de-DE"/>
    </w:rPr>
  </w:style>
  <w:style w:type="paragraph" w:styleId="Caption">
    <w:name w:val="caption"/>
    <w:basedOn w:val="Normal"/>
    <w:next w:val="Normal"/>
    <w:uiPriority w:val="35"/>
    <w:unhideWhenUsed/>
    <w:qFormat/>
    <w:rsid w:val="005D4B52"/>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5D4B52"/>
    <w:pPr>
      <w:spacing w:after="0" w:line="240" w:lineRule="auto"/>
      <w:ind w:left="720" w:hanging="720"/>
    </w:pPr>
  </w:style>
  <w:style w:type="paragraph" w:styleId="Header">
    <w:name w:val="header"/>
    <w:basedOn w:val="Normal"/>
    <w:link w:val="HeaderChar"/>
    <w:uiPriority w:val="99"/>
    <w:unhideWhenUsed/>
    <w:rsid w:val="005D4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B52"/>
    <w:rPr>
      <w:lang w:val="en-US"/>
    </w:rPr>
  </w:style>
  <w:style w:type="paragraph" w:styleId="Footer">
    <w:name w:val="footer"/>
    <w:basedOn w:val="Normal"/>
    <w:link w:val="FooterChar"/>
    <w:uiPriority w:val="99"/>
    <w:unhideWhenUsed/>
    <w:rsid w:val="005D4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B52"/>
    <w:rPr>
      <w:lang w:val="en-US"/>
    </w:rPr>
  </w:style>
  <w:style w:type="paragraph" w:customStyle="1" w:styleId="Affiliation">
    <w:name w:val="Affiliation"/>
    <w:basedOn w:val="Normal"/>
    <w:link w:val="AffiliationChar"/>
    <w:qFormat/>
    <w:rsid w:val="00D71E48"/>
    <w:pPr>
      <w:spacing w:before="120" w:after="0" w:line="240" w:lineRule="auto"/>
      <w:contextualSpacing/>
      <w:jc w:val="both"/>
    </w:pPr>
    <w:rPr>
      <w:rFonts w:ascii="Times New Roman" w:eastAsia="Times New Roman" w:hAnsi="Times New Roman" w:cs="Times New Roman"/>
      <w:sz w:val="20"/>
      <w:szCs w:val="24"/>
      <w:lang w:val="en-GB" w:eastAsia="de-DE"/>
    </w:rPr>
  </w:style>
  <w:style w:type="character" w:customStyle="1" w:styleId="AffiliationChar">
    <w:name w:val="Affiliation Char"/>
    <w:basedOn w:val="DefaultParagraphFont"/>
    <w:link w:val="Affiliation"/>
    <w:rsid w:val="00D71E48"/>
    <w:rPr>
      <w:rFonts w:ascii="Times New Roman" w:eastAsia="Times New Roman" w:hAnsi="Times New Roman" w:cs="Times New Roman"/>
      <w:sz w:val="20"/>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1142</Words>
  <Characters>6287</Characters>
  <Application>Microsoft Office Word</Application>
  <DocSecurity>0</DocSecurity>
  <Lines>52</Lines>
  <Paragraphs>14</Paragraphs>
  <ScaleCrop>false</ScaleCrop>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Nkwasa</dc:creator>
  <cp:keywords/>
  <dc:description/>
  <cp:lastModifiedBy>Albert Nkwasa</cp:lastModifiedBy>
  <cp:revision>6</cp:revision>
  <dcterms:created xsi:type="dcterms:W3CDTF">2022-03-20T20:33:00Z</dcterms:created>
  <dcterms:modified xsi:type="dcterms:W3CDTF">2022-11-21T12:53:00Z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id="AhUWnJOv"/&gt;&lt;style id="http://www.zotero.org/styles/journal-of-hydrology" hasBibliography="1" bibliographyStyleHasBeenSet="1"/&gt;&lt;prefs&gt;&lt;pref name="fieldType" value="Field"/&gt;&lt;pref name="automaticJ</vt:lpwstr>
  </property>
  <property fmtid="{D5CDD505-2E9C-101B-9397-08002B2CF9AE}" pid="3" name="ZOTERO_PREF_2">
    <vt:lpwstr>ournalAbbreviations" value="true"/&gt;&lt;/prefs&gt;&lt;/data&gt;</vt:lpwstr>
  </property>
</Properties>
</file>