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C8912" w14:textId="77777777" w:rsidR="00BB3946" w:rsidRPr="00BD6991" w:rsidRDefault="00BB3946" w:rsidP="00BB3946">
      <w:pPr>
        <w:jc w:val="center"/>
        <w:rPr>
          <w:b/>
          <w:bCs/>
          <w:sz w:val="32"/>
          <w:szCs w:val="32"/>
        </w:rPr>
      </w:pPr>
      <w:bookmarkStart w:id="0" w:name="_Hlk204528273"/>
      <w:r w:rsidRPr="00BD6991">
        <w:rPr>
          <w:b/>
          <w:bCs/>
          <w:sz w:val="32"/>
          <w:szCs w:val="32"/>
        </w:rPr>
        <w:t>Supplementary information</w:t>
      </w:r>
    </w:p>
    <w:p w14:paraId="1C333B80" w14:textId="1E296E26" w:rsidR="00BB3946" w:rsidRPr="00922E30" w:rsidRDefault="00BB3946" w:rsidP="00BB3946">
      <w:pPr>
        <w:pStyle w:val="Titre"/>
        <w:jc w:val="center"/>
        <w:rPr>
          <w:sz w:val="40"/>
          <w:szCs w:val="40"/>
        </w:rPr>
      </w:pPr>
      <w:r w:rsidRPr="00922E30">
        <w:rPr>
          <w:sz w:val="40"/>
          <w:szCs w:val="40"/>
        </w:rPr>
        <w:t xml:space="preserve">Impacts of climate change on the phenology and distribution range of </w:t>
      </w:r>
      <w:r w:rsidRPr="00922E30">
        <w:rPr>
          <w:i/>
          <w:iCs/>
          <w:sz w:val="40"/>
          <w:szCs w:val="40"/>
        </w:rPr>
        <w:t>Castanea sativa</w:t>
      </w:r>
      <w:r w:rsidRPr="00922E30">
        <w:rPr>
          <w:sz w:val="40"/>
          <w:szCs w:val="40"/>
        </w:rPr>
        <w:t xml:space="preserve"> (Mill.) varieties in </w:t>
      </w:r>
      <w:r w:rsidR="004C3725" w:rsidRPr="00E32571">
        <w:rPr>
          <w:sz w:val="40"/>
          <w:szCs w:val="40"/>
        </w:rPr>
        <w:t>Cévennes mountainous region, Southern France</w:t>
      </w:r>
    </w:p>
    <w:p w14:paraId="747E6DAC" w14:textId="77777777" w:rsidR="00BB3946" w:rsidRDefault="00BB3946" w:rsidP="00BB3946">
      <w:pPr>
        <w:jc w:val="center"/>
        <w:rPr>
          <w:sz w:val="28"/>
          <w:szCs w:val="28"/>
        </w:rPr>
      </w:pPr>
    </w:p>
    <w:p w14:paraId="314246F6" w14:textId="77777777" w:rsidR="00BB3946" w:rsidRDefault="00BB3946" w:rsidP="00BB3946">
      <w:pPr>
        <w:jc w:val="center"/>
        <w:rPr>
          <w:sz w:val="28"/>
          <w:szCs w:val="28"/>
        </w:rPr>
      </w:pPr>
      <w:r w:rsidRPr="002B10B1">
        <w:rPr>
          <w:sz w:val="28"/>
          <w:szCs w:val="28"/>
        </w:rPr>
        <w:t>Regional Environmental Change</w:t>
      </w:r>
    </w:p>
    <w:p w14:paraId="56A91F5C" w14:textId="77777777" w:rsidR="00BB3946" w:rsidRPr="002B10B1" w:rsidRDefault="00BB3946" w:rsidP="00BB3946">
      <w:pPr>
        <w:jc w:val="center"/>
        <w:rPr>
          <w:sz w:val="28"/>
          <w:szCs w:val="28"/>
        </w:rPr>
      </w:pPr>
    </w:p>
    <w:p w14:paraId="3124FE04" w14:textId="77777777" w:rsidR="00BB3946" w:rsidRPr="00BD6991" w:rsidRDefault="00BB3946" w:rsidP="006B32C5">
      <w:pPr>
        <w:spacing w:line="240" w:lineRule="auto"/>
        <w:rPr>
          <w:vertAlign w:val="superscript"/>
        </w:rPr>
      </w:pPr>
      <w:r w:rsidRPr="00BD6991">
        <w:t>Nicolas Ponsa</w:t>
      </w:r>
      <w:r w:rsidRPr="00BD6991">
        <w:rPr>
          <w:vertAlign w:val="superscript"/>
        </w:rPr>
        <w:t>1</w:t>
      </w:r>
      <w:r w:rsidRPr="00BD6991">
        <w:t>, Yildiz Aumeeruddy-Thomas</w:t>
      </w:r>
      <w:r w:rsidRPr="00BD6991">
        <w:rPr>
          <w:vertAlign w:val="superscript"/>
        </w:rPr>
        <w:t>1</w:t>
      </w:r>
      <w:r w:rsidRPr="00BD6991">
        <w:t>, Valentine Delrieu</w:t>
      </w:r>
      <w:r w:rsidRPr="00BD6991">
        <w:rPr>
          <w:vertAlign w:val="superscript"/>
        </w:rPr>
        <w:t>1</w:t>
      </w:r>
      <w:r w:rsidRPr="00BD6991">
        <w:t>, Florent Mouillot</w:t>
      </w:r>
      <w:r w:rsidRPr="00BD6991">
        <w:rPr>
          <w:vertAlign w:val="superscript"/>
        </w:rPr>
        <w:t>1</w:t>
      </w:r>
      <w:r w:rsidRPr="00BD6991">
        <w:t>, Isabelle Chuine</w:t>
      </w:r>
      <w:r w:rsidRPr="00BD6991">
        <w:rPr>
          <w:vertAlign w:val="superscript"/>
        </w:rPr>
        <w:t>1</w:t>
      </w:r>
    </w:p>
    <w:p w14:paraId="7331A103" w14:textId="77777777" w:rsidR="00BB3946" w:rsidRPr="00BD6991" w:rsidRDefault="00BB3946" w:rsidP="00BB3946">
      <w:pPr>
        <w:spacing w:line="240" w:lineRule="auto"/>
      </w:pPr>
      <w:r w:rsidRPr="00BD6991">
        <w:rPr>
          <w:vertAlign w:val="superscript"/>
        </w:rPr>
        <w:t xml:space="preserve">1 </w:t>
      </w:r>
      <w:r w:rsidRPr="00BD6991">
        <w:t>CEFE, Univ Montpellier</w:t>
      </w:r>
      <w:r>
        <w:t>,</w:t>
      </w:r>
      <w:r w:rsidRPr="007F0D97">
        <w:t xml:space="preserve"> </w:t>
      </w:r>
      <w:r w:rsidRPr="00BD6991">
        <w:t>CNRS, EPHE, IRD, Montpellier, France</w:t>
      </w:r>
    </w:p>
    <w:p w14:paraId="51FAEDD2" w14:textId="77777777" w:rsidR="00BB3946" w:rsidRPr="00946A04" w:rsidRDefault="00BB3946" w:rsidP="00BB3946">
      <w:pPr>
        <w:spacing w:line="240" w:lineRule="auto"/>
      </w:pPr>
    </w:p>
    <w:p w14:paraId="4E6F23FF" w14:textId="27D38A60" w:rsidR="00BB3946" w:rsidRPr="003318EC" w:rsidRDefault="00BB3946" w:rsidP="003318EC">
      <w:pPr>
        <w:spacing w:line="240" w:lineRule="auto"/>
        <w:rPr>
          <w:lang w:val="fr-FR"/>
        </w:rPr>
      </w:pPr>
      <w:r w:rsidRPr="00531E65">
        <w:rPr>
          <w:lang w:val="fr-FR"/>
        </w:rPr>
        <w:t xml:space="preserve">Nicolas Ponsa: </w:t>
      </w:r>
      <w:hyperlink r:id="rId7" w:history="1">
        <w:r w:rsidRPr="00531E65">
          <w:rPr>
            <w:rStyle w:val="Lienhypertexte"/>
            <w:lang w:val="fr-FR"/>
          </w:rPr>
          <w:t>nicolas.ponsa@cefe.cnrs.fr</w:t>
        </w:r>
      </w:hyperlink>
      <w:r w:rsidRPr="00531E65">
        <w:rPr>
          <w:lang w:val="fr-FR"/>
        </w:rPr>
        <w:t xml:space="preserve">, </w:t>
      </w:r>
      <w:hyperlink r:id="rId8" w:history="1">
        <w:r w:rsidRPr="00531E65">
          <w:rPr>
            <w:rStyle w:val="Lienhypertexte"/>
            <w:lang w:val="fr-FR"/>
          </w:rPr>
          <w:t>nicolasponsa@yahoo.fr</w:t>
        </w:r>
      </w:hyperlink>
      <w:r w:rsidRPr="00531E65">
        <w:rPr>
          <w:lang w:val="fr-FR"/>
        </w:rPr>
        <w:br w:type="page"/>
      </w:r>
    </w:p>
    <w:p w14:paraId="323F9FDE" w14:textId="5DC64CAD" w:rsidR="005E65E6" w:rsidRPr="005E65E6" w:rsidRDefault="005E65E6" w:rsidP="00BB3946">
      <w:pPr>
        <w:rPr>
          <w:b/>
          <w:bCs/>
          <w:sz w:val="28"/>
          <w:szCs w:val="28"/>
        </w:rPr>
      </w:pPr>
      <w:bookmarkStart w:id="1" w:name="_Toc204562726"/>
      <w:bookmarkEnd w:id="0"/>
      <w:r w:rsidRPr="005E65E6">
        <w:rPr>
          <w:b/>
          <w:bCs/>
          <w:sz w:val="28"/>
          <w:szCs w:val="28"/>
        </w:rPr>
        <w:lastRenderedPageBreak/>
        <w:t>Supplementary Materials</w:t>
      </w:r>
    </w:p>
    <w:p w14:paraId="1BED3A8B" w14:textId="4E506F80" w:rsidR="00857AB2" w:rsidRPr="004C3725" w:rsidRDefault="009D59A5" w:rsidP="00BB3946">
      <w:pPr>
        <w:rPr>
          <w:b/>
          <w:bCs/>
        </w:rPr>
      </w:pPr>
      <w:r w:rsidRPr="004C3725">
        <w:rPr>
          <w:b/>
          <w:bCs/>
        </w:rPr>
        <w:t>Climatic data</w:t>
      </w:r>
    </w:p>
    <w:p w14:paraId="1651C8B8" w14:textId="5C8D4F5F" w:rsidR="008824CC" w:rsidRDefault="005523F8" w:rsidP="00224F25">
      <w:pPr>
        <w:ind w:firstLine="708"/>
        <w:rPr>
          <w:rFonts w:eastAsiaTheme="minorEastAsia"/>
        </w:rPr>
      </w:pPr>
      <w:bookmarkStart w:id="2" w:name="_Hlk221104588"/>
      <w:r>
        <w:rPr>
          <w:rFonts w:eastAsiaTheme="minorEastAsia"/>
        </w:rPr>
        <w:t>Although the most recent IPCC assessments are framed using SSP</w:t>
      </w:r>
      <w:r w:rsidR="00364610">
        <w:rPr>
          <w:rFonts w:eastAsiaTheme="minorEastAsia"/>
        </w:rPr>
        <w:t xml:space="preserve"> (Shared Socioeconomic Pathway)</w:t>
      </w:r>
      <w:r>
        <w:rPr>
          <w:rFonts w:eastAsiaTheme="minorEastAsia"/>
        </w:rPr>
        <w:t xml:space="preserve"> scenarios, our study relies on RCP</w:t>
      </w:r>
      <w:r w:rsidR="00364610">
        <w:rPr>
          <w:rFonts w:eastAsiaTheme="minorEastAsia"/>
        </w:rPr>
        <w:t xml:space="preserve"> (Representative Concentration Pathways)</w:t>
      </w:r>
      <w:r>
        <w:rPr>
          <w:rFonts w:eastAsiaTheme="minorEastAsia"/>
        </w:rPr>
        <w:t>.</w:t>
      </w:r>
      <w:r w:rsidR="00A61812">
        <w:rPr>
          <w:rFonts w:eastAsiaTheme="minorEastAsia"/>
        </w:rPr>
        <w:t xml:space="preserve"> </w:t>
      </w:r>
      <w:r w:rsidR="00364610">
        <w:rPr>
          <w:rFonts w:eastAsiaTheme="minorEastAsia"/>
        </w:rPr>
        <w:t>The two RCP scenarios we have use</w:t>
      </w:r>
      <w:r w:rsidR="00AB5BE8">
        <w:rPr>
          <w:rFonts w:eastAsiaTheme="minorEastAsia"/>
        </w:rPr>
        <w:t>d</w:t>
      </w:r>
      <w:r w:rsidR="00364610">
        <w:rPr>
          <w:rFonts w:eastAsiaTheme="minorEastAsia"/>
        </w:rPr>
        <w:t>, RCP4.5 and RCP8.5 have direct equivalent SSP scenarios: SSP2-4.5 and SS</w:t>
      </w:r>
      <w:r w:rsidR="00AB5BE8">
        <w:rPr>
          <w:rFonts w:eastAsiaTheme="minorEastAsia"/>
        </w:rPr>
        <w:t>P</w:t>
      </w:r>
      <w:r w:rsidR="00364610">
        <w:rPr>
          <w:rFonts w:eastAsiaTheme="minorEastAsia"/>
        </w:rPr>
        <w:t>5-8.5 resp</w:t>
      </w:r>
      <w:r w:rsidR="00AB5BE8">
        <w:rPr>
          <w:rFonts w:eastAsiaTheme="minorEastAsia"/>
        </w:rPr>
        <w:t>ectively (IPCC 202</w:t>
      </w:r>
      <w:r w:rsidR="004531AA">
        <w:rPr>
          <w:rFonts w:eastAsiaTheme="minorEastAsia"/>
        </w:rPr>
        <w:t>3</w:t>
      </w:r>
      <w:r w:rsidR="00AB5BE8">
        <w:rPr>
          <w:rFonts w:eastAsiaTheme="minorEastAsia"/>
        </w:rPr>
        <w:t>). RCP4.5 and SSP2-4.5 have equivalent</w:t>
      </w:r>
      <w:r w:rsidR="00A61812">
        <w:rPr>
          <w:rFonts w:eastAsiaTheme="minorEastAsia"/>
        </w:rPr>
        <w:t xml:space="preserve"> radiative forcing </w:t>
      </w:r>
      <w:r w:rsidR="00AB5BE8">
        <w:rPr>
          <w:rFonts w:eastAsiaTheme="minorEastAsia"/>
        </w:rPr>
        <w:t>in 2100 (4.5 Wm</w:t>
      </w:r>
      <w:r w:rsidR="00AB5BE8" w:rsidRPr="00531E65">
        <w:rPr>
          <w:rFonts w:eastAsiaTheme="minorEastAsia"/>
          <w:vertAlign w:val="superscript"/>
        </w:rPr>
        <w:t>-2</w:t>
      </w:r>
      <w:r w:rsidR="00AB5BE8">
        <w:rPr>
          <w:rFonts w:eastAsiaTheme="minorEastAsia"/>
        </w:rPr>
        <w:t>) as do RCP8.5 and SSP5-8.5 scenarios (8.5 Wm</w:t>
      </w:r>
      <w:r w:rsidR="00AB5BE8" w:rsidRPr="00881810">
        <w:rPr>
          <w:rFonts w:eastAsiaTheme="minorEastAsia"/>
          <w:vertAlign w:val="superscript"/>
        </w:rPr>
        <w:t>-2</w:t>
      </w:r>
      <w:r w:rsidR="00AB5BE8">
        <w:rPr>
          <w:rFonts w:eastAsiaTheme="minorEastAsia"/>
        </w:rPr>
        <w:t>).</w:t>
      </w:r>
      <w:r w:rsidR="00A61812">
        <w:rPr>
          <w:rFonts w:eastAsiaTheme="minorEastAsia"/>
        </w:rPr>
        <w:t xml:space="preserve"> </w:t>
      </w:r>
      <w:bookmarkEnd w:id="2"/>
    </w:p>
    <w:p w14:paraId="694F2FFA" w14:textId="2D09A270" w:rsidR="00224F25" w:rsidRPr="003318EC" w:rsidRDefault="00897310" w:rsidP="00BB3946">
      <w:pPr>
        <w:rPr>
          <w:rFonts w:eastAsiaTheme="minorEastAsia"/>
          <w:b/>
          <w:bCs/>
        </w:rPr>
      </w:pPr>
      <w:r w:rsidRPr="003318EC">
        <w:rPr>
          <w:rFonts w:eastAsiaTheme="minorEastAsia"/>
          <w:b/>
          <w:bCs/>
        </w:rPr>
        <w:t>Downscaling Methods</w:t>
      </w:r>
    </w:p>
    <w:p w14:paraId="3BDFE9AF" w14:textId="5013C18E" w:rsidR="008824CC" w:rsidRDefault="00376E2B" w:rsidP="00224F25">
      <w:pPr>
        <w:ind w:firstLine="708"/>
        <w:rPr>
          <w:rFonts w:eastAsiaTheme="minorEastAsia"/>
        </w:rPr>
      </w:pPr>
      <w:r w:rsidRPr="00531E65">
        <w:rPr>
          <w:rFonts w:eastAsiaTheme="minorEastAsia"/>
        </w:rPr>
        <w:t>Downscaling and predict</w:t>
      </w:r>
      <w:r>
        <w:rPr>
          <w:rFonts w:eastAsiaTheme="minorEastAsia"/>
        </w:rPr>
        <w:t xml:space="preserve">ive </w:t>
      </w:r>
      <w:r w:rsidR="00445798">
        <w:rPr>
          <w:rFonts w:eastAsiaTheme="minorEastAsia"/>
        </w:rPr>
        <w:t>modelling</w:t>
      </w:r>
      <w:r>
        <w:rPr>
          <w:rFonts w:eastAsiaTheme="minorEastAsia"/>
        </w:rPr>
        <w:t xml:space="preserve"> of topo-climatic variables are detailed by Delrieu et al. (2025).</w:t>
      </w:r>
      <w:r w:rsidR="00445798">
        <w:rPr>
          <w:rFonts w:eastAsiaTheme="minorEastAsia"/>
        </w:rPr>
        <w:t xml:space="preserve"> The produced downscaled projections include (1) global solar radiations, (2) minimum</w:t>
      </w:r>
      <w:r w:rsidR="00BA05C1">
        <w:rPr>
          <w:rFonts w:eastAsiaTheme="minorEastAsia"/>
        </w:rPr>
        <w:t xml:space="preserve"> (Tmin)</w:t>
      </w:r>
      <w:r w:rsidR="00445798">
        <w:rPr>
          <w:rFonts w:eastAsiaTheme="minorEastAsia"/>
        </w:rPr>
        <w:t>, maximum</w:t>
      </w:r>
      <w:r w:rsidR="00BA05C1">
        <w:rPr>
          <w:rFonts w:eastAsiaTheme="minorEastAsia"/>
        </w:rPr>
        <w:t xml:space="preserve"> (Tmax)</w:t>
      </w:r>
      <w:r w:rsidR="00445798">
        <w:rPr>
          <w:rFonts w:eastAsiaTheme="minorEastAsia"/>
        </w:rPr>
        <w:t xml:space="preserve"> and mean</w:t>
      </w:r>
      <w:r w:rsidR="00BA05C1">
        <w:rPr>
          <w:rFonts w:eastAsiaTheme="minorEastAsia"/>
        </w:rPr>
        <w:t xml:space="preserve"> (Tmean)</w:t>
      </w:r>
      <w:r w:rsidR="00445798">
        <w:rPr>
          <w:rFonts w:eastAsiaTheme="minorEastAsia"/>
        </w:rPr>
        <w:t xml:space="preserve"> air temperatures, (3) potential evapotranspiration and (4) precipitation.</w:t>
      </w:r>
    </w:p>
    <w:p w14:paraId="3FC0CE17" w14:textId="4626C4A3" w:rsidR="00224F25" w:rsidRPr="00154D7B" w:rsidRDefault="00224F25" w:rsidP="00224F25">
      <w:pPr>
        <w:ind w:firstLine="708"/>
        <w:rPr>
          <w:rFonts w:eastAsiaTheme="minorEastAsia"/>
        </w:rPr>
      </w:pPr>
      <w:r>
        <w:t xml:space="preserve">Daily clearsky solar radiation was calculated from standard astrophysical equations relating incoming direct radiation with solar angle as a function of day of the year (DOY), latitude and topographical features, including projected shading effects, and diffuse radiation based on the skyview topographical index </w:t>
      </w:r>
      <w:r w:rsidR="000E68F7">
        <w:t>(</w:t>
      </w:r>
      <w:r w:rsidRPr="00154D7B">
        <w:t>Druel et al. 2025). Global solar radiation then resulted in the combination of direct and diffuse radiation attenuated by the cloudiness proxy index from Hargreaves &amp; Samani (1982) derived from Tmax-Tmin.</w:t>
      </w:r>
    </w:p>
    <w:p w14:paraId="5920C6E4" w14:textId="26F666E8" w:rsidR="00224F25" w:rsidRPr="00154D7B" w:rsidRDefault="00224F25" w:rsidP="00224F25">
      <w:pPr>
        <w:spacing w:line="240" w:lineRule="auto"/>
        <w:ind w:firstLine="708"/>
        <w:rPr>
          <w:rFonts w:eastAsiaTheme="minorEastAsia"/>
        </w:rPr>
      </w:pPr>
      <w:r w:rsidRPr="00154D7B">
        <w:rPr>
          <w:rFonts w:eastAsiaTheme="minorEastAsia"/>
        </w:rPr>
        <w:t xml:space="preserve">Our study additionally provided a refined data-driven topoclimatic interpolation of temperature Tmin and Tmax, beyond the usual lapse-rate considering the effect of altitude on temperature decrease. We built a random forest regression model (‘randomForest’ R package) investigating daily Tmin and Tmax measured in the Meteorological stations as a function of the reference Météo France station corresponding temperatures </w:t>
      </w:r>
      <w:r w:rsidR="00742E84" w:rsidRPr="00154D7B">
        <w:rPr>
          <w:rFonts w:eastAsia="Times New Roman" w:cstheme="minorHAnsi"/>
          <w:color w:val="222222"/>
          <w:spacing w:val="2"/>
          <w:sz w:val="24"/>
          <w:szCs w:val="24"/>
          <w:lang w:eastAsia="fr-FR"/>
        </w:rPr>
        <w:t>T</w:t>
      </w:r>
      <w:r w:rsidR="00742E84" w:rsidRPr="00154D7B">
        <w:rPr>
          <w:rFonts w:eastAsia="Times New Roman" w:cstheme="minorHAnsi"/>
          <w:color w:val="222222"/>
          <w:spacing w:val="2"/>
          <w:sz w:val="24"/>
          <w:szCs w:val="24"/>
          <w:vertAlign w:val="subscript"/>
          <w:lang w:eastAsia="fr-FR"/>
        </w:rPr>
        <w:t>min</w:t>
      </w:r>
      <w:r w:rsidR="00742E84" w:rsidRPr="00154D7B">
        <w:rPr>
          <w:rFonts w:eastAsia="Times New Roman" w:cstheme="minorHAnsi"/>
          <w:color w:val="222222"/>
          <w:spacing w:val="2"/>
          <w:sz w:val="24"/>
          <w:szCs w:val="24"/>
          <w:lang w:eastAsia="fr-FR"/>
        </w:rPr>
        <w:t>ref and T</w:t>
      </w:r>
      <w:r w:rsidR="00742E84" w:rsidRPr="00154D7B">
        <w:rPr>
          <w:rFonts w:eastAsia="Times New Roman" w:cstheme="minorHAnsi"/>
          <w:color w:val="222222"/>
          <w:spacing w:val="2"/>
          <w:sz w:val="24"/>
          <w:szCs w:val="24"/>
          <w:vertAlign w:val="subscript"/>
          <w:lang w:eastAsia="fr-FR"/>
        </w:rPr>
        <w:t>max</w:t>
      </w:r>
      <w:r w:rsidR="00742E84" w:rsidRPr="00154D7B">
        <w:rPr>
          <w:rFonts w:eastAsia="Times New Roman" w:cstheme="minorHAnsi"/>
          <w:color w:val="222222"/>
          <w:spacing w:val="2"/>
          <w:sz w:val="24"/>
          <w:szCs w:val="24"/>
          <w:lang w:eastAsia="fr-FR"/>
        </w:rPr>
        <w:t>ref</w:t>
      </w:r>
      <w:r w:rsidRPr="00154D7B">
        <w:rPr>
          <w:rFonts w:eastAsiaTheme="minorEastAsia"/>
        </w:rPr>
        <w:t>, wind speed as an index of daily atmospheric turbulences, the corresponding Meteorological station’s altitudes, heat load index (HLI) defined as the integrated solar radiation received during hottest hours of the day occurring between 1:00pm and 3:00pm (Geiger et al. 2009), the daily solar radiation as a seasonal index, and the skyview index differentiating valley bottoms and ridge crests (Zaksek et al. 2011). To balance predictive accuracy with computational efficiency, we manually tested several combinations of Random Forest parameters (mtry, min.node.size, and num.trees) on representative subsets of the dataset. The final configuration (num.trees = 500, mtry = 3, min.node.size = 5) provided the best compromise between accuracy, measured by the root mean square error (RMSE), and processing time. This model was then applied to all the pixels of the study area represented by their topographical feature as altitude, daily HLI and skyview, and the daily wind and solar radiation of the reference meterological station. This same model was then applied to future climates of the reference Meteo France station, projected with the quantile method bias correction of DRIAS scenarios for the corresponding reference pixel (Ruffault et al. 20</w:t>
      </w:r>
      <w:r w:rsidR="000E68F7">
        <w:rPr>
          <w:rFonts w:eastAsiaTheme="minorEastAsia"/>
        </w:rPr>
        <w:t>13</w:t>
      </w:r>
      <w:r w:rsidRPr="00154D7B">
        <w:rPr>
          <w:rFonts w:eastAsiaTheme="minorEastAsia"/>
        </w:rPr>
        <w:t>).</w:t>
      </w:r>
    </w:p>
    <w:p w14:paraId="597B03AD" w14:textId="781672E9" w:rsidR="00224F25" w:rsidRPr="00224F25" w:rsidRDefault="00224F25" w:rsidP="00224F25">
      <w:pPr>
        <w:spacing w:line="240" w:lineRule="auto"/>
        <w:ind w:firstLine="708"/>
        <w:rPr>
          <w:rFonts w:eastAsiaTheme="minorEastAsia"/>
        </w:rPr>
      </w:pPr>
      <w:r w:rsidRPr="00154D7B">
        <w:rPr>
          <w:rFonts w:eastAsiaTheme="minorEastAsia"/>
        </w:rPr>
        <w:t xml:space="preserve">Daily potential evapotranspiration (PET) used for drought assessment in PHENOFIT was then computed from solar radiation and mean air temperature with </w:t>
      </w:r>
      <w:r w:rsidR="00BA05C1" w:rsidRPr="00154D7B">
        <w:rPr>
          <w:rFonts w:eastAsiaTheme="minorEastAsia"/>
        </w:rPr>
        <w:t>a simplified</w:t>
      </w:r>
      <w:r w:rsidRPr="00154D7B">
        <w:rPr>
          <w:rFonts w:eastAsiaTheme="minorEastAsia"/>
        </w:rPr>
        <w:t xml:space="preserve"> Priestley-Taylor equation (Anupoju et al. 2025, Allen et al. 1998)</w:t>
      </w:r>
      <w:r w:rsidR="00151D0F" w:rsidRPr="00154D7B">
        <w:rPr>
          <w:rFonts w:eastAsiaTheme="minorEastAsia"/>
        </w:rPr>
        <w:t>.</w:t>
      </w:r>
      <w:r w:rsidRPr="00154D7B">
        <w:rPr>
          <w:rFonts w:eastAsiaTheme="minorEastAsia"/>
        </w:rPr>
        <w:t xml:space="preserve"> </w:t>
      </w:r>
      <w:r w:rsidR="00151D0F" w:rsidRPr="00154D7B">
        <w:rPr>
          <w:rFonts w:eastAsiaTheme="minorEastAsia"/>
        </w:rPr>
        <w:t>S</w:t>
      </w:r>
      <w:r w:rsidRPr="00154D7B">
        <w:rPr>
          <w:rFonts w:eastAsiaTheme="minorEastAsia"/>
        </w:rPr>
        <w:t xml:space="preserve">oil water holding capacity </w:t>
      </w:r>
      <w:r w:rsidR="00151D0F" w:rsidRPr="00154D7B">
        <w:rPr>
          <w:rFonts w:eastAsiaTheme="minorEastAsia"/>
        </w:rPr>
        <w:t xml:space="preserve">was </w:t>
      </w:r>
      <w:r w:rsidRPr="00154D7B">
        <w:rPr>
          <w:rFonts w:eastAsiaTheme="minorEastAsia"/>
        </w:rPr>
        <w:t>derived from the EU Soil Hydraulic Grid at 1km (</w:t>
      </w:r>
      <w:r w:rsidR="00897310" w:rsidRPr="00154D7B">
        <w:rPr>
          <w:rFonts w:eastAsiaTheme="minorEastAsia"/>
        </w:rPr>
        <w:t>T</w:t>
      </w:r>
      <w:r w:rsidRPr="00154D7B">
        <w:rPr>
          <w:rFonts w:eastAsiaTheme="minorEastAsia"/>
        </w:rPr>
        <w:t>oth et al. 2017)</w:t>
      </w:r>
      <w:r w:rsidR="00151D0F" w:rsidRPr="00154D7B">
        <w:rPr>
          <w:rFonts w:eastAsiaTheme="minorEastAsia"/>
        </w:rPr>
        <w:t xml:space="preserve"> and Soil Grids (Poggio et al. 2021; Turek et al 2023)</w:t>
      </w:r>
      <w:r w:rsidRPr="00154D7B">
        <w:rPr>
          <w:rFonts w:eastAsiaTheme="minorEastAsia"/>
        </w:rPr>
        <w:t>.</w:t>
      </w:r>
    </w:p>
    <w:p w14:paraId="4D01D53B" w14:textId="24A182EB" w:rsidR="00151D0F" w:rsidRDefault="00224F25" w:rsidP="00151D0F">
      <w:pPr>
        <w:spacing w:line="240" w:lineRule="auto"/>
        <w:ind w:firstLine="708"/>
        <w:rPr>
          <w:sz w:val="24"/>
          <w:szCs w:val="24"/>
        </w:rPr>
      </w:pPr>
      <w:bookmarkStart w:id="3" w:name="_Hlk221786802"/>
      <w:r w:rsidRPr="00224F25">
        <w:rPr>
          <w:rFonts w:eastAsiaTheme="minorEastAsia"/>
        </w:rPr>
        <w:t>Precipitations were interpolated using the bilinear reprojection function raster::projectRaster() of the 8km resolution SAFRAN gridded data, thus assuming no particular topographical effect beside the one already included if the raw data.</w:t>
      </w:r>
      <w:bookmarkEnd w:id="3"/>
      <w:r w:rsidR="00151D0F">
        <w:rPr>
          <w:sz w:val="24"/>
          <w:szCs w:val="24"/>
        </w:rPr>
        <w:br w:type="page"/>
      </w:r>
    </w:p>
    <w:p w14:paraId="6E860AFF" w14:textId="2183813D" w:rsidR="00FC75E0" w:rsidRPr="004E0C4D" w:rsidRDefault="00FC75E0" w:rsidP="00BB3946">
      <w:pPr>
        <w:rPr>
          <w:sz w:val="24"/>
          <w:szCs w:val="24"/>
        </w:rPr>
      </w:pPr>
      <w:r w:rsidRPr="004E0C4D">
        <w:rPr>
          <w:sz w:val="24"/>
          <w:szCs w:val="24"/>
        </w:rPr>
        <w:lastRenderedPageBreak/>
        <w:t>Phenology models</w:t>
      </w:r>
    </w:p>
    <w:p w14:paraId="5457AE34" w14:textId="5A2B6021" w:rsidR="0051237D" w:rsidRPr="00BB3946" w:rsidRDefault="0051237D" w:rsidP="00BB3946">
      <w:pPr>
        <w:rPr>
          <w:b/>
          <w:bCs/>
        </w:rPr>
      </w:pPr>
      <w:r w:rsidRPr="00BB3946">
        <w:rPr>
          <w:b/>
          <w:bCs/>
        </w:rPr>
        <w:t>General model structure</w:t>
      </w:r>
      <w:bookmarkEnd w:id="1"/>
    </w:p>
    <w:p w14:paraId="3DD59557" w14:textId="49A152E5" w:rsidR="002F6E07" w:rsidRPr="0007515B" w:rsidRDefault="002F6E07" w:rsidP="004F07B7">
      <w:pPr>
        <w:spacing w:after="0" w:line="240" w:lineRule="auto"/>
        <w:ind w:firstLine="708"/>
        <w:rPr>
          <w:color w:val="FF0000"/>
        </w:rPr>
      </w:pPr>
      <w:r w:rsidRPr="00544CC3">
        <w:rPr>
          <w:rFonts w:eastAsiaTheme="minorEastAsia"/>
        </w:rPr>
        <w:t xml:space="preserve">The general structure of phenology models can be described as followed: </w:t>
      </w:r>
      <m:oMath>
        <m:sSub>
          <m:sSubPr>
            <m:ctrlPr>
              <w:rPr>
                <w:rFonts w:ascii="Cambria Math" w:hAnsi="Cambria Math"/>
                <w:i/>
              </w:rPr>
            </m:ctrlPr>
          </m:sSubPr>
          <m:e>
            <m:r>
              <w:rPr>
                <w:rFonts w:ascii="Cambria Math" w:hAnsi="Cambria Math"/>
              </w:rPr>
              <m:t>t</m:t>
            </m:r>
          </m:e>
          <m:sub>
            <m:r>
              <w:rPr>
                <w:rFonts w:ascii="Cambria Math" w:hAnsi="Cambria Math"/>
              </w:rPr>
              <m:t>n</m:t>
            </m:r>
          </m:sub>
        </m:sSub>
      </m:oMath>
      <w:r w:rsidRPr="00544CC3">
        <w:rPr>
          <w:rFonts w:eastAsiaTheme="minorEastAsia"/>
        </w:rPr>
        <w:t xml:space="preserve"> the occurrence date of a phenology event taking place at the end of development phase </w:t>
      </w:r>
      <m:oMath>
        <m:r>
          <w:rPr>
            <w:rFonts w:ascii="Cambria Math" w:eastAsiaTheme="minorEastAsia" w:hAnsi="Cambria Math"/>
          </w:rPr>
          <m:t>n</m:t>
        </m:r>
      </m:oMath>
      <w:r w:rsidRPr="00544CC3">
        <w:rPr>
          <w:rFonts w:eastAsiaTheme="minorEastAsia"/>
        </w:rPr>
        <w:t xml:space="preserve"> such that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n,t</m:t>
            </m:r>
          </m:sub>
        </m:sSub>
        <m:r>
          <w:rPr>
            <w:rFonts w:ascii="Cambria Math" w:eastAsiaTheme="minorEastAsia" w:hAnsi="Cambria Math"/>
          </w:rPr>
          <m:t xml:space="preserve">= </m:t>
        </m:r>
        <m:nary>
          <m:naryPr>
            <m:chr m:val="∑"/>
            <m:limLoc m:val="undOvr"/>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n-1</m:t>
                </m:r>
              </m:sub>
            </m:sSub>
          </m:sub>
          <m:sup>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n</m:t>
                </m:r>
              </m:sub>
            </m:sSub>
          </m:sup>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n,t</m:t>
                </m:r>
              </m:sub>
            </m:sSub>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n</m:t>
                </m:r>
              </m:sub>
              <m:sup>
                <m:r>
                  <w:rPr>
                    <w:rFonts w:ascii="Cambria Math" w:eastAsiaTheme="minorEastAsia" w:hAnsi="Cambria Math"/>
                  </w:rPr>
                  <m:t>*</m:t>
                </m:r>
              </m:sup>
            </m:sSubSup>
            <m:r>
              <w:rPr>
                <w:rFonts w:ascii="Cambria Math" w:eastAsiaTheme="minorEastAsia" w:hAnsi="Cambria Math"/>
              </w:rPr>
              <m:t xml:space="preserve"> </m:t>
            </m:r>
          </m:e>
        </m:nary>
      </m:oMath>
      <w:r w:rsidRPr="00544CC3">
        <w:t xml:space="preserve">where </w:t>
      </w:r>
      <w:r w:rsidRPr="00544CC3">
        <w:rPr>
          <w:rFonts w:eastAsiaTheme="minorEastAsia"/>
        </w:rPr>
        <w:t xml:space="preserve">the cumulative development state </w:t>
      </w:r>
      <m:oMath>
        <m:sSub>
          <m:sSubPr>
            <m:ctrlPr>
              <w:rPr>
                <w:rFonts w:ascii="Cambria Math" w:eastAsiaTheme="minorEastAsia" w:hAnsi="Cambria Math" w:cs="Times New Roman"/>
                <w:i/>
                <w:sz w:val="24"/>
                <w:szCs w:val="24"/>
              </w:rPr>
            </m:ctrlPr>
          </m:sSubPr>
          <m:e>
            <m:r>
              <w:rPr>
                <w:rFonts w:ascii="Cambria Math" w:eastAsiaTheme="minorEastAsia" w:hAnsi="Cambria Math"/>
              </w:rPr>
              <m:t>S</m:t>
            </m:r>
          </m:e>
          <m:sub>
            <m:r>
              <w:rPr>
                <w:rFonts w:ascii="Cambria Math" w:eastAsiaTheme="minorEastAsia" w:hAnsi="Cambria Math"/>
              </w:rPr>
              <m:t>n,t</m:t>
            </m:r>
          </m:sub>
        </m:sSub>
      </m:oMath>
      <w:r w:rsidRPr="00544CC3">
        <w:t xml:space="preserve"> on day </w:t>
      </w:r>
      <m:oMath>
        <m:r>
          <w:rPr>
            <w:rFonts w:ascii="Cambria Math" w:hAnsi="Cambria Math"/>
          </w:rPr>
          <m:t>t</m:t>
        </m:r>
      </m:oMath>
      <w:r w:rsidRPr="00544CC3">
        <w:rPr>
          <w:rFonts w:eastAsiaTheme="minorEastAsia"/>
        </w:rPr>
        <w:t xml:space="preserve"> increases daily according </w:t>
      </w:r>
      <w:r w:rsidRPr="00544CC3">
        <w:t xml:space="preserve">to the development rate </w:t>
      </w:r>
      <m:oMath>
        <m:sSub>
          <m:sSubPr>
            <m:ctrlPr>
              <w:rPr>
                <w:rFonts w:ascii="Cambria Math" w:eastAsiaTheme="minorEastAsia" w:hAnsi="Cambria Math" w:cs="Times New Roman"/>
                <w:i/>
                <w:sz w:val="24"/>
                <w:szCs w:val="24"/>
              </w:rPr>
            </m:ctrlPr>
          </m:sSubPr>
          <m:e>
            <m:r>
              <w:rPr>
                <w:rFonts w:ascii="Cambria Math" w:eastAsiaTheme="minorEastAsia" w:hAnsi="Cambria Math"/>
              </w:rPr>
              <m:t>R</m:t>
            </m:r>
          </m:e>
          <m:sub>
            <m:r>
              <w:rPr>
                <w:rFonts w:ascii="Cambria Math" w:eastAsiaTheme="minorEastAsia" w:hAnsi="Cambria Math"/>
              </w:rPr>
              <m:t>n,t</m:t>
            </m:r>
          </m:sub>
        </m:sSub>
      </m:oMath>
      <w:r w:rsidRPr="00544CC3">
        <w:rPr>
          <w:rFonts w:eastAsiaTheme="minorEastAsia"/>
        </w:rPr>
        <w:t xml:space="preserve">, which is a function of meteorological variables. This progression starts at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n-1</m:t>
            </m:r>
          </m:sub>
        </m:sSub>
      </m:oMath>
      <w:r w:rsidRPr="00544CC3">
        <w:rPr>
          <w:rFonts w:eastAsiaTheme="minorEastAsia"/>
        </w:rPr>
        <w:t xml:space="preserve">, the end of the previous phase </w:t>
      </w:r>
      <m:oMath>
        <m:r>
          <w:rPr>
            <w:rFonts w:ascii="Cambria Math" w:eastAsiaTheme="minorEastAsia" w:hAnsi="Cambria Math"/>
          </w:rPr>
          <m:t>n-1</m:t>
        </m:r>
      </m:oMath>
      <w:r w:rsidRPr="00544CC3">
        <w:rPr>
          <w:rFonts w:eastAsiaTheme="minorEastAsia"/>
        </w:rPr>
        <w:t xml:space="preserve">, and continues until </w:t>
      </w:r>
      <m:oMath>
        <m:sSub>
          <m:sSubPr>
            <m:ctrlPr>
              <w:rPr>
                <w:rFonts w:ascii="Cambria Math" w:hAnsi="Cambria Math"/>
                <w:i/>
              </w:rPr>
            </m:ctrlPr>
          </m:sSubPr>
          <m:e>
            <m:r>
              <w:rPr>
                <w:rFonts w:ascii="Cambria Math" w:hAnsi="Cambria Math"/>
              </w:rPr>
              <m:t>t</m:t>
            </m:r>
          </m:e>
          <m:sub>
            <m:r>
              <w:rPr>
                <w:rFonts w:ascii="Cambria Math" w:hAnsi="Cambria Math"/>
              </w:rPr>
              <m:t>n</m:t>
            </m:r>
          </m:sub>
        </m:sSub>
      </m:oMath>
      <w:r w:rsidRPr="00544CC3">
        <w:rPr>
          <w:rFonts w:eastAsiaTheme="minorEastAsia"/>
        </w:rPr>
        <w:t xml:space="preserve">, the end of the current phase. The phase is considered complete when the cumulative sum from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n-1</m:t>
            </m:r>
          </m:sub>
        </m:sSub>
        <m:r>
          <w:rPr>
            <w:rFonts w:ascii="Cambria Math" w:eastAsiaTheme="minorEastAsia" w:hAnsi="Cambria Math"/>
          </w:rPr>
          <m:t xml:space="preserve"> </m:t>
        </m:r>
        <m:r>
          <m:rPr>
            <m:sty m:val="p"/>
          </m:rPr>
          <w:rPr>
            <w:rFonts w:ascii="Cambria Math" w:eastAsiaTheme="minorEastAsia" w:hAnsi="Cambria Math"/>
          </w:rPr>
          <m:t xml:space="preserve">to </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 xml:space="preserve"> </m:t>
        </m:r>
      </m:oMath>
      <w:r w:rsidRPr="00544CC3">
        <w:rPr>
          <w:rFonts w:eastAsiaTheme="minorEastAsia"/>
        </w:rPr>
        <w:t xml:space="preserve">of daily development rates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n,t</m:t>
            </m:r>
          </m:sub>
        </m:sSub>
      </m:oMath>
      <w:r w:rsidRPr="00544CC3">
        <w:rPr>
          <w:rFonts w:eastAsiaTheme="minorEastAsia"/>
        </w:rPr>
        <w:t xml:space="preserve"> reaches the critical threshold </w:t>
      </w:r>
      <m:oMath>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m:t>
            </m:r>
          </m:sup>
        </m:sSubSup>
      </m:oMath>
      <w:r w:rsidRPr="00544CC3">
        <w:rPr>
          <w:rFonts w:eastAsiaTheme="minorEastAsia"/>
        </w:rPr>
        <w:t>. A model can describe several phases of development that can overlap or sequentially follow each other (Chuine and Régnière 2017).</w:t>
      </w:r>
      <w:r w:rsidR="004F07B7" w:rsidRPr="0007515B">
        <w:rPr>
          <w:color w:val="FF0000"/>
        </w:rPr>
        <w:t xml:space="preserve"> </w:t>
      </w:r>
    </w:p>
    <w:p w14:paraId="2AAEA061" w14:textId="77777777" w:rsidR="00FA5688" w:rsidRDefault="00FA5688" w:rsidP="00FA5688">
      <w:pPr>
        <w:spacing w:after="0" w:line="240" w:lineRule="auto"/>
        <w:rPr>
          <w:rFonts w:cs="Calibri"/>
          <w:color w:val="000000"/>
        </w:rPr>
      </w:pPr>
    </w:p>
    <w:p w14:paraId="0A13DC65" w14:textId="05706C6A" w:rsidR="00FA5688" w:rsidRPr="00BB3946" w:rsidRDefault="00FC75E0" w:rsidP="00BB3946">
      <w:pPr>
        <w:rPr>
          <w:b/>
          <w:bCs/>
        </w:rPr>
      </w:pPr>
      <w:bookmarkStart w:id="4" w:name="_Hlk204529499"/>
      <w:r w:rsidRPr="00BB3946">
        <w:rPr>
          <w:b/>
          <w:bCs/>
        </w:rPr>
        <w:t>Model</w:t>
      </w:r>
      <w:r w:rsidR="00FA5688" w:rsidRPr="00BB3946">
        <w:rPr>
          <w:b/>
          <w:bCs/>
        </w:rPr>
        <w:t xml:space="preserve"> calibration</w:t>
      </w:r>
      <w:bookmarkEnd w:id="4"/>
    </w:p>
    <w:p w14:paraId="36FACB76" w14:textId="77777777" w:rsidR="00FA5688" w:rsidRPr="00BB3946" w:rsidRDefault="00FA5688" w:rsidP="00BB3946">
      <w:pPr>
        <w:rPr>
          <w:i/>
          <w:iCs/>
        </w:rPr>
      </w:pPr>
      <w:r w:rsidRPr="00BB3946">
        <w:rPr>
          <w:i/>
          <w:iCs/>
        </w:rPr>
        <w:t>Leaf unfolding and flowering sub-models</w:t>
      </w:r>
    </w:p>
    <w:p w14:paraId="7C732D79" w14:textId="5764E562" w:rsidR="00FC75E0" w:rsidRDefault="00FA5688" w:rsidP="00FA5688">
      <w:pPr>
        <w:spacing w:after="0" w:line="240" w:lineRule="auto"/>
      </w:pPr>
      <w:r>
        <w:t>Since for chestnut trees flowers are in the same bud as leaves (Breisch 1995), we first calibrated a 2-phase model for leaf unfolding date (BBCH 15) and then a 1-phase model for the delay between leaf unfolding and flowering (BBCH 65). Similarly, because we had more data on the budburst stage (BBCH 09), we first calibrated a 2-phase model for this stage and then a 1-phase model for the delay between budburst and leaf unfolding. This calibration process allowed us making the most of our data. The first phase of a 2-phase model aims to describe for endodormancy and the second phase describe the ecodormancy, while a 1-phase model describe only the ecodormancy. The rate of development during endodormancy was described with a negative threshold function of temperature</w:t>
      </w:r>
      <w:r w:rsidR="004F07B7">
        <w:t xml:space="preserve"> </w:t>
      </w:r>
      <w:r w:rsidR="00860247">
        <w:t>(Eq. 1)</w:t>
      </w:r>
      <w:r>
        <w:t xml:space="preserve"> while the rate of development during ecodormancy was described with a growing degree-day function</w:t>
      </w:r>
      <w:r w:rsidR="004F07B7">
        <w:t xml:space="preserve"> </w:t>
      </w:r>
      <w:r w:rsidR="00860247">
        <w:t>(Eq. 2).</w:t>
      </w:r>
    </w:p>
    <w:p w14:paraId="0BB64587" w14:textId="6A95F194" w:rsidR="00860247" w:rsidRDefault="00860247" w:rsidP="00FA5688">
      <w:pPr>
        <w:spacing w:after="0" w:line="240" w:lineRule="auto"/>
      </w:pPr>
    </w:p>
    <w:p w14:paraId="1561BB0C" w14:textId="51782DEF" w:rsidR="00860247" w:rsidRDefault="00860247" w:rsidP="00FA5688">
      <w:pPr>
        <w:spacing w:after="0" w:line="240" w:lineRule="auto"/>
        <w:rPr>
          <w:rFonts w:eastAsiaTheme="minorEastAsia"/>
        </w:rPr>
      </w:pPr>
      <w:r>
        <w:t xml:space="preserve">Eq. 1: </w:t>
      </w:r>
      <m:oMath>
        <m:sSub>
          <m:sSubPr>
            <m:ctrlPr>
              <w:rPr>
                <w:rFonts w:ascii="Cambria Math" w:hAnsi="Cambria Math"/>
                <w:i/>
              </w:rPr>
            </m:ctrlPr>
          </m:sSubPr>
          <m:e>
            <m:r>
              <w:rPr>
                <w:rFonts w:ascii="Cambria Math" w:hAnsi="Cambria Math"/>
              </w:rPr>
              <m:t>f</m:t>
            </m:r>
          </m:e>
          <m:sub>
            <m:r>
              <w:rPr>
                <w:rFonts w:ascii="Cambria Math" w:hAnsi="Cambria Math"/>
              </w:rPr>
              <m:t>Threshol</m:t>
            </m:r>
            <m:sSub>
              <m:sSubPr>
                <m:ctrlPr>
                  <w:rPr>
                    <w:rFonts w:ascii="Cambria Math" w:hAnsi="Cambria Math"/>
                    <w:i/>
                  </w:rPr>
                </m:ctrlPr>
              </m:sSubPr>
              <m:e>
                <m:r>
                  <w:rPr>
                    <w:rFonts w:ascii="Cambria Math" w:hAnsi="Cambria Math"/>
                  </w:rPr>
                  <m:t>f</m:t>
                </m:r>
              </m:e>
              <m:sub>
                <m:r>
                  <w:rPr>
                    <w:rFonts w:ascii="Cambria Math" w:hAnsi="Cambria Math"/>
                  </w:rPr>
                  <m:t>inferior</m:t>
                </m:r>
              </m:sub>
            </m:sSub>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d</m:t>
                </m:r>
              </m:sub>
            </m:sSub>
          </m:e>
        </m:d>
        <m:r>
          <w:rPr>
            <w:rFonts w:ascii="Cambria Math" w:hAnsi="Cambria Math"/>
          </w:rPr>
          <m:t xml:space="preserve">= </m:t>
        </m:r>
        <m:m>
          <m:mPr>
            <m:mcs>
              <m:mc>
                <m:mcPr>
                  <m:count m:val="1"/>
                  <m:mcJc m:val="center"/>
                </m:mcPr>
              </m:mc>
            </m:mcs>
            <m:ctrlPr>
              <w:rPr>
                <w:rFonts w:ascii="Cambria Math" w:hAnsi="Cambria Math"/>
                <w:i/>
              </w:rPr>
            </m:ctrlPr>
          </m:mPr>
          <m:mr>
            <m:e>
              <m:r>
                <w:rPr>
                  <w:rFonts w:ascii="Cambria Math" w:hAnsi="Cambria Math"/>
                </w:rPr>
                <m:t xml:space="preserve">1 if </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&lt;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 xml:space="preserve"> </m:t>
              </m:r>
            </m:e>
          </m:mr>
          <m:mr>
            <m:e>
              <m:r>
                <w:rPr>
                  <w:rFonts w:ascii="Cambria Math" w:hAnsi="Cambria Math"/>
                </w:rPr>
                <m:t xml:space="preserve">0 if </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b</m:t>
                  </m:r>
                </m:sub>
              </m:sSub>
            </m:e>
          </m:mr>
        </m:m>
      </m:oMath>
    </w:p>
    <w:p w14:paraId="0A86FD86" w14:textId="306BC3EB" w:rsidR="00860247" w:rsidRPr="000A58BE" w:rsidRDefault="00860247" w:rsidP="00FA5688">
      <w:pPr>
        <w:spacing w:after="0" w:line="240" w:lineRule="auto"/>
      </w:pPr>
      <w:r>
        <w:rPr>
          <w:rFonts w:eastAsiaTheme="minorEastAsia"/>
        </w:rPr>
        <w:t xml:space="preserve">Eq. 2: </w:t>
      </w:r>
      <m:oMath>
        <m:sSub>
          <m:sSubPr>
            <m:ctrlPr>
              <w:rPr>
                <w:rFonts w:ascii="Cambria Math" w:hAnsi="Cambria Math"/>
                <w:i/>
              </w:rPr>
            </m:ctrlPr>
          </m:sSubPr>
          <m:e>
            <m:r>
              <w:rPr>
                <w:rFonts w:ascii="Cambria Math" w:hAnsi="Cambria Math"/>
              </w:rPr>
              <m:t>f</m:t>
            </m:r>
          </m:e>
          <m:sub>
            <m:r>
              <w:rPr>
                <w:rFonts w:ascii="Cambria Math" w:hAnsi="Cambria Math"/>
              </w:rPr>
              <m:t>GDD</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d</m:t>
                </m:r>
              </m:sub>
            </m:sSub>
          </m:e>
        </m:d>
        <m:r>
          <w:rPr>
            <w:rFonts w:ascii="Cambria Math" w:hAnsi="Cambria Math"/>
          </w:rPr>
          <m:t>=Max(0;</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m:t>
        </m:r>
      </m:oMath>
    </w:p>
    <w:p w14:paraId="41410A14" w14:textId="77777777" w:rsidR="00FA5688" w:rsidRPr="00C31ED9" w:rsidRDefault="00FA5688" w:rsidP="00FA5688">
      <w:pPr>
        <w:spacing w:after="0" w:line="240" w:lineRule="auto"/>
      </w:pPr>
    </w:p>
    <w:p w14:paraId="772C7794" w14:textId="77777777" w:rsidR="00FA5688" w:rsidRPr="00BB3946" w:rsidRDefault="00FA5688" w:rsidP="00BB3946">
      <w:pPr>
        <w:rPr>
          <w:i/>
          <w:iCs/>
        </w:rPr>
      </w:pPr>
      <w:r w:rsidRPr="00BB3946">
        <w:rPr>
          <w:i/>
          <w:iCs/>
        </w:rPr>
        <w:t>Fruit maturation sub-model</w:t>
      </w:r>
    </w:p>
    <w:p w14:paraId="36012C9C" w14:textId="60B32580" w:rsidR="00860247" w:rsidRDefault="00FA5688" w:rsidP="00FA5688">
      <w:pPr>
        <w:spacing w:after="0" w:line="240" w:lineRule="auto"/>
      </w:pPr>
      <w:r>
        <w:t>For fruit ripening date (BBCH85) we used a 2-phases model since fruits with slow growth periods tend to exhibit a 2-phase growth pattern with first cellular multiplication after pollination before cellular enlargement (Pei et al. 2020) and then an accumulation of photosynthetic assimilates (Chuine and Beaubien 2001). The rate of development of the first phase was described by a sigmoid function and the rate of development of the second phase was described with a Wang function</w:t>
      </w:r>
      <w:r w:rsidR="00860247">
        <w:t xml:space="preserve"> (Eq. 3) </w:t>
      </w:r>
      <w:r>
        <w:t>(Wang and Engel 1998).</w:t>
      </w:r>
      <w:r w:rsidR="00860247">
        <w:t xml:space="preserve"> </w:t>
      </w:r>
    </w:p>
    <w:p w14:paraId="32AEEF9D" w14:textId="77777777" w:rsidR="00860247" w:rsidRPr="00860247" w:rsidRDefault="00860247" w:rsidP="00860247">
      <w:pPr>
        <w:spacing w:after="0" w:line="240" w:lineRule="auto"/>
        <w:rPr>
          <w:rFonts w:eastAsiaTheme="minorEastAsia"/>
        </w:rPr>
      </w:pPr>
      <w:r>
        <w:t xml:space="preserve">Eq. 3: </w:t>
      </w:r>
      <m:oMath>
        <m:sSub>
          <m:sSubPr>
            <m:ctrlPr>
              <w:rPr>
                <w:rFonts w:ascii="Cambria Math" w:hAnsi="Cambria Math"/>
                <w:i/>
              </w:rPr>
            </m:ctrlPr>
          </m:sSubPr>
          <m:e>
            <m:r>
              <w:rPr>
                <w:rFonts w:ascii="Cambria Math" w:hAnsi="Cambria Math"/>
              </w:rPr>
              <m:t>f</m:t>
            </m:r>
          </m:e>
          <m:sub>
            <m:r>
              <w:rPr>
                <w:rFonts w:ascii="Cambria Math" w:hAnsi="Cambria Math"/>
              </w:rPr>
              <m:t>Wang</m:t>
            </m:r>
          </m:sub>
        </m:sSub>
        <m:r>
          <w:rPr>
            <w:rFonts w:ascii="Cambria Math" w:hAnsi="Cambria Math"/>
          </w:rPr>
          <m:t>=Max</m:t>
        </m:r>
        <m:d>
          <m:dPr>
            <m:begChr m:val="["/>
            <m:endChr m:val="]"/>
            <m:ctrlPr>
              <w:rPr>
                <w:rFonts w:ascii="Cambria Math" w:hAnsi="Cambria Math"/>
                <w:i/>
              </w:rPr>
            </m:ctrlPr>
          </m:dPr>
          <m:e>
            <m:d>
              <m:dPr>
                <m:ctrlPr>
                  <w:rPr>
                    <w:rFonts w:ascii="Cambria Math" w:hAnsi="Cambria Math"/>
                    <w:i/>
                  </w:rPr>
                </m:ctrlPr>
              </m:dPr>
              <m:e>
                <m:r>
                  <w:rPr>
                    <w:rFonts w:ascii="Cambria Math" w:hAnsi="Cambria Math"/>
                  </w:rPr>
                  <m:t>2</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min</m:t>
                            </m:r>
                          </m:sub>
                        </m:sSub>
                      </m:e>
                    </m:d>
                  </m:e>
                  <m:sup>
                    <m:r>
                      <w:rPr>
                        <w:rFonts w:ascii="Cambria Math" w:hAnsi="Cambria Math"/>
                      </w:rPr>
                      <m:t>α</m:t>
                    </m:r>
                  </m:sup>
                </m:sSup>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opt</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min</m:t>
                            </m:r>
                          </m:sub>
                        </m:sSub>
                      </m:e>
                    </m:d>
                  </m:e>
                  <m:sup>
                    <m:sSub>
                      <m:sSubPr>
                        <m:ctrlPr>
                          <w:rPr>
                            <w:rFonts w:ascii="Cambria Math" w:hAnsi="Cambria Math"/>
                            <w:i/>
                          </w:rPr>
                        </m:ctrlPr>
                      </m:sSubPr>
                      <m:e>
                        <m:r>
                          <w:rPr>
                            <w:rFonts w:ascii="Cambria Math" w:hAnsi="Cambria Math"/>
                          </w:rPr>
                          <m:t>α</m:t>
                        </m:r>
                      </m:e>
                      <m:sub/>
                    </m:sSub>
                  </m:sup>
                </m:sSup>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 xml:space="preserve">- </m:t>
                    </m:r>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rPr>
                              <m:t>min</m:t>
                            </m:r>
                          </m:sub>
                        </m:sSub>
                        <m:r>
                          <w:rPr>
                            <w:rFonts w:ascii="Cambria Math" w:hAnsi="Cambria Math"/>
                          </w:rPr>
                          <m:t>)</m:t>
                        </m:r>
                      </m:e>
                      <m:sup>
                        <m:r>
                          <w:rPr>
                            <w:rFonts w:ascii="Cambria Math" w:hAnsi="Cambria Math"/>
                          </w:rPr>
                          <m:t>2α</m:t>
                        </m:r>
                      </m:sup>
                    </m:sSup>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opt</m:t>
                        </m:r>
                      </m:sub>
                    </m:sSub>
                    <m:r>
                      <w:rPr>
                        <w:rFonts w:ascii="Cambria Math" w:hAnsi="Cambria Math"/>
                      </w:rPr>
                      <m:t xml:space="preserve">- </m:t>
                    </m:r>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rPr>
                              <m:t>min</m:t>
                            </m:r>
                          </m:sub>
                        </m:sSub>
                        <m:r>
                          <w:rPr>
                            <w:rFonts w:ascii="Cambria Math" w:hAnsi="Cambria Math"/>
                          </w:rPr>
                          <m:t>)</m:t>
                        </m:r>
                      </m:e>
                      <m:sup>
                        <m:r>
                          <w:rPr>
                            <w:rFonts w:ascii="Cambria Math" w:hAnsi="Cambria Math"/>
                          </w:rPr>
                          <m:t>2α</m:t>
                        </m:r>
                      </m:sup>
                    </m:sSup>
                  </m:den>
                </m:f>
                <m:ctrlPr>
                  <w:rPr>
                    <w:rFonts w:ascii="Cambria Math" w:eastAsiaTheme="minorEastAsia" w:hAnsi="Cambria Math"/>
                    <w:i/>
                  </w:rPr>
                </m:ctrlPr>
              </m:e>
            </m:d>
            <m:r>
              <w:rPr>
                <w:rFonts w:ascii="Cambria Math" w:eastAsiaTheme="minorEastAsia" w:hAnsi="Cambria Math"/>
              </w:rPr>
              <m:t>, 0</m:t>
            </m:r>
            <m:ctrlPr>
              <w:rPr>
                <w:rFonts w:ascii="Cambria Math" w:eastAsiaTheme="minorEastAsia" w:hAnsi="Cambria Math"/>
                <w:i/>
              </w:rPr>
            </m:ctrlPr>
          </m:e>
        </m:d>
        <m:r>
          <w:rPr>
            <w:rFonts w:ascii="Cambria Math" w:eastAsiaTheme="minorEastAsia" w:hAnsi="Cambria Math"/>
          </w:rPr>
          <m:t>;</m:t>
        </m:r>
      </m:oMath>
    </w:p>
    <w:p w14:paraId="50E4088A" w14:textId="7C2B3BAA" w:rsidR="00860247" w:rsidRDefault="00860247" w:rsidP="00860247">
      <w:pPr>
        <w:spacing w:after="0" w:line="240" w:lineRule="auto"/>
      </w:pPr>
      <m:oMathPara>
        <m:oMath>
          <m:r>
            <w:rPr>
              <w:rFonts w:ascii="Cambria Math" w:eastAsiaTheme="minorEastAsia" w:hAnsi="Cambria Math"/>
            </w:rPr>
            <m:t xml:space="preserve">with </m:t>
          </m:r>
          <m:r>
            <w:rPr>
              <w:rFonts w:ascii="Cambria Math" w:hAnsi="Cambria Math"/>
            </w:rPr>
            <m:t>α=</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2</m:t>
                  </m:r>
                </m:e>
              </m:d>
            </m:e>
          </m:func>
          <m:r>
            <w:rPr>
              <w:rFonts w:ascii="Cambria Math" w:hAnsi="Cambria Math"/>
            </w:rPr>
            <m:t>/</m:t>
          </m:r>
          <m:r>
            <m:rPr>
              <m:sty m:val="p"/>
            </m:rPr>
            <w:rPr>
              <w:rFonts w:ascii="Cambria Math" w:hAnsi="Cambria Math"/>
            </w:rPr>
            <m:t>ln⁡</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min</m:t>
                  </m:r>
                </m:sub>
              </m:sSub>
            </m:num>
            <m:den>
              <m:sSub>
                <m:sSubPr>
                  <m:ctrlPr>
                    <w:rPr>
                      <w:rFonts w:ascii="Cambria Math" w:hAnsi="Cambria Math"/>
                      <w:i/>
                    </w:rPr>
                  </m:ctrlPr>
                </m:sSubPr>
                <m:e>
                  <m:r>
                    <w:rPr>
                      <w:rFonts w:ascii="Cambria Math" w:hAnsi="Cambria Math"/>
                    </w:rPr>
                    <m:t>T</m:t>
                  </m:r>
                </m:e>
                <m:sub>
                  <m:r>
                    <w:rPr>
                      <w:rFonts w:ascii="Cambria Math" w:hAnsi="Cambria Math"/>
                    </w:rPr>
                    <m:t>opt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min</m:t>
                  </m:r>
                </m:sub>
              </m:sSub>
            </m:den>
          </m:f>
          <m:r>
            <w:rPr>
              <w:rFonts w:ascii="Cambria Math" w:hAnsi="Cambria Math"/>
            </w:rPr>
            <m:t>)</m:t>
          </m:r>
        </m:oMath>
      </m:oMathPara>
    </w:p>
    <w:p w14:paraId="2BD8433D" w14:textId="77777777" w:rsidR="00860247" w:rsidRDefault="00860247" w:rsidP="00FA5688">
      <w:pPr>
        <w:spacing w:after="0" w:line="240" w:lineRule="auto"/>
      </w:pPr>
    </w:p>
    <w:p w14:paraId="0A79E18C" w14:textId="77777777" w:rsidR="00FA5688" w:rsidRPr="00BB3946" w:rsidRDefault="00FA5688" w:rsidP="00BB3946">
      <w:pPr>
        <w:rPr>
          <w:i/>
          <w:iCs/>
        </w:rPr>
      </w:pPr>
      <w:r w:rsidRPr="00BB3946">
        <w:rPr>
          <w:i/>
          <w:iCs/>
        </w:rPr>
        <w:t>Leaf senescence sub-model</w:t>
      </w:r>
    </w:p>
    <w:p w14:paraId="00CE6C2A" w14:textId="5D1FC54E" w:rsidR="00FA5688" w:rsidRDefault="00FA5688" w:rsidP="00FA5688">
      <w:pPr>
        <w:spacing w:after="0" w:line="240" w:lineRule="auto"/>
      </w:pPr>
      <w:r>
        <w:t xml:space="preserve">Leaf senescence date (BBCH95) in deciduous trees is mainly regulated by cold temperatures (Estralla </w:t>
      </w:r>
      <w:r w:rsidR="00EF3050">
        <w:t>and</w:t>
      </w:r>
      <w:r>
        <w:t xml:space="preserve"> Menzel 2006) and short photoperiod (Keskitalo et al. 2005). We had fewer data for leaf senescence than for other stages so we gathered all observations across varieties and used a 1-phase model whose response function was a sigmoid negative</w:t>
      </w:r>
      <w:r w:rsidR="00FC75E0">
        <w:t xml:space="preserve"> (Eq. 4)</w:t>
      </w:r>
      <w:r>
        <w:t>.</w:t>
      </w:r>
    </w:p>
    <w:p w14:paraId="7091F69C" w14:textId="78213A8C" w:rsidR="00FA5688" w:rsidRDefault="00DF4012" w:rsidP="00DF4012">
      <w:pPr>
        <w:spacing w:after="0" w:line="240" w:lineRule="auto"/>
      </w:pPr>
      <w:r>
        <w:t xml:space="preserve">Eq. 4: </w:t>
      </w:r>
      <m:oMath>
        <m:sSub>
          <m:sSubPr>
            <m:ctrlPr>
              <w:rPr>
                <w:rFonts w:ascii="Cambria Math" w:hAnsi="Cambria Math"/>
                <w:i/>
              </w:rPr>
            </m:ctrlPr>
          </m:sSubPr>
          <m:e>
            <m:r>
              <w:rPr>
                <w:rFonts w:ascii="Cambria Math" w:hAnsi="Cambria Math"/>
              </w:rPr>
              <m:t>f</m:t>
            </m:r>
          </m:e>
          <m:sub>
            <m:r>
              <w:rPr>
                <w:rFonts w:ascii="Cambria Math" w:hAnsi="Cambria Math"/>
              </w:rPr>
              <m:t>Sigmoid</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d</m:t>
                </m:r>
              </m:sub>
            </m:sSub>
          </m:e>
        </m:d>
        <m:r>
          <w:rPr>
            <w:rFonts w:ascii="Cambria Math" w:hAnsi="Cambria Math"/>
          </w:rPr>
          <m:t>=1/(1+</m:t>
        </m:r>
        <m:r>
          <m:rPr>
            <m:sty m:val="p"/>
          </m:rPr>
          <w:rPr>
            <w:rFonts w:ascii="Cambria Math" w:hAnsi="Cambria Math"/>
          </w:rPr>
          <m:t>exp</m:t>
        </m:r>
        <m:d>
          <m:dPr>
            <m:begChr m:val="["/>
            <m:endChr m:val="]"/>
            <m:ctrlPr>
              <w:rPr>
                <w:rFonts w:ascii="Cambria Math" w:hAnsi="Cambria Math"/>
                <w:i/>
              </w:rPr>
            </m:ctrlPr>
          </m:dPr>
          <m:e>
            <m:r>
              <w:rPr>
                <w:rFonts w:ascii="Cambria Math" w:hAnsi="Cambria Math"/>
              </w:rPr>
              <m:t>a</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-b</m:t>
                </m:r>
              </m:e>
            </m:d>
          </m:e>
        </m:d>
        <m:r>
          <w:rPr>
            <w:rFonts w:ascii="Cambria Math" w:hAnsi="Cambria Math"/>
          </w:rPr>
          <m:t>)</m:t>
        </m:r>
      </m:oMath>
    </w:p>
    <w:p w14:paraId="32532345" w14:textId="1B4C6196" w:rsidR="00BB3946" w:rsidRDefault="00BB3946">
      <w:pPr>
        <w:rPr>
          <w:rStyle w:val="Titre4Car"/>
          <w:rFonts w:asciiTheme="minorHAnsi" w:hAnsiTheme="minorHAnsi"/>
          <w:bCs/>
          <w:iCs w:val="0"/>
        </w:rPr>
      </w:pPr>
      <w:bookmarkStart w:id="5" w:name="_Toc204562727"/>
    </w:p>
    <w:p w14:paraId="1BE5042A" w14:textId="13643667" w:rsidR="00281A41" w:rsidRPr="0051237D" w:rsidRDefault="00857AB2" w:rsidP="007F0D97">
      <w:r>
        <w:rPr>
          <w:rStyle w:val="Titre4Car"/>
          <w:rFonts w:asciiTheme="minorHAnsi" w:hAnsiTheme="minorHAnsi"/>
          <w:bCs/>
          <w:iCs w:val="0"/>
        </w:rPr>
        <w:lastRenderedPageBreak/>
        <w:t xml:space="preserve">Supplementary </w:t>
      </w:r>
      <w:r w:rsidR="00281A41" w:rsidRPr="0051237D">
        <w:rPr>
          <w:rStyle w:val="Titre4Car"/>
          <w:rFonts w:asciiTheme="minorHAnsi" w:hAnsiTheme="minorHAnsi"/>
          <w:bCs/>
          <w:iCs w:val="0"/>
        </w:rPr>
        <w:t>Fig.</w:t>
      </w:r>
      <w:r w:rsidR="002F6E07" w:rsidRPr="0051237D">
        <w:rPr>
          <w:rStyle w:val="Titre4Car"/>
          <w:rFonts w:asciiTheme="minorHAnsi" w:hAnsiTheme="minorHAnsi"/>
          <w:bCs/>
          <w:iCs w:val="0"/>
        </w:rPr>
        <w:t xml:space="preserve"> </w:t>
      </w:r>
      <w:r w:rsidR="00281A41" w:rsidRPr="0051237D">
        <w:rPr>
          <w:rStyle w:val="Titre4Car"/>
          <w:rFonts w:asciiTheme="minorHAnsi" w:hAnsiTheme="minorHAnsi"/>
          <w:bCs/>
          <w:iCs w:val="0"/>
        </w:rPr>
        <w:t>S1</w:t>
      </w:r>
      <w:r w:rsidR="00281A41" w:rsidRPr="0051237D">
        <w:t xml:space="preserve"> </w:t>
      </w:r>
      <w:bookmarkStart w:id="6" w:name="_Hlk206670279"/>
      <w:r w:rsidR="00281A41" w:rsidRPr="0051237D">
        <w:t>Schematic description of PHENOFIT4 (Van der Meersch 2025) with ecophysiological processes and functional traits simulated by the model (Chuine and Beaubien 2001) adapted to chestnut tree’s phenology (pictures ©Ponsa).</w:t>
      </w:r>
      <w:bookmarkEnd w:id="5"/>
      <w:bookmarkEnd w:id="6"/>
    </w:p>
    <w:p w14:paraId="3AD4D8F8" w14:textId="77777777" w:rsidR="00281A41" w:rsidRDefault="00281A41" w:rsidP="00281A41">
      <w:r>
        <w:rPr>
          <w:noProof/>
        </w:rPr>
        <w:drawing>
          <wp:anchor distT="0" distB="0" distL="114300" distR="114300" simplePos="0" relativeHeight="251660288" behindDoc="1" locked="0" layoutInCell="1" allowOverlap="1" wp14:anchorId="129469CE" wp14:editId="6A0485CC">
            <wp:simplePos x="0" y="0"/>
            <wp:positionH relativeFrom="margin">
              <wp:align>center</wp:align>
            </wp:positionH>
            <wp:positionV relativeFrom="paragraph">
              <wp:posOffset>-635</wp:posOffset>
            </wp:positionV>
            <wp:extent cx="6264000" cy="5526571"/>
            <wp:effectExtent l="0" t="0" r="381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4000" cy="55265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330FE" w14:textId="77777777" w:rsidR="00BB3946" w:rsidRDefault="00BB3946">
      <w:pPr>
        <w:rPr>
          <w:rStyle w:val="Titre4Car"/>
          <w:rFonts w:asciiTheme="minorHAnsi" w:hAnsiTheme="minorHAnsi"/>
          <w:bCs/>
          <w:iCs w:val="0"/>
        </w:rPr>
      </w:pPr>
      <w:r>
        <w:rPr>
          <w:rStyle w:val="Titre4Car"/>
          <w:rFonts w:asciiTheme="minorHAnsi" w:hAnsiTheme="minorHAnsi"/>
          <w:bCs/>
          <w:iCs w:val="0"/>
        </w:rPr>
        <w:br w:type="page"/>
      </w:r>
    </w:p>
    <w:p w14:paraId="0749E7E8" w14:textId="1E8B35DD" w:rsidR="00F854F1" w:rsidRDefault="00857AB2" w:rsidP="007F0D97">
      <w:r>
        <w:rPr>
          <w:rStyle w:val="Titre4Car"/>
          <w:rFonts w:asciiTheme="minorHAnsi" w:hAnsiTheme="minorHAnsi"/>
          <w:bCs/>
          <w:iCs w:val="0"/>
        </w:rPr>
        <w:lastRenderedPageBreak/>
        <w:t xml:space="preserve">Supplementary </w:t>
      </w:r>
      <w:r w:rsidR="00F854F1" w:rsidRPr="00196FF1">
        <w:rPr>
          <w:b/>
          <w:bCs/>
        </w:rPr>
        <w:t xml:space="preserve">Table </w:t>
      </w:r>
      <w:r w:rsidR="00F854F1">
        <w:rPr>
          <w:b/>
          <w:bCs/>
        </w:rPr>
        <w:t>S</w:t>
      </w:r>
      <w:r w:rsidR="00F854F1" w:rsidRPr="00196FF1">
        <w:rPr>
          <w:b/>
          <w:bCs/>
        </w:rPr>
        <w:t>1</w:t>
      </w:r>
      <w:r w:rsidR="00F854F1">
        <w:t xml:space="preserve"> </w:t>
      </w:r>
      <w:bookmarkStart w:id="7" w:name="_Hlk206668824"/>
      <w:r w:rsidR="00F854F1">
        <w:t>BBCH scale of the five stages observed, adapted to chestnut trees for field observations with farmers.</w:t>
      </w:r>
      <w:bookmarkEnd w:id="7"/>
    </w:p>
    <w:tbl>
      <w:tblPr>
        <w:tblStyle w:val="Grilledutablea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20"/>
        <w:gridCol w:w="3021"/>
        <w:gridCol w:w="3021"/>
      </w:tblGrid>
      <w:tr w:rsidR="00F854F1" w:rsidRPr="00C354E4" w14:paraId="7A8B935C" w14:textId="77777777" w:rsidTr="00AC5DBA">
        <w:tc>
          <w:tcPr>
            <w:tcW w:w="3020" w:type="dxa"/>
            <w:tcBorders>
              <w:top w:val="single" w:sz="4" w:space="0" w:color="auto"/>
              <w:bottom w:val="single" w:sz="4" w:space="0" w:color="auto"/>
            </w:tcBorders>
          </w:tcPr>
          <w:p w14:paraId="39527245" w14:textId="77777777" w:rsidR="00F854F1" w:rsidRPr="00C354E4" w:rsidRDefault="00F854F1" w:rsidP="00AC5DBA">
            <w:r w:rsidRPr="00C354E4">
              <w:t>Phenological stage</w:t>
            </w:r>
          </w:p>
        </w:tc>
        <w:tc>
          <w:tcPr>
            <w:tcW w:w="3021" w:type="dxa"/>
            <w:tcBorders>
              <w:top w:val="single" w:sz="4" w:space="0" w:color="auto"/>
              <w:bottom w:val="single" w:sz="4" w:space="0" w:color="auto"/>
            </w:tcBorders>
          </w:tcPr>
          <w:p w14:paraId="2AF68361" w14:textId="77777777" w:rsidR="00F854F1" w:rsidRPr="00C354E4" w:rsidRDefault="00F854F1" w:rsidP="00AC5DBA"/>
        </w:tc>
        <w:tc>
          <w:tcPr>
            <w:tcW w:w="3021" w:type="dxa"/>
            <w:tcBorders>
              <w:top w:val="single" w:sz="4" w:space="0" w:color="auto"/>
              <w:bottom w:val="single" w:sz="4" w:space="0" w:color="auto"/>
            </w:tcBorders>
          </w:tcPr>
          <w:p w14:paraId="4E1AF090" w14:textId="77777777" w:rsidR="00F854F1" w:rsidRPr="00C354E4" w:rsidRDefault="00F854F1" w:rsidP="00AC5DBA"/>
        </w:tc>
      </w:tr>
      <w:tr w:rsidR="00F854F1" w:rsidRPr="006D05F2" w14:paraId="23CDC28D" w14:textId="77777777" w:rsidTr="00AC5DBA">
        <w:tc>
          <w:tcPr>
            <w:tcW w:w="3020" w:type="dxa"/>
            <w:tcBorders>
              <w:top w:val="single" w:sz="4" w:space="0" w:color="auto"/>
            </w:tcBorders>
          </w:tcPr>
          <w:p w14:paraId="57A12276" w14:textId="77777777" w:rsidR="00F854F1" w:rsidRPr="00C354E4" w:rsidRDefault="00F854F1" w:rsidP="00AC5DBA">
            <w:pPr>
              <w:pStyle w:val="NormalWeb"/>
              <w:spacing w:before="0" w:beforeAutospacing="0" w:after="0" w:afterAutospacing="0"/>
              <w:rPr>
                <w:rFonts w:asciiTheme="minorHAnsi" w:eastAsiaTheme="minorHAnsi" w:hAnsiTheme="minorHAnsi" w:cstheme="minorBidi"/>
                <w:sz w:val="22"/>
                <w:szCs w:val="22"/>
                <w:lang w:eastAsia="en-US"/>
              </w:rPr>
            </w:pPr>
            <w:r w:rsidRPr="00C354E4">
              <w:rPr>
                <w:rFonts w:asciiTheme="minorHAnsi" w:eastAsiaTheme="minorHAnsi" w:hAnsiTheme="minorHAnsi" w:cstheme="minorBidi"/>
                <w:sz w:val="22"/>
                <w:szCs w:val="22"/>
                <w:lang w:eastAsia="en-US"/>
              </w:rPr>
              <w:t xml:space="preserve">Stage 0 </w:t>
            </w:r>
            <w:r>
              <w:rPr>
                <w:rFonts w:asciiTheme="minorHAnsi" w:eastAsiaTheme="minorHAnsi" w:hAnsiTheme="minorHAnsi" w:cstheme="minorBidi"/>
                <w:sz w:val="22"/>
                <w:szCs w:val="22"/>
                <w:lang w:eastAsia="en-US"/>
              </w:rPr>
              <w:t>– Bud development</w:t>
            </w:r>
            <w:r w:rsidRPr="00C354E4">
              <w:rPr>
                <w:rFonts w:asciiTheme="minorHAnsi" w:eastAsiaTheme="minorHAnsi" w:hAnsiTheme="minorHAnsi" w:cstheme="minorBidi"/>
                <w:sz w:val="22"/>
                <w:szCs w:val="22"/>
                <w:lang w:eastAsia="en-US"/>
              </w:rPr>
              <w:t xml:space="preserve"> </w:t>
            </w:r>
          </w:p>
          <w:p w14:paraId="5BB3F463" w14:textId="77777777" w:rsidR="00F854F1" w:rsidRPr="00C354E4" w:rsidRDefault="00F854F1" w:rsidP="00AC5DBA"/>
        </w:tc>
        <w:tc>
          <w:tcPr>
            <w:tcW w:w="3021" w:type="dxa"/>
            <w:tcBorders>
              <w:top w:val="single" w:sz="4" w:space="0" w:color="auto"/>
            </w:tcBorders>
          </w:tcPr>
          <w:p w14:paraId="21B36CE8" w14:textId="77777777" w:rsidR="00F854F1" w:rsidRDefault="00F854F1" w:rsidP="00AC5DBA">
            <w:r w:rsidRPr="00C354E4">
              <w:t xml:space="preserve">Budburst </w:t>
            </w:r>
          </w:p>
          <w:p w14:paraId="7B65CC2E" w14:textId="6B894251" w:rsidR="00F854F1" w:rsidRPr="00C354E4" w:rsidRDefault="00F854F1" w:rsidP="00AC5DBA">
            <w:r w:rsidRPr="00C354E4">
              <w:t>(BBCH 0</w:t>
            </w:r>
            <w:r w:rsidR="000F2E4D">
              <w:t>6</w:t>
            </w:r>
            <w:r w:rsidRPr="00C354E4">
              <w:t>)</w:t>
            </w:r>
          </w:p>
        </w:tc>
        <w:tc>
          <w:tcPr>
            <w:tcW w:w="3021" w:type="dxa"/>
            <w:tcBorders>
              <w:top w:val="single" w:sz="4" w:space="0" w:color="auto"/>
            </w:tcBorders>
          </w:tcPr>
          <w:p w14:paraId="0B5700FE" w14:textId="2C40318E" w:rsidR="00F854F1" w:rsidRPr="00C354E4" w:rsidRDefault="00F854F1" w:rsidP="00AC5DBA">
            <w:r w:rsidRPr="00C354E4">
              <w:t>Green leaf tips have emerged (BBCH 0</w:t>
            </w:r>
            <w:r w:rsidR="000F2E4D">
              <w:t>7</w:t>
            </w:r>
            <w:r w:rsidRPr="00C354E4">
              <w:t>)</w:t>
            </w:r>
          </w:p>
        </w:tc>
      </w:tr>
      <w:tr w:rsidR="00F854F1" w:rsidRPr="00C354E4" w14:paraId="1305E88C" w14:textId="77777777" w:rsidTr="00AC5DBA">
        <w:tc>
          <w:tcPr>
            <w:tcW w:w="3020" w:type="dxa"/>
          </w:tcPr>
          <w:p w14:paraId="27AD707E" w14:textId="77777777" w:rsidR="00F854F1" w:rsidRPr="00C354E4" w:rsidRDefault="00F854F1" w:rsidP="00AC5DBA">
            <w:r w:rsidRPr="00C354E4">
              <w:t xml:space="preserve">Stage 1 </w:t>
            </w:r>
            <w:r>
              <w:t xml:space="preserve">- </w:t>
            </w:r>
            <w:r w:rsidRPr="00C354E4">
              <w:t xml:space="preserve">Leaf development </w:t>
            </w:r>
          </w:p>
        </w:tc>
        <w:tc>
          <w:tcPr>
            <w:tcW w:w="3021" w:type="dxa"/>
          </w:tcPr>
          <w:p w14:paraId="43C16060" w14:textId="77777777" w:rsidR="00F854F1" w:rsidRPr="00C354E4" w:rsidRDefault="00F854F1" w:rsidP="00AC5DBA">
            <w:r w:rsidRPr="00C354E4">
              <w:t xml:space="preserve">10% leaves unfolded, </w:t>
            </w:r>
            <w:r>
              <w:t xml:space="preserve">horizontally </w:t>
            </w:r>
            <w:r w:rsidRPr="00C354E4">
              <w:t>(BBCH 11)</w:t>
            </w:r>
          </w:p>
        </w:tc>
        <w:tc>
          <w:tcPr>
            <w:tcW w:w="3021" w:type="dxa"/>
          </w:tcPr>
          <w:p w14:paraId="6C9B0B1A" w14:textId="77777777" w:rsidR="00F854F1" w:rsidRPr="00C354E4" w:rsidRDefault="00F854F1" w:rsidP="00AC5DBA">
            <w:r w:rsidRPr="00C354E4">
              <w:t xml:space="preserve">50 % leaves unfolded, </w:t>
            </w:r>
            <w:r>
              <w:t>horizontally</w:t>
            </w:r>
            <w:r w:rsidRPr="00C354E4">
              <w:t xml:space="preserve"> (BBCH 15)</w:t>
            </w:r>
          </w:p>
        </w:tc>
      </w:tr>
      <w:tr w:rsidR="00F854F1" w:rsidRPr="006D05F2" w14:paraId="17F4F931" w14:textId="77777777" w:rsidTr="00AC5DBA">
        <w:tc>
          <w:tcPr>
            <w:tcW w:w="3020" w:type="dxa"/>
          </w:tcPr>
          <w:p w14:paraId="64B6FF53" w14:textId="77777777" w:rsidR="00F854F1" w:rsidRPr="00C354E4" w:rsidRDefault="00F854F1" w:rsidP="00AC5DBA">
            <w:pPr>
              <w:pStyle w:val="NormalWeb"/>
              <w:spacing w:before="0" w:beforeAutospacing="0" w:after="0" w:afterAutospacing="0"/>
              <w:rPr>
                <w:rFonts w:asciiTheme="minorHAnsi" w:eastAsiaTheme="minorHAnsi" w:hAnsiTheme="minorHAnsi" w:cstheme="minorBidi"/>
                <w:sz w:val="22"/>
                <w:szCs w:val="22"/>
                <w:lang w:eastAsia="en-US"/>
              </w:rPr>
            </w:pPr>
            <w:r w:rsidRPr="00C354E4">
              <w:rPr>
                <w:rFonts w:asciiTheme="minorHAnsi" w:eastAsiaTheme="minorHAnsi" w:hAnsiTheme="minorHAnsi" w:cstheme="minorBidi"/>
                <w:sz w:val="22"/>
                <w:szCs w:val="22"/>
                <w:lang w:eastAsia="en-US"/>
              </w:rPr>
              <w:t xml:space="preserve">Stage 6 </w:t>
            </w:r>
            <w:r>
              <w:rPr>
                <w:rFonts w:asciiTheme="minorHAnsi" w:eastAsiaTheme="minorHAnsi" w:hAnsiTheme="minorHAnsi" w:cstheme="minorBidi"/>
                <w:sz w:val="22"/>
                <w:szCs w:val="22"/>
                <w:lang w:eastAsia="en-US"/>
              </w:rPr>
              <w:t xml:space="preserve">- </w:t>
            </w:r>
            <w:r w:rsidRPr="00C354E4">
              <w:rPr>
                <w:rFonts w:asciiTheme="minorHAnsi" w:eastAsiaTheme="minorHAnsi" w:hAnsiTheme="minorHAnsi" w:cstheme="minorBidi"/>
                <w:sz w:val="22"/>
                <w:szCs w:val="22"/>
                <w:lang w:eastAsia="en-US"/>
              </w:rPr>
              <w:t xml:space="preserve">Flowering </w:t>
            </w:r>
          </w:p>
          <w:p w14:paraId="5B6E0365" w14:textId="77777777" w:rsidR="00F854F1" w:rsidRPr="00C354E4" w:rsidRDefault="00F854F1" w:rsidP="00AC5DBA"/>
        </w:tc>
        <w:tc>
          <w:tcPr>
            <w:tcW w:w="3021" w:type="dxa"/>
          </w:tcPr>
          <w:p w14:paraId="26851747" w14:textId="77777777" w:rsidR="00F854F1" w:rsidRPr="00C354E4" w:rsidRDefault="00F854F1" w:rsidP="00AC5DBA">
            <w:r w:rsidRPr="00C354E4">
              <w:t>10% of unisexual male catkins mature (BBCH 61)</w:t>
            </w:r>
          </w:p>
        </w:tc>
        <w:tc>
          <w:tcPr>
            <w:tcW w:w="3021" w:type="dxa"/>
          </w:tcPr>
          <w:p w14:paraId="5ADAD39C" w14:textId="77777777" w:rsidR="00F854F1" w:rsidRPr="00C354E4" w:rsidRDefault="00F854F1" w:rsidP="00AC5DBA">
            <w:r w:rsidRPr="00C354E4">
              <w:t>50 % of unisexual male catkins mature (BBCH 65)</w:t>
            </w:r>
          </w:p>
        </w:tc>
      </w:tr>
      <w:tr w:rsidR="00F854F1" w:rsidRPr="00C354E4" w14:paraId="46778DDA" w14:textId="77777777" w:rsidTr="00AC5DBA">
        <w:tc>
          <w:tcPr>
            <w:tcW w:w="3020" w:type="dxa"/>
            <w:tcBorders>
              <w:bottom w:val="single" w:sz="4" w:space="0" w:color="auto"/>
            </w:tcBorders>
          </w:tcPr>
          <w:p w14:paraId="2C088765" w14:textId="77777777" w:rsidR="00F854F1" w:rsidRPr="00C354E4" w:rsidRDefault="00F854F1" w:rsidP="00AC5DBA">
            <w:r w:rsidRPr="00C354E4">
              <w:t xml:space="preserve">Stage 8 </w:t>
            </w:r>
            <w:r>
              <w:t xml:space="preserve">- </w:t>
            </w:r>
            <w:r w:rsidRPr="00C354E4">
              <w:t>Fruit maturity</w:t>
            </w:r>
          </w:p>
          <w:p w14:paraId="5E3F092D" w14:textId="77777777" w:rsidR="00F854F1" w:rsidRPr="00C354E4" w:rsidRDefault="00F854F1" w:rsidP="00AC5DBA"/>
        </w:tc>
        <w:tc>
          <w:tcPr>
            <w:tcW w:w="3021" w:type="dxa"/>
            <w:tcBorders>
              <w:bottom w:val="single" w:sz="4" w:space="0" w:color="auto"/>
            </w:tcBorders>
          </w:tcPr>
          <w:p w14:paraId="334FFB3C" w14:textId="77777777" w:rsidR="00F854F1" w:rsidRDefault="00F854F1" w:rsidP="00AC5DBA">
            <w:r w:rsidRPr="00C354E4">
              <w:t xml:space="preserve">10% of chestnut fallen </w:t>
            </w:r>
          </w:p>
          <w:p w14:paraId="1E65F841" w14:textId="77777777" w:rsidR="00F854F1" w:rsidRPr="00C354E4" w:rsidRDefault="00F854F1" w:rsidP="00AC5DBA">
            <w:r w:rsidRPr="00C354E4">
              <w:t>(BBCH 81)</w:t>
            </w:r>
          </w:p>
        </w:tc>
        <w:tc>
          <w:tcPr>
            <w:tcW w:w="3021" w:type="dxa"/>
            <w:tcBorders>
              <w:bottom w:val="single" w:sz="4" w:space="0" w:color="auto"/>
            </w:tcBorders>
          </w:tcPr>
          <w:p w14:paraId="48F185B8" w14:textId="77777777" w:rsidR="00F854F1" w:rsidRDefault="00F854F1" w:rsidP="00AC5DBA">
            <w:r w:rsidRPr="00C354E4">
              <w:t xml:space="preserve">50 % of chestnut fallen </w:t>
            </w:r>
          </w:p>
          <w:p w14:paraId="74A3AED8" w14:textId="77777777" w:rsidR="00F854F1" w:rsidRPr="00C354E4" w:rsidRDefault="00F854F1" w:rsidP="00AC5DBA">
            <w:r w:rsidRPr="00C354E4">
              <w:t>(BBCH 85)</w:t>
            </w:r>
          </w:p>
        </w:tc>
      </w:tr>
      <w:tr w:rsidR="00F854F1" w:rsidRPr="006D05F2" w14:paraId="4459F389" w14:textId="77777777" w:rsidTr="00AC5DBA">
        <w:tc>
          <w:tcPr>
            <w:tcW w:w="3020" w:type="dxa"/>
            <w:tcBorders>
              <w:top w:val="single" w:sz="4" w:space="0" w:color="auto"/>
              <w:bottom w:val="single" w:sz="4" w:space="0" w:color="auto"/>
            </w:tcBorders>
          </w:tcPr>
          <w:p w14:paraId="7389C7EC" w14:textId="77777777" w:rsidR="00F854F1" w:rsidRPr="00C354E4" w:rsidRDefault="00F854F1" w:rsidP="00AC5DBA">
            <w:pPr>
              <w:pStyle w:val="NormalWeb"/>
              <w:spacing w:before="0" w:beforeAutospacing="0" w:after="0" w:afterAutospacing="0"/>
              <w:rPr>
                <w:rFonts w:asciiTheme="minorHAnsi" w:eastAsiaTheme="minorHAnsi" w:hAnsiTheme="minorHAnsi" w:cstheme="minorBidi"/>
                <w:sz w:val="22"/>
                <w:szCs w:val="22"/>
                <w:lang w:eastAsia="en-US"/>
              </w:rPr>
            </w:pPr>
            <w:r w:rsidRPr="00C354E4">
              <w:rPr>
                <w:rFonts w:asciiTheme="minorHAnsi" w:eastAsiaTheme="minorHAnsi" w:hAnsiTheme="minorHAnsi" w:cstheme="minorBidi"/>
                <w:sz w:val="22"/>
                <w:szCs w:val="22"/>
                <w:lang w:eastAsia="en-US"/>
              </w:rPr>
              <w:t xml:space="preserve">Stage 9 </w:t>
            </w:r>
            <w:r>
              <w:rPr>
                <w:rFonts w:asciiTheme="minorHAnsi" w:eastAsiaTheme="minorHAnsi" w:hAnsiTheme="minorHAnsi" w:cstheme="minorBidi"/>
                <w:sz w:val="22"/>
                <w:szCs w:val="22"/>
                <w:lang w:eastAsia="en-US"/>
              </w:rPr>
              <w:t xml:space="preserve">- </w:t>
            </w:r>
            <w:r w:rsidRPr="00C354E4">
              <w:rPr>
                <w:rFonts w:asciiTheme="minorHAnsi" w:eastAsiaTheme="minorHAnsi" w:hAnsiTheme="minorHAnsi" w:cstheme="minorBidi"/>
                <w:sz w:val="22"/>
                <w:szCs w:val="22"/>
                <w:lang w:eastAsia="en-US"/>
              </w:rPr>
              <w:t>Leaf senescence</w:t>
            </w:r>
          </w:p>
          <w:p w14:paraId="07C79FE0" w14:textId="77777777" w:rsidR="00F854F1" w:rsidRPr="00C354E4" w:rsidRDefault="00F854F1" w:rsidP="00AC5DBA"/>
        </w:tc>
        <w:tc>
          <w:tcPr>
            <w:tcW w:w="3021" w:type="dxa"/>
            <w:tcBorders>
              <w:top w:val="single" w:sz="4" w:space="0" w:color="auto"/>
              <w:bottom w:val="single" w:sz="4" w:space="0" w:color="auto"/>
            </w:tcBorders>
          </w:tcPr>
          <w:p w14:paraId="104D00A9" w14:textId="77777777" w:rsidR="00F854F1" w:rsidRPr="00C354E4" w:rsidRDefault="00F854F1" w:rsidP="00AC5DBA">
            <w:r w:rsidRPr="00C354E4">
              <w:t>10% of leaves turned yellow (BBCH 91)</w:t>
            </w:r>
          </w:p>
        </w:tc>
        <w:tc>
          <w:tcPr>
            <w:tcW w:w="3021" w:type="dxa"/>
            <w:tcBorders>
              <w:top w:val="single" w:sz="4" w:space="0" w:color="auto"/>
              <w:bottom w:val="single" w:sz="4" w:space="0" w:color="auto"/>
            </w:tcBorders>
          </w:tcPr>
          <w:p w14:paraId="751F1448" w14:textId="77777777" w:rsidR="00F854F1" w:rsidRPr="00C354E4" w:rsidRDefault="00F854F1" w:rsidP="00AC5DBA">
            <w:r w:rsidRPr="00C354E4">
              <w:t>50 % of leaves turned yellow (BBCH 95)</w:t>
            </w:r>
          </w:p>
        </w:tc>
      </w:tr>
    </w:tbl>
    <w:p w14:paraId="49528A1F" w14:textId="77777777" w:rsidR="00F854F1" w:rsidRDefault="00F854F1" w:rsidP="00F854F1">
      <w:pPr>
        <w:rPr>
          <w:b/>
          <w:bCs/>
        </w:rPr>
      </w:pPr>
      <w:r>
        <w:rPr>
          <w:b/>
          <w:bCs/>
        </w:rPr>
        <w:br w:type="page"/>
      </w:r>
    </w:p>
    <w:p w14:paraId="58AC04CD" w14:textId="12C4A59E" w:rsidR="002F6E07" w:rsidRDefault="00857AB2" w:rsidP="007F0D97">
      <w:bookmarkStart w:id="8" w:name="_Toc204562728"/>
      <w:r>
        <w:rPr>
          <w:rStyle w:val="Titre4Car"/>
          <w:rFonts w:asciiTheme="minorHAnsi" w:hAnsiTheme="minorHAnsi"/>
          <w:bCs/>
          <w:iCs w:val="0"/>
        </w:rPr>
        <w:lastRenderedPageBreak/>
        <w:t xml:space="preserve">Supplementary </w:t>
      </w:r>
      <w:r w:rsidR="002F6E07" w:rsidRPr="0051237D">
        <w:rPr>
          <w:b/>
          <w:bCs/>
        </w:rPr>
        <w:t>Table S</w:t>
      </w:r>
      <w:r w:rsidR="00F854F1">
        <w:rPr>
          <w:b/>
          <w:bCs/>
        </w:rPr>
        <w:t>2</w:t>
      </w:r>
      <w:r w:rsidR="002F6E07" w:rsidRPr="0051237D">
        <w:rPr>
          <w:b/>
          <w:bCs/>
        </w:rPr>
        <w:t xml:space="preserve"> </w:t>
      </w:r>
      <w:bookmarkStart w:id="9" w:name="_Hlk206670199"/>
      <w:r w:rsidR="002F6E07">
        <w:t xml:space="preserve">PHENOFIT parameters </w:t>
      </w:r>
      <w:r w:rsidR="0021492F">
        <w:t>for chestnut tree</w:t>
      </w:r>
      <w:r w:rsidR="002F6E07">
        <w:t>.</w:t>
      </w:r>
      <w:bookmarkEnd w:id="8"/>
      <w:r w:rsidR="00062A8D">
        <w:t xml:space="preserve"> When no value is indicated, please refer to Table 3 showing parameter values for each variety. </w:t>
      </w:r>
      <w:bookmarkEnd w:id="9"/>
    </w:p>
    <w:tbl>
      <w:tblPr>
        <w:tblW w:w="9623" w:type="dxa"/>
        <w:tblCellMar>
          <w:left w:w="70" w:type="dxa"/>
          <w:right w:w="70" w:type="dxa"/>
        </w:tblCellMar>
        <w:tblLook w:val="04A0" w:firstRow="1" w:lastRow="0" w:firstColumn="1" w:lastColumn="0" w:noHBand="0" w:noVBand="1"/>
      </w:tblPr>
      <w:tblGrid>
        <w:gridCol w:w="981"/>
        <w:gridCol w:w="1361"/>
        <w:gridCol w:w="893"/>
        <w:gridCol w:w="1004"/>
        <w:gridCol w:w="871"/>
        <w:gridCol w:w="4513"/>
      </w:tblGrid>
      <w:tr w:rsidR="002F6E07" w:rsidRPr="00952453" w14:paraId="4EB49A78" w14:textId="77777777" w:rsidTr="00B066C7">
        <w:trPr>
          <w:trHeight w:val="261"/>
        </w:trPr>
        <w:tc>
          <w:tcPr>
            <w:tcW w:w="981" w:type="dxa"/>
            <w:tcBorders>
              <w:top w:val="single" w:sz="4" w:space="0" w:color="auto"/>
              <w:left w:val="nil"/>
              <w:bottom w:val="single" w:sz="4" w:space="0" w:color="auto"/>
              <w:right w:val="nil"/>
            </w:tcBorders>
            <w:shd w:val="clear" w:color="auto" w:fill="auto"/>
            <w:vAlign w:val="center"/>
            <w:hideMark/>
          </w:tcPr>
          <w:p w14:paraId="5A41009E"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Process</w:t>
            </w:r>
          </w:p>
        </w:tc>
        <w:tc>
          <w:tcPr>
            <w:tcW w:w="1361" w:type="dxa"/>
            <w:tcBorders>
              <w:top w:val="single" w:sz="4" w:space="0" w:color="auto"/>
              <w:left w:val="nil"/>
              <w:bottom w:val="single" w:sz="4" w:space="0" w:color="auto"/>
              <w:right w:val="nil"/>
            </w:tcBorders>
            <w:shd w:val="clear" w:color="auto" w:fill="auto"/>
            <w:vAlign w:val="center"/>
            <w:hideMark/>
          </w:tcPr>
          <w:p w14:paraId="0AC18691"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Subprocess</w:t>
            </w:r>
          </w:p>
        </w:tc>
        <w:tc>
          <w:tcPr>
            <w:tcW w:w="893" w:type="dxa"/>
            <w:tcBorders>
              <w:top w:val="single" w:sz="4" w:space="0" w:color="auto"/>
              <w:left w:val="nil"/>
              <w:bottom w:val="single" w:sz="4" w:space="0" w:color="auto"/>
              <w:right w:val="nil"/>
            </w:tcBorders>
            <w:shd w:val="clear" w:color="auto" w:fill="auto"/>
            <w:vAlign w:val="center"/>
            <w:hideMark/>
          </w:tcPr>
          <w:p w14:paraId="3D5421FF"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Function</w:t>
            </w:r>
          </w:p>
        </w:tc>
        <w:tc>
          <w:tcPr>
            <w:tcW w:w="1004" w:type="dxa"/>
            <w:tcBorders>
              <w:top w:val="single" w:sz="4" w:space="0" w:color="auto"/>
              <w:left w:val="nil"/>
              <w:bottom w:val="single" w:sz="4" w:space="0" w:color="auto"/>
              <w:right w:val="nil"/>
            </w:tcBorders>
            <w:shd w:val="clear" w:color="auto" w:fill="auto"/>
            <w:vAlign w:val="center"/>
            <w:hideMark/>
          </w:tcPr>
          <w:p w14:paraId="5FA90BC0"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Parameter</w:t>
            </w:r>
          </w:p>
        </w:tc>
        <w:tc>
          <w:tcPr>
            <w:tcW w:w="871" w:type="dxa"/>
            <w:tcBorders>
              <w:top w:val="single" w:sz="4" w:space="0" w:color="auto"/>
              <w:left w:val="nil"/>
              <w:bottom w:val="single" w:sz="4" w:space="0" w:color="auto"/>
              <w:right w:val="nil"/>
            </w:tcBorders>
            <w:vAlign w:val="center"/>
          </w:tcPr>
          <w:p w14:paraId="7334B5F7"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Set values</w:t>
            </w:r>
          </w:p>
        </w:tc>
        <w:tc>
          <w:tcPr>
            <w:tcW w:w="4513" w:type="dxa"/>
            <w:tcBorders>
              <w:top w:val="single" w:sz="4" w:space="0" w:color="auto"/>
              <w:left w:val="nil"/>
              <w:bottom w:val="single" w:sz="4" w:space="0" w:color="auto"/>
              <w:right w:val="nil"/>
            </w:tcBorders>
            <w:shd w:val="clear" w:color="auto" w:fill="auto"/>
            <w:vAlign w:val="center"/>
            <w:hideMark/>
          </w:tcPr>
          <w:p w14:paraId="4835B02D"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Definition</w:t>
            </w:r>
          </w:p>
        </w:tc>
      </w:tr>
      <w:tr w:rsidR="002F6E07" w:rsidRPr="006D05F2" w14:paraId="11FA81A5" w14:textId="77777777" w:rsidTr="00B066C7">
        <w:trPr>
          <w:trHeight w:val="261"/>
        </w:trPr>
        <w:tc>
          <w:tcPr>
            <w:tcW w:w="981" w:type="dxa"/>
            <w:vMerge w:val="restart"/>
            <w:tcBorders>
              <w:top w:val="nil"/>
              <w:left w:val="nil"/>
              <w:bottom w:val="single" w:sz="4" w:space="0" w:color="000000"/>
              <w:right w:val="nil"/>
            </w:tcBorders>
            <w:shd w:val="clear" w:color="auto" w:fill="auto"/>
            <w:vAlign w:val="center"/>
            <w:hideMark/>
          </w:tcPr>
          <w:p w14:paraId="0196CB8F"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Leaf unfolding</w:t>
            </w:r>
          </w:p>
        </w:tc>
        <w:tc>
          <w:tcPr>
            <w:tcW w:w="1361" w:type="dxa"/>
            <w:vMerge w:val="restart"/>
            <w:tcBorders>
              <w:top w:val="nil"/>
              <w:left w:val="nil"/>
              <w:bottom w:val="nil"/>
              <w:right w:val="nil"/>
            </w:tcBorders>
            <w:shd w:val="clear" w:color="auto" w:fill="auto"/>
            <w:vAlign w:val="center"/>
            <w:hideMark/>
          </w:tcPr>
          <w:p w14:paraId="110BD7E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Endodormancy</w:t>
            </w:r>
          </w:p>
        </w:tc>
        <w:tc>
          <w:tcPr>
            <w:tcW w:w="893" w:type="dxa"/>
            <w:vMerge w:val="restart"/>
            <w:tcBorders>
              <w:top w:val="nil"/>
              <w:left w:val="nil"/>
              <w:bottom w:val="nil"/>
              <w:right w:val="nil"/>
            </w:tcBorders>
            <w:shd w:val="clear" w:color="auto" w:fill="auto"/>
            <w:vAlign w:val="center"/>
            <w:hideMark/>
          </w:tcPr>
          <w:p w14:paraId="0E65D604"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Threshold inferior</w:t>
            </w:r>
          </w:p>
        </w:tc>
        <w:tc>
          <w:tcPr>
            <w:tcW w:w="1004" w:type="dxa"/>
            <w:tcBorders>
              <w:top w:val="nil"/>
              <w:left w:val="nil"/>
              <w:bottom w:val="nil"/>
              <w:right w:val="nil"/>
            </w:tcBorders>
            <w:shd w:val="clear" w:color="auto" w:fill="auto"/>
            <w:vAlign w:val="center"/>
            <w:hideMark/>
          </w:tcPr>
          <w:p w14:paraId="73D01F6B"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t</m:t>
                  </m:r>
                </m:e>
                <m:sub>
                  <m:r>
                    <w:rPr>
                      <w:rFonts w:ascii="Cambria Math" w:eastAsia="Times New Roman" w:hAnsi="Cambria Math" w:cs="Calibri"/>
                      <w:color w:val="000000"/>
                      <w:sz w:val="18"/>
                      <w:szCs w:val="18"/>
                      <w:lang w:eastAsia="fr-FR"/>
                    </w:rPr>
                    <m:t>0</m:t>
                  </m:r>
                </m:sub>
              </m:sSub>
            </m:oMath>
            <w:r w:rsidR="002F6E07" w:rsidRPr="00952453">
              <w:rPr>
                <w:rFonts w:ascii="Calibri" w:eastAsia="Times New Roman" w:hAnsi="Calibri" w:cs="Calibri"/>
                <w:color w:val="000000"/>
                <w:sz w:val="18"/>
                <w:szCs w:val="18"/>
                <w:lang w:eastAsia="fr-FR"/>
              </w:rPr>
              <w:t xml:space="preserve"> </w:t>
            </w:r>
          </w:p>
        </w:tc>
        <w:tc>
          <w:tcPr>
            <w:tcW w:w="871" w:type="dxa"/>
            <w:tcBorders>
              <w:top w:val="nil"/>
              <w:left w:val="nil"/>
              <w:bottom w:val="nil"/>
              <w:right w:val="nil"/>
            </w:tcBorders>
          </w:tcPr>
          <w:p w14:paraId="12524AC4"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-122</w:t>
            </w:r>
          </w:p>
        </w:tc>
        <w:tc>
          <w:tcPr>
            <w:tcW w:w="4513" w:type="dxa"/>
            <w:tcBorders>
              <w:top w:val="nil"/>
              <w:left w:val="nil"/>
              <w:bottom w:val="nil"/>
              <w:right w:val="nil"/>
            </w:tcBorders>
            <w:shd w:val="clear" w:color="auto" w:fill="auto"/>
            <w:vAlign w:val="center"/>
            <w:hideMark/>
          </w:tcPr>
          <w:p w14:paraId="7A0AF8DF"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Starting date of the endodormancy phase</w:t>
            </w:r>
          </w:p>
        </w:tc>
      </w:tr>
      <w:tr w:rsidR="002F6E07" w:rsidRPr="006D05F2" w14:paraId="5A5B3AD7" w14:textId="77777777" w:rsidTr="00B066C7">
        <w:trPr>
          <w:trHeight w:val="261"/>
        </w:trPr>
        <w:tc>
          <w:tcPr>
            <w:tcW w:w="981" w:type="dxa"/>
            <w:vMerge/>
            <w:tcBorders>
              <w:top w:val="nil"/>
              <w:left w:val="nil"/>
              <w:bottom w:val="single" w:sz="4" w:space="0" w:color="000000"/>
              <w:right w:val="nil"/>
            </w:tcBorders>
            <w:vAlign w:val="center"/>
            <w:hideMark/>
          </w:tcPr>
          <w:p w14:paraId="524C4984"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nil"/>
              <w:right w:val="nil"/>
            </w:tcBorders>
            <w:vAlign w:val="center"/>
            <w:hideMark/>
          </w:tcPr>
          <w:p w14:paraId="53AD3E18"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nil"/>
              <w:right w:val="nil"/>
            </w:tcBorders>
            <w:vAlign w:val="center"/>
            <w:hideMark/>
          </w:tcPr>
          <w:p w14:paraId="3834033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nil"/>
              <w:right w:val="nil"/>
            </w:tcBorders>
            <w:shd w:val="clear" w:color="auto" w:fill="auto"/>
            <w:vAlign w:val="center"/>
            <w:hideMark/>
          </w:tcPr>
          <w:p w14:paraId="3E6B8542"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V</m:t>
                    </m:r>
                  </m:e>
                  <m:sub>
                    <m:r>
                      <w:rPr>
                        <w:rFonts w:ascii="Cambria Math" w:eastAsia="Times New Roman" w:hAnsi="Cambria Math" w:cs="Calibri"/>
                        <w:color w:val="000000"/>
                        <w:sz w:val="18"/>
                        <w:szCs w:val="18"/>
                        <w:lang w:eastAsia="fr-FR"/>
                      </w:rPr>
                      <m:t>b</m:t>
                    </m:r>
                  </m:sub>
                </m:sSub>
              </m:oMath>
            </m:oMathPara>
          </w:p>
        </w:tc>
        <w:tc>
          <w:tcPr>
            <w:tcW w:w="871" w:type="dxa"/>
            <w:tcBorders>
              <w:top w:val="nil"/>
              <w:left w:val="nil"/>
              <w:bottom w:val="nil"/>
              <w:right w:val="nil"/>
            </w:tcBorders>
          </w:tcPr>
          <w:p w14:paraId="3DE404A0"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6F924B2F"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Threshold temperature of the Threshold inferior function</w:t>
            </w:r>
          </w:p>
        </w:tc>
      </w:tr>
      <w:tr w:rsidR="002F6E07" w:rsidRPr="006D05F2" w14:paraId="0650C83B" w14:textId="77777777" w:rsidTr="00B066C7">
        <w:trPr>
          <w:trHeight w:val="261"/>
        </w:trPr>
        <w:tc>
          <w:tcPr>
            <w:tcW w:w="981" w:type="dxa"/>
            <w:vMerge/>
            <w:tcBorders>
              <w:top w:val="nil"/>
              <w:left w:val="nil"/>
              <w:bottom w:val="single" w:sz="4" w:space="0" w:color="000000"/>
              <w:right w:val="nil"/>
            </w:tcBorders>
            <w:vAlign w:val="center"/>
            <w:hideMark/>
          </w:tcPr>
          <w:p w14:paraId="78ED322D"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nil"/>
              <w:right w:val="nil"/>
            </w:tcBorders>
            <w:vAlign w:val="center"/>
            <w:hideMark/>
          </w:tcPr>
          <w:p w14:paraId="3EAAF404"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nil"/>
              <w:right w:val="nil"/>
            </w:tcBorders>
            <w:vAlign w:val="center"/>
            <w:hideMark/>
          </w:tcPr>
          <w:p w14:paraId="3F60071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61FD85DA"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C</m:t>
                    </m:r>
                  </m:e>
                  <m:sub>
                    <m:r>
                      <w:rPr>
                        <w:rFonts w:ascii="Cambria Math" w:eastAsia="Times New Roman" w:hAnsi="Cambria Math" w:cs="Calibri"/>
                        <w:color w:val="000000"/>
                        <w:sz w:val="18"/>
                        <w:szCs w:val="18"/>
                        <w:lang w:eastAsia="fr-FR"/>
                      </w:rPr>
                      <m:t>crit</m:t>
                    </m:r>
                  </m:sub>
                </m:sSub>
              </m:oMath>
            </m:oMathPara>
          </w:p>
        </w:tc>
        <w:tc>
          <w:tcPr>
            <w:tcW w:w="871" w:type="dxa"/>
            <w:tcBorders>
              <w:top w:val="nil"/>
              <w:left w:val="nil"/>
              <w:bottom w:val="single" w:sz="4" w:space="0" w:color="auto"/>
              <w:right w:val="nil"/>
            </w:tcBorders>
          </w:tcPr>
          <w:p w14:paraId="5604DD60"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single" w:sz="4" w:space="0" w:color="auto"/>
              <w:right w:val="nil"/>
            </w:tcBorders>
            <w:shd w:val="clear" w:color="auto" w:fill="auto"/>
            <w:vAlign w:val="center"/>
            <w:hideMark/>
          </w:tcPr>
          <w:p w14:paraId="13AD9C45"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Critical state of development corresponding to dormancy break</w:t>
            </w:r>
          </w:p>
        </w:tc>
      </w:tr>
      <w:tr w:rsidR="002F6E07" w:rsidRPr="006D05F2" w14:paraId="01DD3568" w14:textId="77777777" w:rsidTr="00B066C7">
        <w:trPr>
          <w:trHeight w:val="261"/>
        </w:trPr>
        <w:tc>
          <w:tcPr>
            <w:tcW w:w="981" w:type="dxa"/>
            <w:vMerge/>
            <w:tcBorders>
              <w:top w:val="nil"/>
              <w:left w:val="nil"/>
              <w:bottom w:val="single" w:sz="4" w:space="0" w:color="000000"/>
              <w:right w:val="nil"/>
            </w:tcBorders>
            <w:vAlign w:val="center"/>
            <w:hideMark/>
          </w:tcPr>
          <w:p w14:paraId="641E25A5"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val="restart"/>
            <w:tcBorders>
              <w:top w:val="nil"/>
              <w:left w:val="nil"/>
              <w:bottom w:val="single" w:sz="4" w:space="0" w:color="000000"/>
              <w:right w:val="nil"/>
            </w:tcBorders>
            <w:shd w:val="clear" w:color="auto" w:fill="auto"/>
            <w:vAlign w:val="center"/>
            <w:hideMark/>
          </w:tcPr>
          <w:p w14:paraId="73971D34"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Ecodormancy</w:t>
            </w:r>
          </w:p>
        </w:tc>
        <w:tc>
          <w:tcPr>
            <w:tcW w:w="893" w:type="dxa"/>
            <w:vMerge w:val="restart"/>
            <w:tcBorders>
              <w:top w:val="nil"/>
              <w:left w:val="nil"/>
              <w:bottom w:val="single" w:sz="4" w:space="0" w:color="000000"/>
              <w:right w:val="nil"/>
            </w:tcBorders>
            <w:shd w:val="clear" w:color="auto" w:fill="auto"/>
            <w:vAlign w:val="center"/>
            <w:hideMark/>
          </w:tcPr>
          <w:p w14:paraId="0748542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GDD</w:t>
            </w:r>
          </w:p>
        </w:tc>
        <w:tc>
          <w:tcPr>
            <w:tcW w:w="1004" w:type="dxa"/>
            <w:tcBorders>
              <w:top w:val="nil"/>
              <w:left w:val="nil"/>
              <w:bottom w:val="nil"/>
              <w:right w:val="nil"/>
            </w:tcBorders>
            <w:shd w:val="clear" w:color="auto" w:fill="auto"/>
            <w:vAlign w:val="center"/>
            <w:hideMark/>
          </w:tcPr>
          <w:p w14:paraId="7CD1CE42"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T</m:t>
                    </m:r>
                  </m:e>
                  <m:sub>
                    <m:r>
                      <w:rPr>
                        <w:rFonts w:ascii="Cambria Math" w:eastAsia="Times New Roman" w:hAnsi="Cambria Math" w:cs="Calibri"/>
                        <w:color w:val="000000"/>
                        <w:sz w:val="18"/>
                        <w:szCs w:val="18"/>
                        <w:lang w:eastAsia="fr-FR"/>
                      </w:rPr>
                      <m:t>b</m:t>
                    </m:r>
                  </m:sub>
                </m:sSub>
              </m:oMath>
            </m:oMathPara>
          </w:p>
        </w:tc>
        <w:tc>
          <w:tcPr>
            <w:tcW w:w="871" w:type="dxa"/>
            <w:tcBorders>
              <w:top w:val="nil"/>
              <w:left w:val="nil"/>
              <w:bottom w:val="nil"/>
              <w:right w:val="nil"/>
            </w:tcBorders>
          </w:tcPr>
          <w:p w14:paraId="17E2B59C"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6F5DF06B"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Threshold temperature of the GDD function</w:t>
            </w:r>
          </w:p>
        </w:tc>
      </w:tr>
      <w:tr w:rsidR="002F6E07" w:rsidRPr="006D05F2" w14:paraId="653E6652" w14:textId="77777777" w:rsidTr="00B066C7">
        <w:trPr>
          <w:trHeight w:val="261"/>
        </w:trPr>
        <w:tc>
          <w:tcPr>
            <w:tcW w:w="981" w:type="dxa"/>
            <w:vMerge/>
            <w:tcBorders>
              <w:top w:val="nil"/>
              <w:left w:val="nil"/>
              <w:bottom w:val="single" w:sz="4" w:space="0" w:color="000000"/>
              <w:right w:val="nil"/>
            </w:tcBorders>
            <w:vAlign w:val="center"/>
            <w:hideMark/>
          </w:tcPr>
          <w:p w14:paraId="1E568610"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single" w:sz="4" w:space="0" w:color="000000"/>
              <w:right w:val="nil"/>
            </w:tcBorders>
            <w:vAlign w:val="center"/>
            <w:hideMark/>
          </w:tcPr>
          <w:p w14:paraId="7861DEE4"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single" w:sz="4" w:space="0" w:color="000000"/>
              <w:right w:val="nil"/>
            </w:tcBorders>
            <w:vAlign w:val="center"/>
            <w:hideMark/>
          </w:tcPr>
          <w:p w14:paraId="5DB0C1D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61086BD4"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Sup>
                  <m:sSubSupPr>
                    <m:ctrlPr>
                      <w:rPr>
                        <w:rFonts w:ascii="Cambria Math" w:eastAsia="Times New Roman" w:hAnsi="Cambria Math" w:cs="Calibri"/>
                        <w:i/>
                        <w:color w:val="000000"/>
                        <w:sz w:val="18"/>
                        <w:szCs w:val="18"/>
                        <w:lang w:eastAsia="fr-FR"/>
                      </w:rPr>
                    </m:ctrlPr>
                  </m:sSubSupPr>
                  <m:e>
                    <m:r>
                      <w:rPr>
                        <w:rFonts w:ascii="Cambria Math" w:eastAsia="Times New Roman" w:hAnsi="Cambria Math" w:cs="Calibri"/>
                        <w:color w:val="000000"/>
                        <w:sz w:val="18"/>
                        <w:szCs w:val="18"/>
                        <w:lang w:eastAsia="fr-FR"/>
                      </w:rPr>
                      <m:t>F</m:t>
                    </m:r>
                  </m:e>
                  <m:sub>
                    <m:r>
                      <w:rPr>
                        <w:rFonts w:ascii="Cambria Math" w:eastAsia="Times New Roman" w:hAnsi="Cambria Math" w:cs="Calibri"/>
                        <w:color w:val="000000"/>
                        <w:sz w:val="18"/>
                        <w:szCs w:val="18"/>
                        <w:lang w:eastAsia="fr-FR"/>
                      </w:rPr>
                      <m:t>crit</m:t>
                    </m:r>
                  </m:sub>
                  <m:sup>
                    <m:r>
                      <w:rPr>
                        <w:rFonts w:ascii="Cambria Math" w:eastAsia="Times New Roman" w:hAnsi="Cambria Math" w:cs="Calibri"/>
                        <w:color w:val="000000"/>
                        <w:sz w:val="18"/>
                        <w:szCs w:val="18"/>
                        <w:lang w:eastAsia="fr-FR"/>
                      </w:rPr>
                      <m:t>leaf</m:t>
                    </m:r>
                  </m:sup>
                </m:sSubSup>
              </m:oMath>
            </m:oMathPara>
          </w:p>
        </w:tc>
        <w:tc>
          <w:tcPr>
            <w:tcW w:w="871" w:type="dxa"/>
            <w:tcBorders>
              <w:top w:val="nil"/>
              <w:left w:val="nil"/>
              <w:bottom w:val="single" w:sz="4" w:space="0" w:color="auto"/>
              <w:right w:val="nil"/>
            </w:tcBorders>
          </w:tcPr>
          <w:p w14:paraId="1B1D9C5A"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single" w:sz="4" w:space="0" w:color="auto"/>
              <w:right w:val="nil"/>
            </w:tcBorders>
            <w:shd w:val="clear" w:color="auto" w:fill="auto"/>
            <w:vAlign w:val="center"/>
            <w:hideMark/>
          </w:tcPr>
          <w:p w14:paraId="5A03F798"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Critical state of development corresponding to leaf unfolding</w:t>
            </w:r>
          </w:p>
        </w:tc>
      </w:tr>
      <w:tr w:rsidR="002F6E07" w:rsidRPr="006D05F2" w14:paraId="0059E61B" w14:textId="77777777" w:rsidTr="00B066C7">
        <w:trPr>
          <w:trHeight w:val="261"/>
        </w:trPr>
        <w:tc>
          <w:tcPr>
            <w:tcW w:w="981" w:type="dxa"/>
            <w:vMerge w:val="restart"/>
            <w:tcBorders>
              <w:top w:val="nil"/>
              <w:left w:val="nil"/>
              <w:bottom w:val="single" w:sz="4" w:space="0" w:color="000000"/>
              <w:right w:val="nil"/>
            </w:tcBorders>
            <w:shd w:val="clear" w:color="auto" w:fill="auto"/>
            <w:vAlign w:val="center"/>
            <w:hideMark/>
          </w:tcPr>
          <w:p w14:paraId="25E84B68"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Flowering</w:t>
            </w:r>
          </w:p>
        </w:tc>
        <w:tc>
          <w:tcPr>
            <w:tcW w:w="1361" w:type="dxa"/>
            <w:vMerge w:val="restart"/>
            <w:tcBorders>
              <w:top w:val="nil"/>
              <w:left w:val="nil"/>
              <w:bottom w:val="nil"/>
              <w:right w:val="nil"/>
            </w:tcBorders>
            <w:shd w:val="clear" w:color="auto" w:fill="auto"/>
            <w:vAlign w:val="center"/>
            <w:hideMark/>
          </w:tcPr>
          <w:p w14:paraId="5BA192A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Endodormancy</w:t>
            </w:r>
          </w:p>
        </w:tc>
        <w:tc>
          <w:tcPr>
            <w:tcW w:w="893" w:type="dxa"/>
            <w:vMerge w:val="restart"/>
            <w:tcBorders>
              <w:top w:val="nil"/>
              <w:left w:val="nil"/>
              <w:bottom w:val="nil"/>
              <w:right w:val="nil"/>
            </w:tcBorders>
            <w:shd w:val="clear" w:color="auto" w:fill="auto"/>
            <w:vAlign w:val="center"/>
            <w:hideMark/>
          </w:tcPr>
          <w:p w14:paraId="6084ABA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Threshold inferior</w:t>
            </w:r>
          </w:p>
        </w:tc>
        <w:tc>
          <w:tcPr>
            <w:tcW w:w="1004" w:type="dxa"/>
            <w:tcBorders>
              <w:top w:val="nil"/>
              <w:left w:val="nil"/>
              <w:bottom w:val="nil"/>
              <w:right w:val="nil"/>
            </w:tcBorders>
            <w:shd w:val="clear" w:color="auto" w:fill="auto"/>
            <w:vAlign w:val="center"/>
            <w:hideMark/>
          </w:tcPr>
          <w:p w14:paraId="5CBAC17F"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t</m:t>
                    </m:r>
                  </m:e>
                  <m:sub>
                    <m:r>
                      <w:rPr>
                        <w:rFonts w:ascii="Cambria Math" w:eastAsia="Times New Roman" w:hAnsi="Cambria Math" w:cs="Calibri"/>
                        <w:color w:val="000000"/>
                        <w:sz w:val="18"/>
                        <w:szCs w:val="18"/>
                        <w:lang w:eastAsia="fr-FR"/>
                      </w:rPr>
                      <m:t>0</m:t>
                    </m:r>
                  </m:sub>
                </m:sSub>
              </m:oMath>
            </m:oMathPara>
          </w:p>
        </w:tc>
        <w:tc>
          <w:tcPr>
            <w:tcW w:w="871" w:type="dxa"/>
            <w:tcBorders>
              <w:top w:val="nil"/>
              <w:left w:val="nil"/>
              <w:bottom w:val="nil"/>
              <w:right w:val="nil"/>
            </w:tcBorders>
          </w:tcPr>
          <w:p w14:paraId="039E0114"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-122</w:t>
            </w:r>
          </w:p>
        </w:tc>
        <w:tc>
          <w:tcPr>
            <w:tcW w:w="4513" w:type="dxa"/>
            <w:tcBorders>
              <w:top w:val="nil"/>
              <w:left w:val="nil"/>
              <w:bottom w:val="nil"/>
              <w:right w:val="nil"/>
            </w:tcBorders>
            <w:shd w:val="clear" w:color="auto" w:fill="auto"/>
            <w:vAlign w:val="center"/>
            <w:hideMark/>
          </w:tcPr>
          <w:p w14:paraId="5F9C0ADF"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Starting date of the endodormancy phase</w:t>
            </w:r>
          </w:p>
        </w:tc>
      </w:tr>
      <w:tr w:rsidR="002F6E07" w:rsidRPr="006D05F2" w14:paraId="3C49DAE5" w14:textId="77777777" w:rsidTr="00B066C7">
        <w:trPr>
          <w:trHeight w:val="261"/>
        </w:trPr>
        <w:tc>
          <w:tcPr>
            <w:tcW w:w="981" w:type="dxa"/>
            <w:vMerge/>
            <w:tcBorders>
              <w:top w:val="nil"/>
              <w:left w:val="nil"/>
              <w:bottom w:val="single" w:sz="4" w:space="0" w:color="000000"/>
              <w:right w:val="nil"/>
            </w:tcBorders>
            <w:vAlign w:val="center"/>
            <w:hideMark/>
          </w:tcPr>
          <w:p w14:paraId="13DD4C2A"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nil"/>
              <w:right w:val="nil"/>
            </w:tcBorders>
            <w:vAlign w:val="center"/>
            <w:hideMark/>
          </w:tcPr>
          <w:p w14:paraId="2BBF9D2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nil"/>
              <w:right w:val="nil"/>
            </w:tcBorders>
            <w:vAlign w:val="center"/>
            <w:hideMark/>
          </w:tcPr>
          <w:p w14:paraId="70FBFA3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nil"/>
              <w:right w:val="nil"/>
            </w:tcBorders>
            <w:shd w:val="clear" w:color="auto" w:fill="auto"/>
            <w:vAlign w:val="center"/>
            <w:hideMark/>
          </w:tcPr>
          <w:p w14:paraId="0DBA4235"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V</m:t>
                    </m:r>
                  </m:e>
                  <m:sub>
                    <m:r>
                      <w:rPr>
                        <w:rFonts w:ascii="Cambria Math" w:eastAsia="Times New Roman" w:hAnsi="Cambria Math" w:cs="Calibri"/>
                        <w:color w:val="000000"/>
                        <w:sz w:val="18"/>
                        <w:szCs w:val="18"/>
                        <w:lang w:eastAsia="fr-FR"/>
                      </w:rPr>
                      <m:t>b</m:t>
                    </m:r>
                  </m:sub>
                </m:sSub>
              </m:oMath>
            </m:oMathPara>
          </w:p>
        </w:tc>
        <w:tc>
          <w:tcPr>
            <w:tcW w:w="871" w:type="dxa"/>
            <w:tcBorders>
              <w:top w:val="nil"/>
              <w:left w:val="nil"/>
              <w:bottom w:val="nil"/>
              <w:right w:val="nil"/>
            </w:tcBorders>
          </w:tcPr>
          <w:p w14:paraId="3D8AB06A"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0C9E9F17"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Threshold temperature of the Threshold inferior function</w:t>
            </w:r>
          </w:p>
        </w:tc>
      </w:tr>
      <w:tr w:rsidR="002F6E07" w:rsidRPr="006D05F2" w14:paraId="22E385C1" w14:textId="77777777" w:rsidTr="00B066C7">
        <w:trPr>
          <w:trHeight w:val="261"/>
        </w:trPr>
        <w:tc>
          <w:tcPr>
            <w:tcW w:w="981" w:type="dxa"/>
            <w:vMerge/>
            <w:tcBorders>
              <w:top w:val="nil"/>
              <w:left w:val="nil"/>
              <w:bottom w:val="single" w:sz="4" w:space="0" w:color="000000"/>
              <w:right w:val="nil"/>
            </w:tcBorders>
            <w:vAlign w:val="center"/>
            <w:hideMark/>
          </w:tcPr>
          <w:p w14:paraId="785F5D1A"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nil"/>
              <w:right w:val="nil"/>
            </w:tcBorders>
            <w:vAlign w:val="center"/>
            <w:hideMark/>
          </w:tcPr>
          <w:p w14:paraId="7D83AD7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nil"/>
              <w:right w:val="nil"/>
            </w:tcBorders>
            <w:vAlign w:val="center"/>
            <w:hideMark/>
          </w:tcPr>
          <w:p w14:paraId="3FA1EA1F"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419F7CE8"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C</m:t>
                    </m:r>
                  </m:e>
                  <m:sub>
                    <m:r>
                      <w:rPr>
                        <w:rFonts w:ascii="Cambria Math" w:eastAsia="Times New Roman" w:hAnsi="Cambria Math" w:cs="Calibri"/>
                        <w:color w:val="000000"/>
                        <w:sz w:val="18"/>
                        <w:szCs w:val="18"/>
                        <w:lang w:eastAsia="fr-FR"/>
                      </w:rPr>
                      <m:t>crit</m:t>
                    </m:r>
                  </m:sub>
                </m:sSub>
              </m:oMath>
            </m:oMathPara>
          </w:p>
        </w:tc>
        <w:tc>
          <w:tcPr>
            <w:tcW w:w="871" w:type="dxa"/>
            <w:tcBorders>
              <w:top w:val="nil"/>
              <w:left w:val="nil"/>
              <w:bottom w:val="single" w:sz="4" w:space="0" w:color="auto"/>
              <w:right w:val="nil"/>
            </w:tcBorders>
          </w:tcPr>
          <w:p w14:paraId="1E879B5D"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single" w:sz="4" w:space="0" w:color="auto"/>
              <w:right w:val="nil"/>
            </w:tcBorders>
            <w:shd w:val="clear" w:color="auto" w:fill="auto"/>
            <w:vAlign w:val="center"/>
            <w:hideMark/>
          </w:tcPr>
          <w:p w14:paraId="535FF269"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Critical state of development corresponding to dormancy break</w:t>
            </w:r>
          </w:p>
        </w:tc>
      </w:tr>
      <w:tr w:rsidR="002F6E07" w:rsidRPr="006D05F2" w14:paraId="58CF744E" w14:textId="77777777" w:rsidTr="00B066C7">
        <w:trPr>
          <w:trHeight w:val="261"/>
        </w:trPr>
        <w:tc>
          <w:tcPr>
            <w:tcW w:w="981" w:type="dxa"/>
            <w:vMerge/>
            <w:tcBorders>
              <w:top w:val="nil"/>
              <w:left w:val="nil"/>
              <w:bottom w:val="single" w:sz="4" w:space="0" w:color="000000"/>
              <w:right w:val="nil"/>
            </w:tcBorders>
            <w:vAlign w:val="center"/>
            <w:hideMark/>
          </w:tcPr>
          <w:p w14:paraId="0D8F0E44"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val="restart"/>
            <w:tcBorders>
              <w:top w:val="nil"/>
              <w:left w:val="nil"/>
              <w:bottom w:val="single" w:sz="4" w:space="0" w:color="000000"/>
              <w:right w:val="nil"/>
            </w:tcBorders>
            <w:shd w:val="clear" w:color="auto" w:fill="auto"/>
            <w:vAlign w:val="center"/>
            <w:hideMark/>
          </w:tcPr>
          <w:p w14:paraId="4422EF50"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Ecodormancy</w:t>
            </w:r>
          </w:p>
        </w:tc>
        <w:tc>
          <w:tcPr>
            <w:tcW w:w="893" w:type="dxa"/>
            <w:vMerge w:val="restart"/>
            <w:tcBorders>
              <w:top w:val="nil"/>
              <w:left w:val="nil"/>
              <w:bottom w:val="single" w:sz="4" w:space="0" w:color="000000"/>
              <w:right w:val="nil"/>
            </w:tcBorders>
            <w:shd w:val="clear" w:color="auto" w:fill="auto"/>
            <w:vAlign w:val="center"/>
            <w:hideMark/>
          </w:tcPr>
          <w:p w14:paraId="0B43BB2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GDD</w:t>
            </w:r>
          </w:p>
        </w:tc>
        <w:tc>
          <w:tcPr>
            <w:tcW w:w="1004" w:type="dxa"/>
            <w:tcBorders>
              <w:top w:val="nil"/>
              <w:left w:val="nil"/>
              <w:bottom w:val="nil"/>
              <w:right w:val="nil"/>
            </w:tcBorders>
            <w:shd w:val="clear" w:color="auto" w:fill="auto"/>
            <w:vAlign w:val="center"/>
            <w:hideMark/>
          </w:tcPr>
          <w:p w14:paraId="406EF6D8"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T</m:t>
                    </m:r>
                  </m:e>
                  <m:sub>
                    <m:r>
                      <w:rPr>
                        <w:rFonts w:ascii="Cambria Math" w:eastAsia="Times New Roman" w:hAnsi="Cambria Math" w:cs="Calibri"/>
                        <w:color w:val="000000"/>
                        <w:sz w:val="18"/>
                        <w:szCs w:val="18"/>
                        <w:lang w:eastAsia="fr-FR"/>
                      </w:rPr>
                      <m:t>b</m:t>
                    </m:r>
                  </m:sub>
                </m:sSub>
              </m:oMath>
            </m:oMathPara>
          </w:p>
        </w:tc>
        <w:tc>
          <w:tcPr>
            <w:tcW w:w="871" w:type="dxa"/>
            <w:tcBorders>
              <w:top w:val="nil"/>
              <w:left w:val="nil"/>
              <w:bottom w:val="nil"/>
              <w:right w:val="nil"/>
            </w:tcBorders>
          </w:tcPr>
          <w:p w14:paraId="7C00A118"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3F3113C0"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Threshold temperature of the GDD function</w:t>
            </w:r>
          </w:p>
        </w:tc>
      </w:tr>
      <w:tr w:rsidR="002F6E07" w:rsidRPr="006D05F2" w14:paraId="1D0DFF8F" w14:textId="77777777" w:rsidTr="00B066C7">
        <w:trPr>
          <w:trHeight w:val="261"/>
        </w:trPr>
        <w:tc>
          <w:tcPr>
            <w:tcW w:w="981" w:type="dxa"/>
            <w:vMerge/>
            <w:tcBorders>
              <w:top w:val="nil"/>
              <w:left w:val="nil"/>
              <w:bottom w:val="single" w:sz="4" w:space="0" w:color="000000"/>
              <w:right w:val="nil"/>
            </w:tcBorders>
            <w:vAlign w:val="center"/>
            <w:hideMark/>
          </w:tcPr>
          <w:p w14:paraId="29ADC016"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single" w:sz="4" w:space="0" w:color="000000"/>
              <w:right w:val="nil"/>
            </w:tcBorders>
            <w:vAlign w:val="center"/>
            <w:hideMark/>
          </w:tcPr>
          <w:p w14:paraId="09AEC71D"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single" w:sz="4" w:space="0" w:color="000000"/>
              <w:right w:val="nil"/>
            </w:tcBorders>
            <w:vAlign w:val="center"/>
            <w:hideMark/>
          </w:tcPr>
          <w:p w14:paraId="11196314"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15FAAAF1"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Sup>
                  <m:sSubSupPr>
                    <m:ctrlPr>
                      <w:rPr>
                        <w:rFonts w:ascii="Cambria Math" w:eastAsia="Times New Roman" w:hAnsi="Cambria Math" w:cs="Calibri"/>
                        <w:i/>
                        <w:color w:val="000000"/>
                        <w:sz w:val="18"/>
                        <w:szCs w:val="18"/>
                        <w:lang w:eastAsia="fr-FR"/>
                      </w:rPr>
                    </m:ctrlPr>
                  </m:sSubSupPr>
                  <m:e>
                    <m:r>
                      <w:rPr>
                        <w:rFonts w:ascii="Cambria Math" w:eastAsia="Times New Roman" w:hAnsi="Cambria Math" w:cs="Calibri"/>
                        <w:color w:val="000000"/>
                        <w:sz w:val="18"/>
                        <w:szCs w:val="18"/>
                        <w:lang w:eastAsia="fr-FR"/>
                      </w:rPr>
                      <m:t>F</m:t>
                    </m:r>
                  </m:e>
                  <m:sub>
                    <m:r>
                      <w:rPr>
                        <w:rFonts w:ascii="Cambria Math" w:eastAsia="Times New Roman" w:hAnsi="Cambria Math" w:cs="Calibri"/>
                        <w:color w:val="000000"/>
                        <w:sz w:val="18"/>
                        <w:szCs w:val="18"/>
                        <w:lang w:eastAsia="fr-FR"/>
                      </w:rPr>
                      <m:t>crit</m:t>
                    </m:r>
                  </m:sub>
                  <m:sup>
                    <m:r>
                      <w:rPr>
                        <w:rFonts w:ascii="Cambria Math" w:eastAsia="Times New Roman" w:hAnsi="Cambria Math" w:cs="Calibri"/>
                        <w:color w:val="000000"/>
                        <w:sz w:val="18"/>
                        <w:szCs w:val="18"/>
                        <w:lang w:eastAsia="fr-FR"/>
                      </w:rPr>
                      <m:t>flower</m:t>
                    </m:r>
                  </m:sup>
                </m:sSubSup>
              </m:oMath>
            </m:oMathPara>
          </w:p>
        </w:tc>
        <w:tc>
          <w:tcPr>
            <w:tcW w:w="871" w:type="dxa"/>
            <w:tcBorders>
              <w:top w:val="nil"/>
              <w:left w:val="nil"/>
              <w:bottom w:val="single" w:sz="4" w:space="0" w:color="auto"/>
              <w:right w:val="nil"/>
            </w:tcBorders>
          </w:tcPr>
          <w:p w14:paraId="4C7CADA0"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single" w:sz="4" w:space="0" w:color="auto"/>
              <w:right w:val="nil"/>
            </w:tcBorders>
            <w:shd w:val="clear" w:color="auto" w:fill="auto"/>
            <w:vAlign w:val="center"/>
            <w:hideMark/>
          </w:tcPr>
          <w:p w14:paraId="661DB74D"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Critical state of development corresponding to leaf unfolding</w:t>
            </w:r>
          </w:p>
        </w:tc>
      </w:tr>
      <w:tr w:rsidR="002F6E07" w:rsidRPr="006D05F2" w14:paraId="60E42411" w14:textId="77777777" w:rsidTr="00B066C7">
        <w:trPr>
          <w:trHeight w:val="261"/>
        </w:trPr>
        <w:tc>
          <w:tcPr>
            <w:tcW w:w="981" w:type="dxa"/>
            <w:vMerge w:val="restart"/>
            <w:tcBorders>
              <w:top w:val="nil"/>
              <w:left w:val="nil"/>
              <w:bottom w:val="single" w:sz="4" w:space="0" w:color="000000"/>
              <w:right w:val="nil"/>
            </w:tcBorders>
            <w:shd w:val="clear" w:color="auto" w:fill="auto"/>
            <w:vAlign w:val="center"/>
            <w:hideMark/>
          </w:tcPr>
          <w:p w14:paraId="3D11CAB8"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Fruit maturation</w:t>
            </w:r>
          </w:p>
        </w:tc>
        <w:tc>
          <w:tcPr>
            <w:tcW w:w="1361" w:type="dxa"/>
            <w:vMerge w:val="restart"/>
            <w:tcBorders>
              <w:top w:val="nil"/>
              <w:left w:val="nil"/>
              <w:bottom w:val="nil"/>
              <w:right w:val="nil"/>
            </w:tcBorders>
            <w:shd w:val="clear" w:color="auto" w:fill="auto"/>
            <w:vAlign w:val="center"/>
            <w:hideMark/>
          </w:tcPr>
          <w:p w14:paraId="6E9AD067"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Cell multiplication and growth</w:t>
            </w:r>
          </w:p>
        </w:tc>
        <w:tc>
          <w:tcPr>
            <w:tcW w:w="893" w:type="dxa"/>
            <w:vMerge w:val="restart"/>
            <w:tcBorders>
              <w:top w:val="nil"/>
              <w:left w:val="nil"/>
              <w:bottom w:val="nil"/>
              <w:right w:val="nil"/>
            </w:tcBorders>
            <w:shd w:val="clear" w:color="auto" w:fill="auto"/>
            <w:vAlign w:val="center"/>
            <w:hideMark/>
          </w:tcPr>
          <w:p w14:paraId="4439FE46"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Sigmoid</w:t>
            </w:r>
          </w:p>
        </w:tc>
        <w:tc>
          <w:tcPr>
            <w:tcW w:w="1004" w:type="dxa"/>
            <w:tcBorders>
              <w:top w:val="nil"/>
              <w:left w:val="nil"/>
              <w:bottom w:val="nil"/>
              <w:right w:val="nil"/>
            </w:tcBorders>
            <w:shd w:val="clear" w:color="auto" w:fill="auto"/>
            <w:vAlign w:val="center"/>
            <w:hideMark/>
          </w:tcPr>
          <w:p w14:paraId="7FDC8AD5"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m:oMathPara>
              <m:oMath>
                <m:r>
                  <w:rPr>
                    <w:rFonts w:ascii="Cambria Math" w:eastAsia="Times New Roman" w:hAnsi="Cambria Math" w:cs="Calibri"/>
                    <w:color w:val="000000"/>
                    <w:sz w:val="18"/>
                    <w:szCs w:val="18"/>
                    <w:lang w:eastAsia="fr-FR"/>
                  </w:rPr>
                  <m:t>aa</m:t>
                </m:r>
              </m:oMath>
            </m:oMathPara>
          </w:p>
        </w:tc>
        <w:tc>
          <w:tcPr>
            <w:tcW w:w="871" w:type="dxa"/>
            <w:tcBorders>
              <w:top w:val="nil"/>
              <w:left w:val="nil"/>
              <w:bottom w:val="nil"/>
              <w:right w:val="nil"/>
            </w:tcBorders>
          </w:tcPr>
          <w:p w14:paraId="4AC7118D"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51F937F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Slope at the inflection point of the sigmoid function</w:t>
            </w:r>
          </w:p>
        </w:tc>
      </w:tr>
      <w:tr w:rsidR="002F6E07" w:rsidRPr="006D05F2" w14:paraId="400BA37F" w14:textId="77777777" w:rsidTr="00B066C7">
        <w:trPr>
          <w:trHeight w:val="261"/>
        </w:trPr>
        <w:tc>
          <w:tcPr>
            <w:tcW w:w="981" w:type="dxa"/>
            <w:vMerge/>
            <w:tcBorders>
              <w:top w:val="nil"/>
              <w:left w:val="nil"/>
              <w:bottom w:val="single" w:sz="4" w:space="0" w:color="000000"/>
              <w:right w:val="nil"/>
            </w:tcBorders>
            <w:vAlign w:val="center"/>
            <w:hideMark/>
          </w:tcPr>
          <w:p w14:paraId="2B48824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nil"/>
              <w:right w:val="nil"/>
            </w:tcBorders>
            <w:vAlign w:val="center"/>
            <w:hideMark/>
          </w:tcPr>
          <w:p w14:paraId="17B9EEE7"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nil"/>
              <w:right w:val="nil"/>
            </w:tcBorders>
            <w:vAlign w:val="center"/>
            <w:hideMark/>
          </w:tcPr>
          <w:p w14:paraId="530ECDFD"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nil"/>
              <w:right w:val="nil"/>
            </w:tcBorders>
            <w:shd w:val="clear" w:color="auto" w:fill="auto"/>
            <w:vAlign w:val="center"/>
            <w:hideMark/>
          </w:tcPr>
          <w:p w14:paraId="7A0133FB"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m:oMathPara>
              <m:oMath>
                <m:r>
                  <w:rPr>
                    <w:rFonts w:ascii="Cambria Math" w:eastAsia="Times New Roman" w:hAnsi="Cambria Math" w:cs="Calibri"/>
                    <w:color w:val="000000"/>
                    <w:sz w:val="18"/>
                    <w:szCs w:val="18"/>
                    <w:lang w:eastAsia="fr-FR"/>
                  </w:rPr>
                  <m:t>bb</m:t>
                </m:r>
              </m:oMath>
            </m:oMathPara>
          </w:p>
        </w:tc>
        <w:tc>
          <w:tcPr>
            <w:tcW w:w="871" w:type="dxa"/>
            <w:tcBorders>
              <w:top w:val="nil"/>
              <w:left w:val="nil"/>
              <w:bottom w:val="nil"/>
              <w:right w:val="nil"/>
            </w:tcBorders>
          </w:tcPr>
          <w:p w14:paraId="1B34128E"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37B89A7E"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Mid-response temperature of the sigmoid function</w:t>
            </w:r>
          </w:p>
        </w:tc>
      </w:tr>
      <w:tr w:rsidR="002F6E07" w:rsidRPr="006D05F2" w14:paraId="13B4ADD2" w14:textId="77777777" w:rsidTr="00B066C7">
        <w:trPr>
          <w:trHeight w:val="261"/>
        </w:trPr>
        <w:tc>
          <w:tcPr>
            <w:tcW w:w="981" w:type="dxa"/>
            <w:vMerge/>
            <w:tcBorders>
              <w:top w:val="nil"/>
              <w:left w:val="nil"/>
              <w:bottom w:val="single" w:sz="4" w:space="0" w:color="000000"/>
              <w:right w:val="nil"/>
            </w:tcBorders>
            <w:vAlign w:val="center"/>
            <w:hideMark/>
          </w:tcPr>
          <w:p w14:paraId="198C232B"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nil"/>
              <w:right w:val="nil"/>
            </w:tcBorders>
            <w:vAlign w:val="center"/>
            <w:hideMark/>
          </w:tcPr>
          <w:p w14:paraId="302DEEE8"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nil"/>
              <w:right w:val="nil"/>
            </w:tcBorders>
            <w:vAlign w:val="center"/>
            <w:hideMark/>
          </w:tcPr>
          <w:p w14:paraId="6D32FC4A"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5805A40F"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Sup>
                  <m:sSubSupPr>
                    <m:ctrlPr>
                      <w:rPr>
                        <w:rFonts w:ascii="Cambria Math" w:eastAsia="Times New Roman" w:hAnsi="Cambria Math" w:cs="Calibri"/>
                        <w:i/>
                        <w:color w:val="000000"/>
                        <w:sz w:val="18"/>
                        <w:szCs w:val="18"/>
                        <w:lang w:eastAsia="fr-FR"/>
                      </w:rPr>
                    </m:ctrlPr>
                  </m:sSubSupPr>
                  <m:e>
                    <m:r>
                      <w:rPr>
                        <w:rFonts w:ascii="Cambria Math" w:eastAsia="Times New Roman" w:hAnsi="Cambria Math" w:cs="Calibri"/>
                        <w:color w:val="000000"/>
                        <w:sz w:val="18"/>
                        <w:szCs w:val="18"/>
                        <w:lang w:eastAsia="fr-FR"/>
                      </w:rPr>
                      <m:t>F</m:t>
                    </m:r>
                  </m:e>
                  <m:sub>
                    <m:r>
                      <w:rPr>
                        <w:rFonts w:ascii="Cambria Math" w:eastAsia="Times New Roman" w:hAnsi="Cambria Math" w:cs="Calibri"/>
                        <w:color w:val="000000"/>
                        <w:sz w:val="18"/>
                        <w:szCs w:val="18"/>
                        <w:lang w:eastAsia="fr-FR"/>
                      </w:rPr>
                      <m:t>crit</m:t>
                    </m:r>
                  </m:sub>
                  <m:sup>
                    <m:r>
                      <w:rPr>
                        <w:rFonts w:ascii="Cambria Math" w:eastAsia="Times New Roman" w:hAnsi="Cambria Math" w:cs="Calibri"/>
                        <w:color w:val="000000"/>
                        <w:sz w:val="18"/>
                        <w:szCs w:val="18"/>
                        <w:lang w:eastAsia="fr-FR"/>
                      </w:rPr>
                      <m:t>fruit</m:t>
                    </m:r>
                  </m:sup>
                </m:sSubSup>
              </m:oMath>
            </m:oMathPara>
          </w:p>
        </w:tc>
        <w:tc>
          <w:tcPr>
            <w:tcW w:w="871" w:type="dxa"/>
            <w:tcBorders>
              <w:top w:val="nil"/>
              <w:left w:val="nil"/>
              <w:bottom w:val="single" w:sz="4" w:space="0" w:color="auto"/>
              <w:right w:val="nil"/>
            </w:tcBorders>
          </w:tcPr>
          <w:p w14:paraId="6B73B2FB"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single" w:sz="4" w:space="0" w:color="auto"/>
              <w:right w:val="nil"/>
            </w:tcBorders>
            <w:shd w:val="clear" w:color="auto" w:fill="auto"/>
            <w:vAlign w:val="center"/>
            <w:hideMark/>
          </w:tcPr>
          <w:p w14:paraId="50A637BA"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Accumulation threshold above which accumulation starts</w:t>
            </w:r>
          </w:p>
        </w:tc>
      </w:tr>
      <w:tr w:rsidR="002F6E07" w:rsidRPr="006D05F2" w14:paraId="738BEFC8" w14:textId="77777777" w:rsidTr="00B066C7">
        <w:trPr>
          <w:trHeight w:val="261"/>
        </w:trPr>
        <w:tc>
          <w:tcPr>
            <w:tcW w:w="981" w:type="dxa"/>
            <w:vMerge/>
            <w:tcBorders>
              <w:top w:val="nil"/>
              <w:left w:val="nil"/>
              <w:bottom w:val="single" w:sz="4" w:space="0" w:color="000000"/>
              <w:right w:val="nil"/>
            </w:tcBorders>
            <w:vAlign w:val="center"/>
            <w:hideMark/>
          </w:tcPr>
          <w:p w14:paraId="157CFD3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val="restart"/>
            <w:tcBorders>
              <w:top w:val="nil"/>
              <w:left w:val="nil"/>
              <w:bottom w:val="single" w:sz="4" w:space="0" w:color="000000"/>
              <w:right w:val="nil"/>
            </w:tcBorders>
            <w:shd w:val="clear" w:color="auto" w:fill="auto"/>
            <w:vAlign w:val="center"/>
            <w:hideMark/>
          </w:tcPr>
          <w:p w14:paraId="770A51EF"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Photosynthetic assimilate accumulation</w:t>
            </w:r>
          </w:p>
        </w:tc>
        <w:tc>
          <w:tcPr>
            <w:tcW w:w="893" w:type="dxa"/>
            <w:vMerge w:val="restart"/>
            <w:tcBorders>
              <w:top w:val="nil"/>
              <w:left w:val="nil"/>
              <w:bottom w:val="single" w:sz="4" w:space="0" w:color="000000"/>
              <w:right w:val="nil"/>
            </w:tcBorders>
            <w:shd w:val="clear" w:color="auto" w:fill="auto"/>
            <w:vAlign w:val="center"/>
            <w:hideMark/>
          </w:tcPr>
          <w:p w14:paraId="61F637CE"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Wang &amp; Engel (1998)</w:t>
            </w:r>
          </w:p>
        </w:tc>
        <w:tc>
          <w:tcPr>
            <w:tcW w:w="1004" w:type="dxa"/>
            <w:tcBorders>
              <w:top w:val="nil"/>
              <w:left w:val="nil"/>
              <w:bottom w:val="nil"/>
              <w:right w:val="nil"/>
            </w:tcBorders>
            <w:shd w:val="clear" w:color="auto" w:fill="auto"/>
            <w:vAlign w:val="center"/>
            <w:hideMark/>
          </w:tcPr>
          <w:p w14:paraId="3DC7CEF3"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T</m:t>
                    </m:r>
                  </m:e>
                  <m:sub>
                    <m:r>
                      <w:rPr>
                        <w:rFonts w:ascii="Cambria Math" w:eastAsia="Times New Roman" w:hAnsi="Cambria Math" w:cs="Calibri"/>
                        <w:color w:val="000000"/>
                        <w:sz w:val="18"/>
                        <w:szCs w:val="18"/>
                        <w:lang w:eastAsia="fr-FR"/>
                      </w:rPr>
                      <m:t>opt</m:t>
                    </m:r>
                  </m:sub>
                </m:sSub>
              </m:oMath>
            </m:oMathPara>
          </w:p>
        </w:tc>
        <w:tc>
          <w:tcPr>
            <w:tcW w:w="871" w:type="dxa"/>
            <w:tcBorders>
              <w:top w:val="nil"/>
              <w:left w:val="nil"/>
              <w:bottom w:val="nil"/>
              <w:right w:val="nil"/>
            </w:tcBorders>
          </w:tcPr>
          <w:p w14:paraId="355B1672"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0278E8E9"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Optimal temperature of the Wang function</w:t>
            </w:r>
          </w:p>
        </w:tc>
      </w:tr>
      <w:tr w:rsidR="002F6E07" w:rsidRPr="006D05F2" w14:paraId="2C75FE4F" w14:textId="77777777" w:rsidTr="00B066C7">
        <w:trPr>
          <w:trHeight w:val="261"/>
        </w:trPr>
        <w:tc>
          <w:tcPr>
            <w:tcW w:w="981" w:type="dxa"/>
            <w:vMerge/>
            <w:tcBorders>
              <w:top w:val="nil"/>
              <w:left w:val="nil"/>
              <w:bottom w:val="single" w:sz="4" w:space="0" w:color="000000"/>
              <w:right w:val="nil"/>
            </w:tcBorders>
            <w:vAlign w:val="center"/>
            <w:hideMark/>
          </w:tcPr>
          <w:p w14:paraId="5A7AD440"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single" w:sz="4" w:space="0" w:color="000000"/>
              <w:right w:val="nil"/>
            </w:tcBorders>
            <w:vAlign w:val="center"/>
            <w:hideMark/>
          </w:tcPr>
          <w:p w14:paraId="352D911D"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single" w:sz="4" w:space="0" w:color="000000"/>
              <w:right w:val="nil"/>
            </w:tcBorders>
            <w:vAlign w:val="center"/>
            <w:hideMark/>
          </w:tcPr>
          <w:p w14:paraId="3024D4A9"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nil"/>
              <w:right w:val="nil"/>
            </w:tcBorders>
            <w:shd w:val="clear" w:color="auto" w:fill="auto"/>
            <w:vAlign w:val="center"/>
            <w:hideMark/>
          </w:tcPr>
          <w:p w14:paraId="0FFF2A0B"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Mat</m:t>
                    </m:r>
                  </m:e>
                  <m:sub>
                    <m:r>
                      <w:rPr>
                        <w:rFonts w:ascii="Cambria Math" w:eastAsia="Times New Roman" w:hAnsi="Cambria Math" w:cs="Calibri"/>
                        <w:color w:val="000000"/>
                        <w:sz w:val="18"/>
                        <w:szCs w:val="18"/>
                        <w:lang w:eastAsia="fr-FR"/>
                      </w:rPr>
                      <m:t>moy</m:t>
                    </m:r>
                  </m:sub>
                </m:sSub>
              </m:oMath>
            </m:oMathPara>
          </w:p>
        </w:tc>
        <w:tc>
          <w:tcPr>
            <w:tcW w:w="871" w:type="dxa"/>
            <w:tcBorders>
              <w:top w:val="nil"/>
              <w:left w:val="nil"/>
              <w:bottom w:val="nil"/>
              <w:right w:val="nil"/>
            </w:tcBorders>
          </w:tcPr>
          <w:p w14:paraId="4AFCA8E2"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59E7CB7A"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Accumulation threshold above which maturation occurs</w:t>
            </w:r>
          </w:p>
        </w:tc>
      </w:tr>
      <w:tr w:rsidR="002F6E07" w:rsidRPr="00952453" w14:paraId="146BEFBB" w14:textId="77777777" w:rsidTr="00B066C7">
        <w:trPr>
          <w:trHeight w:val="261"/>
        </w:trPr>
        <w:tc>
          <w:tcPr>
            <w:tcW w:w="981" w:type="dxa"/>
            <w:vMerge/>
            <w:tcBorders>
              <w:top w:val="nil"/>
              <w:left w:val="nil"/>
              <w:bottom w:val="single" w:sz="4" w:space="0" w:color="000000"/>
              <w:right w:val="nil"/>
            </w:tcBorders>
            <w:vAlign w:val="center"/>
            <w:hideMark/>
          </w:tcPr>
          <w:p w14:paraId="45A9E14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single" w:sz="4" w:space="0" w:color="000000"/>
              <w:right w:val="nil"/>
            </w:tcBorders>
            <w:vAlign w:val="center"/>
            <w:hideMark/>
          </w:tcPr>
          <w:p w14:paraId="21338289"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single" w:sz="4" w:space="0" w:color="000000"/>
              <w:right w:val="nil"/>
            </w:tcBorders>
            <w:vAlign w:val="center"/>
            <w:hideMark/>
          </w:tcPr>
          <w:p w14:paraId="50238847"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nil"/>
              <w:right w:val="nil"/>
            </w:tcBorders>
            <w:shd w:val="clear" w:color="auto" w:fill="auto"/>
            <w:vAlign w:val="center"/>
            <w:hideMark/>
          </w:tcPr>
          <w:p w14:paraId="7E2FE2B5"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m:oMathPara>
              <m:oMath>
                <m:r>
                  <w:rPr>
                    <w:rFonts w:ascii="Cambria Math" w:eastAsia="Times New Roman" w:hAnsi="Cambria Math" w:cs="Calibri"/>
                    <w:color w:val="000000"/>
                    <w:sz w:val="18"/>
                    <w:szCs w:val="18"/>
                    <w:lang w:eastAsia="fr-FR"/>
                  </w:rPr>
                  <m:t>σ</m:t>
                </m:r>
              </m:oMath>
            </m:oMathPara>
          </w:p>
        </w:tc>
        <w:tc>
          <w:tcPr>
            <w:tcW w:w="871" w:type="dxa"/>
            <w:tcBorders>
              <w:top w:val="nil"/>
              <w:left w:val="nil"/>
              <w:bottom w:val="nil"/>
              <w:right w:val="nil"/>
            </w:tcBorders>
          </w:tcPr>
          <w:p w14:paraId="0E192E92"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771C5168"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Standard deviation</w:t>
            </w:r>
          </w:p>
        </w:tc>
      </w:tr>
      <w:tr w:rsidR="002F6E07" w:rsidRPr="006D05F2" w14:paraId="5125174C" w14:textId="77777777" w:rsidTr="00B066C7">
        <w:trPr>
          <w:trHeight w:val="261"/>
        </w:trPr>
        <w:tc>
          <w:tcPr>
            <w:tcW w:w="981" w:type="dxa"/>
            <w:vMerge/>
            <w:tcBorders>
              <w:top w:val="nil"/>
              <w:left w:val="nil"/>
              <w:bottom w:val="single" w:sz="4" w:space="0" w:color="000000"/>
              <w:right w:val="nil"/>
            </w:tcBorders>
            <w:vAlign w:val="center"/>
            <w:hideMark/>
          </w:tcPr>
          <w:p w14:paraId="0BD8909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single" w:sz="4" w:space="0" w:color="000000"/>
              <w:right w:val="nil"/>
            </w:tcBorders>
            <w:vAlign w:val="center"/>
            <w:hideMark/>
          </w:tcPr>
          <w:p w14:paraId="0E306294"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single" w:sz="4" w:space="0" w:color="000000"/>
              <w:right w:val="nil"/>
            </w:tcBorders>
            <w:vAlign w:val="center"/>
            <w:hideMark/>
          </w:tcPr>
          <w:p w14:paraId="71427A31"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1E568D02"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pfe</m:t>
                    </m:r>
                  </m:e>
                  <m:sub>
                    <m:r>
                      <w:rPr>
                        <w:rFonts w:ascii="Cambria Math" w:eastAsia="Times New Roman" w:hAnsi="Cambria Math" w:cs="Calibri"/>
                        <w:color w:val="000000"/>
                        <w:sz w:val="18"/>
                        <w:szCs w:val="18"/>
                        <w:lang w:eastAsia="fr-FR"/>
                      </w:rPr>
                      <m:t>50</m:t>
                    </m:r>
                  </m:sub>
                </m:sSub>
              </m:oMath>
            </m:oMathPara>
          </w:p>
        </w:tc>
        <w:tc>
          <w:tcPr>
            <w:tcW w:w="871" w:type="dxa"/>
            <w:tcBorders>
              <w:top w:val="nil"/>
              <w:left w:val="nil"/>
              <w:bottom w:val="single" w:sz="4" w:space="0" w:color="auto"/>
              <w:right w:val="nil"/>
            </w:tcBorders>
          </w:tcPr>
          <w:p w14:paraId="796C4C15"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0.6</w:t>
            </w:r>
          </w:p>
        </w:tc>
        <w:tc>
          <w:tcPr>
            <w:tcW w:w="4513" w:type="dxa"/>
            <w:tcBorders>
              <w:top w:val="nil"/>
              <w:left w:val="nil"/>
              <w:bottom w:val="single" w:sz="4" w:space="0" w:color="auto"/>
              <w:right w:val="nil"/>
            </w:tcBorders>
            <w:shd w:val="clear" w:color="auto" w:fill="auto"/>
            <w:vAlign w:val="center"/>
            <w:hideMark/>
          </w:tcPr>
          <w:p w14:paraId="4AAFB0F9"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Prop. of injured leaves reducing by 50% the flux of photosynthetic assimilates</w:t>
            </w:r>
          </w:p>
        </w:tc>
      </w:tr>
      <w:tr w:rsidR="002F6E07" w:rsidRPr="006D05F2" w14:paraId="0CA5C4B8" w14:textId="77777777" w:rsidTr="00B066C7">
        <w:trPr>
          <w:trHeight w:val="261"/>
        </w:trPr>
        <w:tc>
          <w:tcPr>
            <w:tcW w:w="981" w:type="dxa"/>
            <w:vMerge w:val="restart"/>
            <w:tcBorders>
              <w:top w:val="nil"/>
              <w:left w:val="nil"/>
              <w:bottom w:val="single" w:sz="4" w:space="0" w:color="000000"/>
              <w:right w:val="nil"/>
            </w:tcBorders>
            <w:shd w:val="clear" w:color="auto" w:fill="auto"/>
            <w:vAlign w:val="center"/>
            <w:hideMark/>
          </w:tcPr>
          <w:p w14:paraId="16FBAC75"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Leaf senescence</w:t>
            </w:r>
          </w:p>
        </w:tc>
        <w:tc>
          <w:tcPr>
            <w:tcW w:w="1361" w:type="dxa"/>
            <w:vMerge w:val="restart"/>
            <w:tcBorders>
              <w:top w:val="nil"/>
              <w:left w:val="nil"/>
              <w:bottom w:val="single" w:sz="4" w:space="0" w:color="000000"/>
              <w:right w:val="nil"/>
            </w:tcBorders>
            <w:shd w:val="clear" w:color="auto" w:fill="auto"/>
            <w:vAlign w:val="center"/>
            <w:hideMark/>
          </w:tcPr>
          <w:p w14:paraId="5013C2EB"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 </w:t>
            </w:r>
          </w:p>
        </w:tc>
        <w:tc>
          <w:tcPr>
            <w:tcW w:w="893" w:type="dxa"/>
            <w:vMerge w:val="restart"/>
            <w:tcBorders>
              <w:top w:val="nil"/>
              <w:left w:val="nil"/>
              <w:bottom w:val="single" w:sz="4" w:space="0" w:color="000000"/>
              <w:right w:val="nil"/>
            </w:tcBorders>
            <w:shd w:val="clear" w:color="auto" w:fill="auto"/>
            <w:vAlign w:val="center"/>
            <w:hideMark/>
          </w:tcPr>
          <w:p w14:paraId="212996FA"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Sigmoid negative</w:t>
            </w:r>
          </w:p>
        </w:tc>
        <w:tc>
          <w:tcPr>
            <w:tcW w:w="1004" w:type="dxa"/>
            <w:tcBorders>
              <w:top w:val="nil"/>
              <w:left w:val="nil"/>
              <w:bottom w:val="nil"/>
              <w:right w:val="nil"/>
            </w:tcBorders>
            <w:shd w:val="clear" w:color="auto" w:fill="auto"/>
            <w:vAlign w:val="center"/>
            <w:hideMark/>
          </w:tcPr>
          <w:p w14:paraId="5391B3FC"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m:oMathPara>
              <m:oMath>
                <m:r>
                  <w:rPr>
                    <w:rFonts w:ascii="Cambria Math" w:eastAsia="Times New Roman" w:hAnsi="Cambria Math" w:cs="Calibri"/>
                    <w:color w:val="000000"/>
                    <w:sz w:val="18"/>
                    <w:szCs w:val="18"/>
                    <w:lang w:eastAsia="fr-FR"/>
                  </w:rPr>
                  <m:t>d</m:t>
                </m:r>
              </m:oMath>
            </m:oMathPara>
          </w:p>
        </w:tc>
        <w:tc>
          <w:tcPr>
            <w:tcW w:w="871" w:type="dxa"/>
            <w:tcBorders>
              <w:top w:val="nil"/>
              <w:left w:val="nil"/>
              <w:bottom w:val="nil"/>
              <w:right w:val="nil"/>
            </w:tcBorders>
          </w:tcPr>
          <w:p w14:paraId="17B2A91C"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40</w:t>
            </w:r>
          </w:p>
        </w:tc>
        <w:tc>
          <w:tcPr>
            <w:tcW w:w="4513" w:type="dxa"/>
            <w:tcBorders>
              <w:top w:val="nil"/>
              <w:left w:val="nil"/>
              <w:bottom w:val="nil"/>
              <w:right w:val="nil"/>
            </w:tcBorders>
            <w:shd w:val="clear" w:color="auto" w:fill="auto"/>
            <w:vAlign w:val="center"/>
            <w:hideMark/>
          </w:tcPr>
          <w:p w14:paraId="3C0E537D"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Critical temperature at the inflection point</w:t>
            </w:r>
          </w:p>
        </w:tc>
      </w:tr>
      <w:tr w:rsidR="002F6E07" w:rsidRPr="006D05F2" w14:paraId="29C5A145" w14:textId="77777777" w:rsidTr="00B066C7">
        <w:trPr>
          <w:trHeight w:val="261"/>
        </w:trPr>
        <w:tc>
          <w:tcPr>
            <w:tcW w:w="981" w:type="dxa"/>
            <w:vMerge/>
            <w:tcBorders>
              <w:top w:val="nil"/>
              <w:left w:val="nil"/>
              <w:bottom w:val="single" w:sz="4" w:space="0" w:color="000000"/>
              <w:right w:val="nil"/>
            </w:tcBorders>
            <w:vAlign w:val="center"/>
            <w:hideMark/>
          </w:tcPr>
          <w:p w14:paraId="4E78864F"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single" w:sz="4" w:space="0" w:color="000000"/>
              <w:right w:val="nil"/>
            </w:tcBorders>
            <w:vAlign w:val="center"/>
            <w:hideMark/>
          </w:tcPr>
          <w:p w14:paraId="00C558C6"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single" w:sz="4" w:space="0" w:color="000000"/>
              <w:right w:val="nil"/>
            </w:tcBorders>
            <w:vAlign w:val="center"/>
            <w:hideMark/>
          </w:tcPr>
          <w:p w14:paraId="2DEB4FC4"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nil"/>
              <w:right w:val="nil"/>
            </w:tcBorders>
            <w:shd w:val="clear" w:color="auto" w:fill="auto"/>
            <w:vAlign w:val="center"/>
            <w:hideMark/>
          </w:tcPr>
          <w:p w14:paraId="375FCFA5"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m:oMathPara>
              <m:oMath>
                <m:r>
                  <w:rPr>
                    <w:rFonts w:ascii="Cambria Math" w:eastAsia="Times New Roman" w:hAnsi="Cambria Math" w:cs="Calibri"/>
                    <w:color w:val="000000"/>
                    <w:sz w:val="18"/>
                    <w:szCs w:val="18"/>
                    <w:lang w:eastAsia="fr-FR"/>
                  </w:rPr>
                  <m:t>e</m:t>
                </m:r>
              </m:oMath>
            </m:oMathPara>
          </w:p>
        </w:tc>
        <w:tc>
          <w:tcPr>
            <w:tcW w:w="871" w:type="dxa"/>
            <w:tcBorders>
              <w:top w:val="nil"/>
              <w:left w:val="nil"/>
              <w:bottom w:val="nil"/>
              <w:right w:val="nil"/>
            </w:tcBorders>
          </w:tcPr>
          <w:p w14:paraId="71ADD02E"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3418782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Slope at the inflection point of the sigmoid function</w:t>
            </w:r>
          </w:p>
        </w:tc>
      </w:tr>
      <w:tr w:rsidR="002F6E07" w:rsidRPr="006D05F2" w14:paraId="7D25AEBD" w14:textId="77777777" w:rsidTr="00B066C7">
        <w:trPr>
          <w:trHeight w:val="261"/>
        </w:trPr>
        <w:tc>
          <w:tcPr>
            <w:tcW w:w="981" w:type="dxa"/>
            <w:vMerge/>
            <w:tcBorders>
              <w:top w:val="nil"/>
              <w:left w:val="nil"/>
              <w:bottom w:val="single" w:sz="4" w:space="0" w:color="000000"/>
              <w:right w:val="nil"/>
            </w:tcBorders>
            <w:vAlign w:val="center"/>
            <w:hideMark/>
          </w:tcPr>
          <w:p w14:paraId="1DC8A3A5"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single" w:sz="4" w:space="0" w:color="000000"/>
              <w:right w:val="nil"/>
            </w:tcBorders>
            <w:vAlign w:val="center"/>
            <w:hideMark/>
          </w:tcPr>
          <w:p w14:paraId="353AA0A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single" w:sz="4" w:space="0" w:color="000000"/>
              <w:right w:val="nil"/>
            </w:tcBorders>
            <w:vAlign w:val="center"/>
            <w:hideMark/>
          </w:tcPr>
          <w:p w14:paraId="2532B50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nil"/>
              <w:right w:val="nil"/>
            </w:tcBorders>
            <w:shd w:val="clear" w:color="auto" w:fill="auto"/>
            <w:vAlign w:val="center"/>
            <w:hideMark/>
          </w:tcPr>
          <w:p w14:paraId="2556F55B"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F</m:t>
                    </m:r>
                  </m:e>
                  <m:sub>
                    <m:r>
                      <w:rPr>
                        <w:rFonts w:ascii="Cambria Math" w:eastAsia="Times New Roman" w:hAnsi="Cambria Math" w:cs="Calibri"/>
                        <w:color w:val="000000"/>
                        <w:sz w:val="18"/>
                        <w:szCs w:val="18"/>
                        <w:lang w:eastAsia="fr-FR"/>
                      </w:rPr>
                      <m:t>crit</m:t>
                    </m:r>
                  </m:sub>
                </m:sSub>
              </m:oMath>
            </m:oMathPara>
          </w:p>
        </w:tc>
        <w:tc>
          <w:tcPr>
            <w:tcW w:w="871" w:type="dxa"/>
            <w:tcBorders>
              <w:top w:val="nil"/>
              <w:left w:val="nil"/>
              <w:bottom w:val="nil"/>
              <w:right w:val="nil"/>
            </w:tcBorders>
          </w:tcPr>
          <w:p w14:paraId="140F5F8E"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nil"/>
              <w:right w:val="nil"/>
            </w:tcBorders>
            <w:shd w:val="clear" w:color="auto" w:fill="auto"/>
            <w:vAlign w:val="center"/>
            <w:hideMark/>
          </w:tcPr>
          <w:p w14:paraId="2CD1869B"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Accumulation threshold above which accumulation starts</w:t>
            </w:r>
          </w:p>
        </w:tc>
      </w:tr>
      <w:tr w:rsidR="002F6E07" w:rsidRPr="00952453" w14:paraId="4C15C4C0" w14:textId="77777777" w:rsidTr="00B066C7">
        <w:trPr>
          <w:trHeight w:val="261"/>
        </w:trPr>
        <w:tc>
          <w:tcPr>
            <w:tcW w:w="981" w:type="dxa"/>
            <w:vMerge/>
            <w:tcBorders>
              <w:top w:val="nil"/>
              <w:left w:val="nil"/>
              <w:bottom w:val="single" w:sz="4" w:space="0" w:color="000000"/>
              <w:right w:val="nil"/>
            </w:tcBorders>
            <w:vAlign w:val="center"/>
            <w:hideMark/>
          </w:tcPr>
          <w:p w14:paraId="29AD7EF9"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single" w:sz="4" w:space="0" w:color="000000"/>
              <w:right w:val="nil"/>
            </w:tcBorders>
            <w:vAlign w:val="center"/>
            <w:hideMark/>
          </w:tcPr>
          <w:p w14:paraId="7FECE919"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single" w:sz="4" w:space="0" w:color="000000"/>
              <w:right w:val="nil"/>
            </w:tcBorders>
            <w:vAlign w:val="center"/>
            <w:hideMark/>
          </w:tcPr>
          <w:p w14:paraId="3EB771B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1E919F32"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m:oMathPara>
              <m:oMath>
                <m:r>
                  <w:rPr>
                    <w:rFonts w:ascii="Cambria Math" w:eastAsia="Times New Roman" w:hAnsi="Cambria Math" w:cs="Calibri"/>
                    <w:color w:val="000000"/>
                    <w:sz w:val="18"/>
                    <w:szCs w:val="18"/>
                    <w:lang w:eastAsia="fr-FR"/>
                  </w:rPr>
                  <m:t>σ</m:t>
                </m:r>
              </m:oMath>
            </m:oMathPara>
          </w:p>
        </w:tc>
        <w:tc>
          <w:tcPr>
            <w:tcW w:w="871" w:type="dxa"/>
            <w:tcBorders>
              <w:top w:val="nil"/>
              <w:left w:val="nil"/>
              <w:bottom w:val="single" w:sz="4" w:space="0" w:color="auto"/>
              <w:right w:val="nil"/>
            </w:tcBorders>
          </w:tcPr>
          <w:p w14:paraId="5394F95C"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p>
        </w:tc>
        <w:tc>
          <w:tcPr>
            <w:tcW w:w="4513" w:type="dxa"/>
            <w:tcBorders>
              <w:top w:val="nil"/>
              <w:left w:val="nil"/>
              <w:bottom w:val="single" w:sz="4" w:space="0" w:color="auto"/>
              <w:right w:val="nil"/>
            </w:tcBorders>
            <w:shd w:val="clear" w:color="auto" w:fill="auto"/>
            <w:vAlign w:val="center"/>
            <w:hideMark/>
          </w:tcPr>
          <w:p w14:paraId="152F211B"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Standard deviation</w:t>
            </w:r>
          </w:p>
        </w:tc>
      </w:tr>
      <w:tr w:rsidR="002F6E07" w:rsidRPr="006D05F2" w14:paraId="51830950" w14:textId="77777777" w:rsidTr="00B066C7">
        <w:trPr>
          <w:trHeight w:val="261"/>
        </w:trPr>
        <w:tc>
          <w:tcPr>
            <w:tcW w:w="981" w:type="dxa"/>
            <w:vMerge w:val="restart"/>
            <w:tcBorders>
              <w:top w:val="nil"/>
              <w:left w:val="nil"/>
              <w:right w:val="nil"/>
            </w:tcBorders>
            <w:shd w:val="clear" w:color="auto" w:fill="auto"/>
            <w:vAlign w:val="center"/>
          </w:tcPr>
          <w:p w14:paraId="7A29DF9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Frost hardening</w:t>
            </w:r>
          </w:p>
        </w:tc>
        <w:tc>
          <w:tcPr>
            <w:tcW w:w="1361" w:type="dxa"/>
            <w:tcBorders>
              <w:top w:val="nil"/>
              <w:left w:val="nil"/>
              <w:bottom w:val="nil"/>
              <w:right w:val="nil"/>
            </w:tcBorders>
            <w:shd w:val="clear" w:color="auto" w:fill="auto"/>
            <w:vAlign w:val="center"/>
          </w:tcPr>
          <w:p w14:paraId="337304D6"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Death</w:t>
            </w:r>
          </w:p>
        </w:tc>
        <w:tc>
          <w:tcPr>
            <w:tcW w:w="893" w:type="dxa"/>
            <w:tcBorders>
              <w:top w:val="nil"/>
              <w:left w:val="nil"/>
              <w:bottom w:val="nil"/>
              <w:right w:val="nil"/>
            </w:tcBorders>
            <w:shd w:val="clear" w:color="auto" w:fill="auto"/>
            <w:vAlign w:val="center"/>
          </w:tcPr>
          <w:p w14:paraId="5E8D5816"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single" w:sz="4" w:space="0" w:color="auto"/>
              <w:left w:val="nil"/>
              <w:bottom w:val="single" w:sz="4" w:space="0" w:color="auto"/>
              <w:right w:val="nil"/>
            </w:tcBorders>
            <w:shd w:val="clear" w:color="auto" w:fill="auto"/>
            <w:vAlign w:val="center"/>
          </w:tcPr>
          <w:p w14:paraId="6F7935BB"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T</m:t>
                    </m:r>
                  </m:e>
                  <m:sub>
                    <m:r>
                      <w:rPr>
                        <w:rFonts w:ascii="Cambria Math" w:eastAsia="Times New Roman" w:hAnsi="Cambria Math" w:cs="Calibri"/>
                        <w:color w:val="000000"/>
                        <w:sz w:val="18"/>
                        <w:szCs w:val="18"/>
                        <w:lang w:eastAsia="fr-FR"/>
                      </w:rPr>
                      <m:t>death</m:t>
                    </m:r>
                  </m:sub>
                </m:sSub>
              </m:oMath>
            </m:oMathPara>
          </w:p>
        </w:tc>
        <w:tc>
          <w:tcPr>
            <w:tcW w:w="871" w:type="dxa"/>
            <w:tcBorders>
              <w:top w:val="single" w:sz="4" w:space="0" w:color="auto"/>
              <w:left w:val="nil"/>
              <w:bottom w:val="single" w:sz="4" w:space="0" w:color="auto"/>
              <w:right w:val="nil"/>
            </w:tcBorders>
          </w:tcPr>
          <w:p w14:paraId="180F3CCC"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-30</w:t>
            </w:r>
          </w:p>
        </w:tc>
        <w:tc>
          <w:tcPr>
            <w:tcW w:w="4513" w:type="dxa"/>
            <w:tcBorders>
              <w:top w:val="single" w:sz="4" w:space="0" w:color="auto"/>
              <w:left w:val="nil"/>
              <w:bottom w:val="single" w:sz="4" w:space="0" w:color="auto"/>
              <w:right w:val="nil"/>
            </w:tcBorders>
            <w:shd w:val="clear" w:color="auto" w:fill="auto"/>
            <w:vAlign w:val="center"/>
          </w:tcPr>
          <w:p w14:paraId="1B9C2D50" w14:textId="1EF7D75C" w:rsidR="002F6E07" w:rsidRPr="00952453" w:rsidRDefault="007F5A76" w:rsidP="00E50DB0">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Lethal temperature</w:t>
            </w:r>
          </w:p>
        </w:tc>
      </w:tr>
      <w:tr w:rsidR="002F6E07" w:rsidRPr="006D05F2" w14:paraId="777284F4" w14:textId="77777777" w:rsidTr="00B066C7">
        <w:trPr>
          <w:trHeight w:val="261"/>
        </w:trPr>
        <w:tc>
          <w:tcPr>
            <w:tcW w:w="981" w:type="dxa"/>
            <w:vMerge/>
            <w:tcBorders>
              <w:left w:val="nil"/>
              <w:right w:val="nil"/>
            </w:tcBorders>
            <w:shd w:val="clear" w:color="auto" w:fill="auto"/>
            <w:vAlign w:val="center"/>
            <w:hideMark/>
          </w:tcPr>
          <w:p w14:paraId="2B09253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val="restart"/>
            <w:tcBorders>
              <w:top w:val="nil"/>
              <w:left w:val="nil"/>
              <w:bottom w:val="nil"/>
              <w:right w:val="nil"/>
            </w:tcBorders>
            <w:shd w:val="clear" w:color="auto" w:fill="auto"/>
            <w:vAlign w:val="center"/>
            <w:hideMark/>
          </w:tcPr>
          <w:p w14:paraId="18E4AE8E"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Leaf</w:t>
            </w:r>
          </w:p>
        </w:tc>
        <w:tc>
          <w:tcPr>
            <w:tcW w:w="893" w:type="dxa"/>
            <w:tcBorders>
              <w:top w:val="nil"/>
              <w:left w:val="nil"/>
              <w:bottom w:val="nil"/>
              <w:right w:val="nil"/>
            </w:tcBorders>
            <w:shd w:val="clear" w:color="auto" w:fill="auto"/>
            <w:vAlign w:val="center"/>
            <w:hideMark/>
          </w:tcPr>
          <w:p w14:paraId="18094AB1"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 </w:t>
            </w:r>
          </w:p>
        </w:tc>
        <w:tc>
          <w:tcPr>
            <w:tcW w:w="1004" w:type="dxa"/>
            <w:tcBorders>
              <w:top w:val="single" w:sz="4" w:space="0" w:color="auto"/>
              <w:left w:val="nil"/>
              <w:bottom w:val="nil"/>
              <w:right w:val="nil"/>
            </w:tcBorders>
            <w:shd w:val="clear" w:color="auto" w:fill="auto"/>
            <w:vAlign w:val="center"/>
            <w:hideMark/>
          </w:tcPr>
          <w:p w14:paraId="37831841"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
              <m:sSubSup>
                <m:sSubSupPr>
                  <m:ctrlPr>
                    <w:rPr>
                      <w:rFonts w:ascii="Cambria Math" w:eastAsia="Times New Roman" w:hAnsi="Cambria Math" w:cs="Calibri"/>
                      <w:i/>
                      <w:color w:val="000000"/>
                      <w:sz w:val="18"/>
                      <w:szCs w:val="18"/>
                      <w:lang w:eastAsia="fr-FR"/>
                    </w:rPr>
                  </m:ctrlPr>
                </m:sSubSupPr>
                <m:e>
                  <m:r>
                    <w:rPr>
                      <w:rFonts w:ascii="Cambria Math" w:eastAsia="Times New Roman" w:hAnsi="Cambria Math" w:cs="Calibri"/>
                      <w:color w:val="000000"/>
                      <w:sz w:val="18"/>
                      <w:szCs w:val="18"/>
                      <w:lang w:eastAsia="fr-FR"/>
                    </w:rPr>
                    <m:t>FH</m:t>
                  </m:r>
                </m:e>
                <m:sub>
                  <m:r>
                    <w:rPr>
                      <w:rFonts w:ascii="Cambria Math" w:eastAsia="Times New Roman" w:hAnsi="Cambria Math" w:cs="Calibri"/>
                      <w:color w:val="000000"/>
                      <w:sz w:val="18"/>
                      <w:szCs w:val="18"/>
                      <w:lang w:eastAsia="fr-FR"/>
                    </w:rPr>
                    <m:t>min</m:t>
                  </m:r>
                </m:sub>
                <m:sup>
                  <m:r>
                    <w:rPr>
                      <w:rFonts w:ascii="Cambria Math" w:eastAsia="Times New Roman" w:hAnsi="Cambria Math" w:cs="Calibri"/>
                      <w:color w:val="000000"/>
                      <w:sz w:val="18"/>
                      <w:szCs w:val="18"/>
                      <w:lang w:eastAsia="fr-FR"/>
                    </w:rPr>
                    <m:t>leaf</m:t>
                  </m:r>
                </m:sup>
              </m:sSubSup>
            </m:oMath>
            <w:r w:rsidR="002F6E07" w:rsidRPr="00952453">
              <w:rPr>
                <w:rFonts w:ascii="Calibri" w:eastAsia="Times New Roman" w:hAnsi="Calibri" w:cs="Calibri"/>
                <w:color w:val="000000"/>
                <w:sz w:val="18"/>
                <w:szCs w:val="18"/>
                <w:lang w:eastAsia="fr-FR"/>
              </w:rPr>
              <w:t> </w:t>
            </w:r>
          </w:p>
        </w:tc>
        <w:tc>
          <w:tcPr>
            <w:tcW w:w="871" w:type="dxa"/>
            <w:tcBorders>
              <w:top w:val="single" w:sz="4" w:space="0" w:color="auto"/>
              <w:left w:val="nil"/>
              <w:bottom w:val="nil"/>
              <w:right w:val="nil"/>
            </w:tcBorders>
          </w:tcPr>
          <w:p w14:paraId="3B46590B"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-2</w:t>
            </w:r>
          </w:p>
        </w:tc>
        <w:tc>
          <w:tcPr>
            <w:tcW w:w="4513" w:type="dxa"/>
            <w:tcBorders>
              <w:top w:val="single" w:sz="4" w:space="0" w:color="auto"/>
              <w:left w:val="nil"/>
              <w:bottom w:val="nil"/>
              <w:right w:val="nil"/>
            </w:tcBorders>
            <w:shd w:val="clear" w:color="auto" w:fill="auto"/>
            <w:vAlign w:val="center"/>
            <w:hideMark/>
          </w:tcPr>
          <w:p w14:paraId="14D2D64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Minimum level of frost hardiness</w:t>
            </w:r>
          </w:p>
        </w:tc>
      </w:tr>
      <w:tr w:rsidR="002F6E07" w:rsidRPr="006D05F2" w14:paraId="2823148A" w14:textId="77777777" w:rsidTr="00B066C7">
        <w:trPr>
          <w:trHeight w:val="261"/>
        </w:trPr>
        <w:tc>
          <w:tcPr>
            <w:tcW w:w="981" w:type="dxa"/>
            <w:vMerge/>
            <w:tcBorders>
              <w:left w:val="nil"/>
              <w:right w:val="nil"/>
            </w:tcBorders>
            <w:vAlign w:val="center"/>
            <w:hideMark/>
          </w:tcPr>
          <w:p w14:paraId="7F6382D1"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nil"/>
              <w:right w:val="nil"/>
            </w:tcBorders>
            <w:vAlign w:val="center"/>
            <w:hideMark/>
          </w:tcPr>
          <w:p w14:paraId="279E87A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tcBorders>
              <w:top w:val="nil"/>
              <w:left w:val="nil"/>
              <w:bottom w:val="nil"/>
              <w:right w:val="nil"/>
            </w:tcBorders>
            <w:shd w:val="clear" w:color="auto" w:fill="auto"/>
            <w:vAlign w:val="center"/>
            <w:hideMark/>
          </w:tcPr>
          <w:p w14:paraId="07C62780"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57E5FE37"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
              <m:sSubSup>
                <m:sSubSupPr>
                  <m:ctrlPr>
                    <w:rPr>
                      <w:rFonts w:ascii="Cambria Math" w:eastAsia="Times New Roman" w:hAnsi="Cambria Math" w:cs="Calibri"/>
                      <w:i/>
                      <w:color w:val="000000"/>
                      <w:sz w:val="18"/>
                      <w:szCs w:val="18"/>
                      <w:lang w:eastAsia="fr-FR"/>
                    </w:rPr>
                  </m:ctrlPr>
                </m:sSubSupPr>
                <m:e>
                  <m:r>
                    <w:rPr>
                      <w:rFonts w:ascii="Cambria Math" w:eastAsia="Times New Roman" w:hAnsi="Cambria Math" w:cs="Calibri"/>
                      <w:color w:val="000000"/>
                      <w:sz w:val="18"/>
                      <w:szCs w:val="18"/>
                      <w:lang w:eastAsia="fr-FR"/>
                    </w:rPr>
                    <m:t>FH</m:t>
                  </m:r>
                </m:e>
                <m:sub>
                  <m:r>
                    <w:rPr>
                      <w:rFonts w:ascii="Cambria Math" w:eastAsia="Times New Roman" w:hAnsi="Cambria Math" w:cs="Calibri"/>
                      <w:color w:val="000000"/>
                      <w:sz w:val="18"/>
                      <w:szCs w:val="18"/>
                      <w:lang w:eastAsia="fr-FR"/>
                    </w:rPr>
                    <m:t>max</m:t>
                  </m:r>
                </m:sub>
                <m:sup>
                  <m:r>
                    <w:rPr>
                      <w:rFonts w:ascii="Cambria Math" w:eastAsia="Times New Roman" w:hAnsi="Cambria Math" w:cs="Calibri"/>
                      <w:color w:val="000000"/>
                      <w:sz w:val="18"/>
                      <w:szCs w:val="18"/>
                      <w:lang w:eastAsia="fr-FR"/>
                    </w:rPr>
                    <m:t>leaf</m:t>
                  </m:r>
                </m:sup>
              </m:sSubSup>
            </m:oMath>
            <w:r w:rsidR="002F6E07" w:rsidRPr="00952453">
              <w:rPr>
                <w:rFonts w:ascii="Calibri" w:eastAsia="Times New Roman" w:hAnsi="Calibri" w:cs="Calibri"/>
                <w:color w:val="000000"/>
                <w:sz w:val="18"/>
                <w:szCs w:val="18"/>
                <w:lang w:eastAsia="fr-FR"/>
              </w:rPr>
              <w:t> </w:t>
            </w:r>
          </w:p>
        </w:tc>
        <w:tc>
          <w:tcPr>
            <w:tcW w:w="871" w:type="dxa"/>
            <w:tcBorders>
              <w:top w:val="nil"/>
              <w:left w:val="nil"/>
              <w:bottom w:val="single" w:sz="4" w:space="0" w:color="auto"/>
              <w:right w:val="nil"/>
            </w:tcBorders>
          </w:tcPr>
          <w:p w14:paraId="2D565DF9" w14:textId="4CE6E4D0"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w:t>
            </w:r>
            <w:r w:rsidR="007F5A76">
              <w:rPr>
                <w:rFonts w:ascii="Calibri" w:eastAsia="Times New Roman" w:hAnsi="Calibri" w:cs="Calibri"/>
                <w:color w:val="000000"/>
                <w:sz w:val="18"/>
                <w:szCs w:val="18"/>
                <w:lang w:eastAsia="fr-FR"/>
              </w:rPr>
              <w:t>3</w:t>
            </w:r>
            <w:r w:rsidRPr="00952453">
              <w:rPr>
                <w:rFonts w:ascii="Calibri" w:eastAsia="Times New Roman" w:hAnsi="Calibri" w:cs="Calibri"/>
                <w:color w:val="000000"/>
                <w:sz w:val="18"/>
                <w:szCs w:val="18"/>
                <w:lang w:eastAsia="fr-FR"/>
              </w:rPr>
              <w:t>0</w:t>
            </w:r>
          </w:p>
        </w:tc>
        <w:tc>
          <w:tcPr>
            <w:tcW w:w="4513" w:type="dxa"/>
            <w:tcBorders>
              <w:top w:val="nil"/>
              <w:left w:val="nil"/>
              <w:bottom w:val="single" w:sz="4" w:space="0" w:color="auto"/>
              <w:right w:val="nil"/>
            </w:tcBorders>
            <w:shd w:val="clear" w:color="auto" w:fill="auto"/>
            <w:vAlign w:val="center"/>
            <w:hideMark/>
          </w:tcPr>
          <w:p w14:paraId="655FD2B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Maximum level of frost hardiness</w:t>
            </w:r>
          </w:p>
        </w:tc>
      </w:tr>
      <w:tr w:rsidR="002F6E07" w:rsidRPr="006D05F2" w14:paraId="083C6D2B" w14:textId="77777777" w:rsidTr="00B066C7">
        <w:trPr>
          <w:trHeight w:val="261"/>
        </w:trPr>
        <w:tc>
          <w:tcPr>
            <w:tcW w:w="981" w:type="dxa"/>
            <w:vMerge/>
            <w:tcBorders>
              <w:left w:val="nil"/>
              <w:right w:val="nil"/>
            </w:tcBorders>
            <w:vAlign w:val="center"/>
            <w:hideMark/>
          </w:tcPr>
          <w:p w14:paraId="64D7C11B"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val="restart"/>
            <w:tcBorders>
              <w:top w:val="nil"/>
              <w:left w:val="nil"/>
              <w:bottom w:val="nil"/>
              <w:right w:val="nil"/>
            </w:tcBorders>
            <w:shd w:val="clear" w:color="auto" w:fill="auto"/>
            <w:vAlign w:val="center"/>
            <w:hideMark/>
          </w:tcPr>
          <w:p w14:paraId="441813E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 xml:space="preserve">Flower </w:t>
            </w:r>
          </w:p>
        </w:tc>
        <w:tc>
          <w:tcPr>
            <w:tcW w:w="893" w:type="dxa"/>
            <w:tcBorders>
              <w:top w:val="nil"/>
              <w:left w:val="nil"/>
              <w:bottom w:val="nil"/>
              <w:right w:val="nil"/>
            </w:tcBorders>
            <w:shd w:val="clear" w:color="auto" w:fill="auto"/>
            <w:vAlign w:val="center"/>
            <w:hideMark/>
          </w:tcPr>
          <w:p w14:paraId="6ABF8E3B"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nil"/>
              <w:right w:val="nil"/>
            </w:tcBorders>
            <w:shd w:val="clear" w:color="auto" w:fill="auto"/>
            <w:vAlign w:val="center"/>
            <w:hideMark/>
          </w:tcPr>
          <w:p w14:paraId="51C05210" w14:textId="77777777" w:rsidR="002F6E07" w:rsidRPr="00952453" w:rsidRDefault="000678D4" w:rsidP="00E50DB0">
            <w:pPr>
              <w:spacing w:after="0" w:line="240" w:lineRule="auto"/>
              <w:jc w:val="center"/>
              <w:rPr>
                <w:rFonts w:ascii="Times New Roman" w:eastAsia="Times New Roman" w:hAnsi="Times New Roman" w:cs="Times New Roman"/>
                <w:sz w:val="18"/>
                <w:szCs w:val="18"/>
                <w:lang w:eastAsia="fr-FR"/>
              </w:rPr>
            </w:pPr>
            <m:oMathPara>
              <m:oMath>
                <m:sSubSup>
                  <m:sSubSupPr>
                    <m:ctrlPr>
                      <w:rPr>
                        <w:rFonts w:ascii="Cambria Math" w:eastAsia="Times New Roman" w:hAnsi="Cambria Math" w:cs="Calibri"/>
                        <w:i/>
                        <w:color w:val="000000"/>
                        <w:sz w:val="18"/>
                        <w:szCs w:val="18"/>
                        <w:lang w:eastAsia="fr-FR"/>
                      </w:rPr>
                    </m:ctrlPr>
                  </m:sSubSupPr>
                  <m:e>
                    <m:r>
                      <w:rPr>
                        <w:rFonts w:ascii="Cambria Math" w:eastAsia="Times New Roman" w:hAnsi="Cambria Math" w:cs="Calibri"/>
                        <w:color w:val="000000"/>
                        <w:sz w:val="18"/>
                        <w:szCs w:val="18"/>
                        <w:lang w:eastAsia="fr-FR"/>
                      </w:rPr>
                      <m:t>FH</m:t>
                    </m:r>
                  </m:e>
                  <m:sub>
                    <m:r>
                      <w:rPr>
                        <w:rFonts w:ascii="Cambria Math" w:eastAsia="Times New Roman" w:hAnsi="Cambria Math" w:cs="Calibri"/>
                        <w:color w:val="000000"/>
                        <w:sz w:val="18"/>
                        <w:szCs w:val="18"/>
                        <w:lang w:eastAsia="fr-FR"/>
                      </w:rPr>
                      <m:t>min</m:t>
                    </m:r>
                  </m:sub>
                  <m:sup>
                    <m:r>
                      <w:rPr>
                        <w:rFonts w:ascii="Cambria Math" w:eastAsia="Times New Roman" w:hAnsi="Cambria Math" w:cs="Calibri"/>
                        <w:color w:val="000000"/>
                        <w:sz w:val="18"/>
                        <w:szCs w:val="18"/>
                        <w:lang w:eastAsia="fr-FR"/>
                      </w:rPr>
                      <m:t>flower</m:t>
                    </m:r>
                  </m:sup>
                </m:sSubSup>
              </m:oMath>
            </m:oMathPara>
          </w:p>
        </w:tc>
        <w:tc>
          <w:tcPr>
            <w:tcW w:w="871" w:type="dxa"/>
            <w:tcBorders>
              <w:top w:val="nil"/>
              <w:left w:val="nil"/>
              <w:bottom w:val="nil"/>
              <w:right w:val="nil"/>
            </w:tcBorders>
          </w:tcPr>
          <w:p w14:paraId="5A19077A"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-5.3</w:t>
            </w:r>
          </w:p>
        </w:tc>
        <w:tc>
          <w:tcPr>
            <w:tcW w:w="4513" w:type="dxa"/>
            <w:tcBorders>
              <w:top w:val="nil"/>
              <w:left w:val="nil"/>
              <w:bottom w:val="nil"/>
              <w:right w:val="nil"/>
            </w:tcBorders>
            <w:shd w:val="clear" w:color="auto" w:fill="auto"/>
            <w:vAlign w:val="center"/>
            <w:hideMark/>
          </w:tcPr>
          <w:p w14:paraId="0D40C118"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Minimum level of frost hardiness</w:t>
            </w:r>
          </w:p>
        </w:tc>
      </w:tr>
      <w:tr w:rsidR="002F6E07" w:rsidRPr="006D05F2" w14:paraId="509CE94D" w14:textId="77777777" w:rsidTr="00B066C7">
        <w:trPr>
          <w:trHeight w:val="261"/>
        </w:trPr>
        <w:tc>
          <w:tcPr>
            <w:tcW w:w="981" w:type="dxa"/>
            <w:vMerge/>
            <w:tcBorders>
              <w:left w:val="nil"/>
              <w:right w:val="nil"/>
            </w:tcBorders>
            <w:vAlign w:val="center"/>
            <w:hideMark/>
          </w:tcPr>
          <w:p w14:paraId="1134CDF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nil"/>
              <w:right w:val="nil"/>
            </w:tcBorders>
            <w:vAlign w:val="center"/>
            <w:hideMark/>
          </w:tcPr>
          <w:p w14:paraId="31CEFB57"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tcBorders>
              <w:top w:val="nil"/>
              <w:left w:val="nil"/>
              <w:bottom w:val="nil"/>
              <w:right w:val="nil"/>
            </w:tcBorders>
            <w:shd w:val="clear" w:color="auto" w:fill="auto"/>
            <w:vAlign w:val="center"/>
            <w:hideMark/>
          </w:tcPr>
          <w:p w14:paraId="6C8CF45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7685E512"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Sup>
                  <m:sSubSupPr>
                    <m:ctrlPr>
                      <w:rPr>
                        <w:rFonts w:ascii="Cambria Math" w:eastAsia="Times New Roman" w:hAnsi="Cambria Math" w:cs="Calibri"/>
                        <w:i/>
                        <w:color w:val="000000"/>
                        <w:sz w:val="18"/>
                        <w:szCs w:val="18"/>
                        <w:lang w:eastAsia="fr-FR"/>
                      </w:rPr>
                    </m:ctrlPr>
                  </m:sSubSupPr>
                  <m:e>
                    <m:r>
                      <w:rPr>
                        <w:rFonts w:ascii="Cambria Math" w:eastAsia="Times New Roman" w:hAnsi="Cambria Math" w:cs="Calibri"/>
                        <w:color w:val="000000"/>
                        <w:sz w:val="18"/>
                        <w:szCs w:val="18"/>
                        <w:lang w:eastAsia="fr-FR"/>
                      </w:rPr>
                      <m:t>FH</m:t>
                    </m:r>
                  </m:e>
                  <m:sub>
                    <m:r>
                      <w:rPr>
                        <w:rFonts w:ascii="Cambria Math" w:eastAsia="Times New Roman" w:hAnsi="Cambria Math" w:cs="Calibri"/>
                        <w:color w:val="000000"/>
                        <w:sz w:val="18"/>
                        <w:szCs w:val="18"/>
                        <w:lang w:eastAsia="fr-FR"/>
                      </w:rPr>
                      <m:t>max</m:t>
                    </m:r>
                  </m:sub>
                  <m:sup>
                    <m:r>
                      <w:rPr>
                        <w:rFonts w:ascii="Cambria Math" w:eastAsia="Times New Roman" w:hAnsi="Cambria Math" w:cs="Calibri"/>
                        <w:color w:val="000000"/>
                        <w:sz w:val="18"/>
                        <w:szCs w:val="18"/>
                        <w:lang w:eastAsia="fr-FR"/>
                      </w:rPr>
                      <m:t>flower</m:t>
                    </m:r>
                  </m:sup>
                </m:sSubSup>
              </m:oMath>
            </m:oMathPara>
          </w:p>
        </w:tc>
        <w:tc>
          <w:tcPr>
            <w:tcW w:w="871" w:type="dxa"/>
            <w:tcBorders>
              <w:top w:val="nil"/>
              <w:left w:val="nil"/>
              <w:bottom w:val="single" w:sz="4" w:space="0" w:color="auto"/>
              <w:right w:val="nil"/>
            </w:tcBorders>
          </w:tcPr>
          <w:p w14:paraId="09B1EA57" w14:textId="50E4CB3D"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w:t>
            </w:r>
            <w:r w:rsidR="007F5A76">
              <w:rPr>
                <w:rFonts w:ascii="Calibri" w:eastAsia="Times New Roman" w:hAnsi="Calibri" w:cs="Calibri"/>
                <w:color w:val="000000"/>
                <w:sz w:val="18"/>
                <w:szCs w:val="18"/>
                <w:lang w:eastAsia="fr-FR"/>
              </w:rPr>
              <w:t>3</w:t>
            </w:r>
            <w:r w:rsidRPr="00952453">
              <w:rPr>
                <w:rFonts w:ascii="Calibri" w:eastAsia="Times New Roman" w:hAnsi="Calibri" w:cs="Calibri"/>
                <w:color w:val="000000"/>
                <w:sz w:val="18"/>
                <w:szCs w:val="18"/>
                <w:lang w:eastAsia="fr-FR"/>
              </w:rPr>
              <w:t>0</w:t>
            </w:r>
          </w:p>
        </w:tc>
        <w:tc>
          <w:tcPr>
            <w:tcW w:w="4513" w:type="dxa"/>
            <w:tcBorders>
              <w:top w:val="nil"/>
              <w:left w:val="nil"/>
              <w:bottom w:val="single" w:sz="4" w:space="0" w:color="auto"/>
              <w:right w:val="nil"/>
            </w:tcBorders>
            <w:shd w:val="clear" w:color="auto" w:fill="auto"/>
            <w:vAlign w:val="center"/>
            <w:hideMark/>
          </w:tcPr>
          <w:p w14:paraId="0977B665"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Maximum level of frost hardiness</w:t>
            </w:r>
          </w:p>
        </w:tc>
      </w:tr>
      <w:tr w:rsidR="002F6E07" w:rsidRPr="006D05F2" w14:paraId="37583BBC" w14:textId="77777777" w:rsidTr="00B066C7">
        <w:trPr>
          <w:trHeight w:val="261"/>
        </w:trPr>
        <w:tc>
          <w:tcPr>
            <w:tcW w:w="981" w:type="dxa"/>
            <w:vMerge/>
            <w:tcBorders>
              <w:left w:val="nil"/>
              <w:right w:val="nil"/>
            </w:tcBorders>
            <w:vAlign w:val="center"/>
          </w:tcPr>
          <w:p w14:paraId="2EAF1A0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val="restart"/>
            <w:tcBorders>
              <w:top w:val="nil"/>
              <w:left w:val="nil"/>
              <w:right w:val="nil"/>
            </w:tcBorders>
            <w:shd w:val="clear" w:color="auto" w:fill="auto"/>
            <w:vAlign w:val="center"/>
          </w:tcPr>
          <w:p w14:paraId="0E87077E"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Fruit</w:t>
            </w:r>
          </w:p>
        </w:tc>
        <w:tc>
          <w:tcPr>
            <w:tcW w:w="893" w:type="dxa"/>
            <w:tcBorders>
              <w:top w:val="nil"/>
              <w:left w:val="nil"/>
              <w:bottom w:val="nil"/>
              <w:right w:val="nil"/>
            </w:tcBorders>
            <w:shd w:val="clear" w:color="auto" w:fill="auto"/>
            <w:vAlign w:val="center"/>
          </w:tcPr>
          <w:p w14:paraId="6D372B09"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single" w:sz="4" w:space="0" w:color="auto"/>
              <w:left w:val="nil"/>
              <w:bottom w:val="nil"/>
              <w:right w:val="nil"/>
            </w:tcBorders>
            <w:shd w:val="clear" w:color="auto" w:fill="auto"/>
            <w:vAlign w:val="center"/>
          </w:tcPr>
          <w:p w14:paraId="787AF64C" w14:textId="77777777" w:rsidR="002F6E07" w:rsidRPr="00952453" w:rsidRDefault="000678D4" w:rsidP="00E50DB0">
            <w:pPr>
              <w:spacing w:after="0" w:line="240" w:lineRule="auto"/>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FH</m:t>
                    </m:r>
                  </m:e>
                  <m:sub>
                    <m:r>
                      <w:rPr>
                        <w:rFonts w:ascii="Cambria Math" w:eastAsia="Times New Roman" w:hAnsi="Cambria Math" w:cs="Calibri"/>
                        <w:color w:val="000000"/>
                        <w:sz w:val="18"/>
                        <w:szCs w:val="18"/>
                        <w:lang w:eastAsia="fr-FR"/>
                      </w:rPr>
                      <m:t>max1</m:t>
                    </m:r>
                  </m:sub>
                </m:sSub>
              </m:oMath>
            </m:oMathPara>
          </w:p>
        </w:tc>
        <w:tc>
          <w:tcPr>
            <w:tcW w:w="871" w:type="dxa"/>
            <w:tcBorders>
              <w:top w:val="single" w:sz="4" w:space="0" w:color="auto"/>
              <w:left w:val="nil"/>
              <w:bottom w:val="nil"/>
              <w:right w:val="nil"/>
            </w:tcBorders>
          </w:tcPr>
          <w:p w14:paraId="2047AF88"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-6</w:t>
            </w:r>
          </w:p>
        </w:tc>
        <w:tc>
          <w:tcPr>
            <w:tcW w:w="4513" w:type="dxa"/>
            <w:tcBorders>
              <w:top w:val="single" w:sz="4" w:space="0" w:color="auto"/>
              <w:left w:val="nil"/>
              <w:bottom w:val="nil"/>
              <w:right w:val="nil"/>
            </w:tcBorders>
            <w:shd w:val="clear" w:color="auto" w:fill="auto"/>
            <w:vAlign w:val="center"/>
          </w:tcPr>
          <w:p w14:paraId="7925B9DD"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Maximum level of frost hardiness of young fruit</w:t>
            </w:r>
          </w:p>
        </w:tc>
      </w:tr>
      <w:tr w:rsidR="002F6E07" w:rsidRPr="006D05F2" w14:paraId="6D32F958" w14:textId="77777777" w:rsidTr="00B066C7">
        <w:trPr>
          <w:trHeight w:val="261"/>
        </w:trPr>
        <w:tc>
          <w:tcPr>
            <w:tcW w:w="981" w:type="dxa"/>
            <w:vMerge/>
            <w:tcBorders>
              <w:left w:val="nil"/>
              <w:right w:val="nil"/>
            </w:tcBorders>
            <w:vAlign w:val="center"/>
          </w:tcPr>
          <w:p w14:paraId="4EF87D3A"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left w:val="nil"/>
              <w:bottom w:val="nil"/>
              <w:right w:val="nil"/>
            </w:tcBorders>
            <w:shd w:val="clear" w:color="auto" w:fill="auto"/>
            <w:vAlign w:val="center"/>
          </w:tcPr>
          <w:p w14:paraId="2DE9036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tcBorders>
              <w:top w:val="nil"/>
              <w:left w:val="nil"/>
              <w:bottom w:val="nil"/>
              <w:right w:val="nil"/>
            </w:tcBorders>
            <w:shd w:val="clear" w:color="auto" w:fill="auto"/>
            <w:vAlign w:val="center"/>
          </w:tcPr>
          <w:p w14:paraId="5F35088B"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tcPr>
          <w:p w14:paraId="1095B330" w14:textId="77777777" w:rsidR="002F6E07" w:rsidRPr="00952453" w:rsidRDefault="000678D4" w:rsidP="00E50DB0">
            <w:pPr>
              <w:spacing w:after="0" w:line="240" w:lineRule="auto"/>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FH</m:t>
                    </m:r>
                  </m:e>
                  <m:sub>
                    <m:r>
                      <w:rPr>
                        <w:rFonts w:ascii="Cambria Math" w:eastAsia="Times New Roman" w:hAnsi="Cambria Math" w:cs="Calibri"/>
                        <w:color w:val="000000"/>
                        <w:sz w:val="18"/>
                        <w:szCs w:val="18"/>
                        <w:lang w:eastAsia="fr-FR"/>
                      </w:rPr>
                      <m:t>max2</m:t>
                    </m:r>
                  </m:sub>
                </m:sSub>
              </m:oMath>
            </m:oMathPara>
          </w:p>
        </w:tc>
        <w:tc>
          <w:tcPr>
            <w:tcW w:w="871" w:type="dxa"/>
            <w:tcBorders>
              <w:top w:val="nil"/>
              <w:left w:val="nil"/>
              <w:bottom w:val="single" w:sz="4" w:space="0" w:color="auto"/>
              <w:right w:val="nil"/>
            </w:tcBorders>
          </w:tcPr>
          <w:p w14:paraId="5A07E11F"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-20</w:t>
            </w:r>
          </w:p>
        </w:tc>
        <w:tc>
          <w:tcPr>
            <w:tcW w:w="4513" w:type="dxa"/>
            <w:tcBorders>
              <w:top w:val="nil"/>
              <w:left w:val="nil"/>
              <w:bottom w:val="single" w:sz="4" w:space="0" w:color="auto"/>
              <w:right w:val="nil"/>
            </w:tcBorders>
            <w:shd w:val="clear" w:color="auto" w:fill="auto"/>
            <w:vAlign w:val="center"/>
          </w:tcPr>
          <w:p w14:paraId="7B54544D"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Maximum level of frost hardiness of mature fruit</w:t>
            </w:r>
          </w:p>
        </w:tc>
      </w:tr>
      <w:tr w:rsidR="002F6E07" w:rsidRPr="006D05F2" w14:paraId="0ABBDE94" w14:textId="77777777" w:rsidTr="00B066C7">
        <w:trPr>
          <w:trHeight w:val="261"/>
        </w:trPr>
        <w:tc>
          <w:tcPr>
            <w:tcW w:w="981" w:type="dxa"/>
            <w:vMerge/>
            <w:tcBorders>
              <w:left w:val="nil"/>
              <w:right w:val="nil"/>
            </w:tcBorders>
            <w:vAlign w:val="center"/>
            <w:hideMark/>
          </w:tcPr>
          <w:p w14:paraId="57948A0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val="restart"/>
            <w:tcBorders>
              <w:top w:val="nil"/>
              <w:left w:val="nil"/>
              <w:bottom w:val="nil"/>
              <w:right w:val="nil"/>
            </w:tcBorders>
            <w:shd w:val="clear" w:color="auto" w:fill="auto"/>
            <w:vAlign w:val="center"/>
            <w:hideMark/>
          </w:tcPr>
          <w:p w14:paraId="7880C98B"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Thermal control</w:t>
            </w:r>
          </w:p>
        </w:tc>
        <w:tc>
          <w:tcPr>
            <w:tcW w:w="893" w:type="dxa"/>
            <w:tcBorders>
              <w:top w:val="nil"/>
              <w:left w:val="nil"/>
              <w:bottom w:val="nil"/>
              <w:right w:val="nil"/>
            </w:tcBorders>
            <w:shd w:val="clear" w:color="auto" w:fill="auto"/>
            <w:vAlign w:val="center"/>
            <w:hideMark/>
          </w:tcPr>
          <w:p w14:paraId="7FC0DBDE"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single" w:sz="4" w:space="0" w:color="auto"/>
              <w:left w:val="nil"/>
              <w:bottom w:val="nil"/>
              <w:right w:val="nil"/>
            </w:tcBorders>
            <w:shd w:val="clear" w:color="auto" w:fill="auto"/>
            <w:vAlign w:val="center"/>
            <w:hideMark/>
          </w:tcPr>
          <w:p w14:paraId="24BFD5F3" w14:textId="77777777" w:rsidR="002F6E07" w:rsidRPr="00952453" w:rsidRDefault="000678D4" w:rsidP="00E50DB0">
            <w:pPr>
              <w:spacing w:after="0" w:line="240" w:lineRule="auto"/>
              <w:rPr>
                <w:rFonts w:ascii="Times New Roman" w:eastAsia="Times New Roman" w:hAnsi="Times New Roman" w:cs="Times New Roman"/>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Te</m:t>
                    </m:r>
                  </m:e>
                  <m:sub>
                    <m:r>
                      <w:rPr>
                        <w:rFonts w:ascii="Cambria Math" w:eastAsia="Times New Roman" w:hAnsi="Cambria Math" w:cs="Calibri"/>
                        <w:color w:val="000000"/>
                        <w:sz w:val="18"/>
                        <w:szCs w:val="18"/>
                        <w:lang w:eastAsia="fr-FR"/>
                      </w:rPr>
                      <m:t>1</m:t>
                    </m:r>
                  </m:sub>
                </m:sSub>
              </m:oMath>
            </m:oMathPara>
          </w:p>
        </w:tc>
        <w:tc>
          <w:tcPr>
            <w:tcW w:w="871" w:type="dxa"/>
            <w:tcBorders>
              <w:top w:val="single" w:sz="4" w:space="0" w:color="auto"/>
              <w:left w:val="nil"/>
              <w:bottom w:val="nil"/>
              <w:right w:val="nil"/>
            </w:tcBorders>
          </w:tcPr>
          <w:p w14:paraId="6E7FA052"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10</w:t>
            </w:r>
          </w:p>
        </w:tc>
        <w:tc>
          <w:tcPr>
            <w:tcW w:w="4513" w:type="dxa"/>
            <w:tcBorders>
              <w:top w:val="single" w:sz="4" w:space="0" w:color="auto"/>
              <w:left w:val="nil"/>
              <w:bottom w:val="nil"/>
              <w:right w:val="nil"/>
            </w:tcBorders>
            <w:shd w:val="clear" w:color="auto" w:fill="auto"/>
            <w:vAlign w:val="center"/>
            <w:hideMark/>
          </w:tcPr>
          <w:p w14:paraId="313649D9"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Upper limit of the effective range of temperature</w:t>
            </w:r>
          </w:p>
        </w:tc>
      </w:tr>
      <w:tr w:rsidR="002F6E07" w:rsidRPr="006D05F2" w14:paraId="2871FFD2" w14:textId="77777777" w:rsidTr="00B066C7">
        <w:trPr>
          <w:trHeight w:val="261"/>
        </w:trPr>
        <w:tc>
          <w:tcPr>
            <w:tcW w:w="981" w:type="dxa"/>
            <w:vMerge/>
            <w:tcBorders>
              <w:left w:val="nil"/>
              <w:right w:val="nil"/>
            </w:tcBorders>
            <w:vAlign w:val="center"/>
            <w:hideMark/>
          </w:tcPr>
          <w:p w14:paraId="645697F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nil"/>
              <w:right w:val="nil"/>
            </w:tcBorders>
            <w:vAlign w:val="center"/>
            <w:hideMark/>
          </w:tcPr>
          <w:p w14:paraId="69102A5A"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tcBorders>
              <w:top w:val="nil"/>
              <w:left w:val="nil"/>
              <w:bottom w:val="nil"/>
              <w:right w:val="nil"/>
            </w:tcBorders>
            <w:shd w:val="clear" w:color="auto" w:fill="auto"/>
            <w:vAlign w:val="center"/>
            <w:hideMark/>
          </w:tcPr>
          <w:p w14:paraId="2C35C02C"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251A2D08"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Te</m:t>
                    </m:r>
                  </m:e>
                  <m:sub>
                    <m:r>
                      <w:rPr>
                        <w:rFonts w:ascii="Cambria Math" w:eastAsia="Times New Roman" w:hAnsi="Cambria Math" w:cs="Calibri"/>
                        <w:color w:val="000000"/>
                        <w:sz w:val="18"/>
                        <w:szCs w:val="18"/>
                        <w:lang w:eastAsia="fr-FR"/>
                      </w:rPr>
                      <m:t>2</m:t>
                    </m:r>
                  </m:sub>
                </m:sSub>
              </m:oMath>
            </m:oMathPara>
          </w:p>
        </w:tc>
        <w:tc>
          <w:tcPr>
            <w:tcW w:w="871" w:type="dxa"/>
            <w:tcBorders>
              <w:top w:val="nil"/>
              <w:left w:val="nil"/>
              <w:bottom w:val="single" w:sz="4" w:space="0" w:color="auto"/>
              <w:right w:val="nil"/>
            </w:tcBorders>
          </w:tcPr>
          <w:p w14:paraId="783E4599"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-16</w:t>
            </w:r>
          </w:p>
        </w:tc>
        <w:tc>
          <w:tcPr>
            <w:tcW w:w="4513" w:type="dxa"/>
            <w:tcBorders>
              <w:top w:val="nil"/>
              <w:left w:val="nil"/>
              <w:bottom w:val="single" w:sz="4" w:space="0" w:color="auto"/>
              <w:right w:val="nil"/>
            </w:tcBorders>
            <w:shd w:val="clear" w:color="auto" w:fill="auto"/>
            <w:vAlign w:val="center"/>
            <w:hideMark/>
          </w:tcPr>
          <w:p w14:paraId="0800F98B"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Lower limit of the effective range of temperature</w:t>
            </w:r>
          </w:p>
        </w:tc>
      </w:tr>
      <w:tr w:rsidR="002F6E07" w:rsidRPr="006D05F2" w14:paraId="53ECFFFA" w14:textId="77777777" w:rsidTr="00B066C7">
        <w:trPr>
          <w:trHeight w:val="261"/>
        </w:trPr>
        <w:tc>
          <w:tcPr>
            <w:tcW w:w="981" w:type="dxa"/>
            <w:vMerge/>
            <w:tcBorders>
              <w:left w:val="nil"/>
              <w:right w:val="nil"/>
            </w:tcBorders>
            <w:vAlign w:val="center"/>
            <w:hideMark/>
          </w:tcPr>
          <w:p w14:paraId="75B0E0AE"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val="restart"/>
            <w:tcBorders>
              <w:top w:val="nil"/>
              <w:left w:val="nil"/>
              <w:bottom w:val="single" w:sz="4" w:space="0" w:color="000000"/>
              <w:right w:val="nil"/>
            </w:tcBorders>
            <w:shd w:val="clear" w:color="auto" w:fill="auto"/>
            <w:vAlign w:val="center"/>
          </w:tcPr>
          <w:p w14:paraId="1DA85A77"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Photoperiod control</w:t>
            </w:r>
          </w:p>
        </w:tc>
        <w:tc>
          <w:tcPr>
            <w:tcW w:w="893" w:type="dxa"/>
            <w:vMerge w:val="restart"/>
            <w:tcBorders>
              <w:top w:val="nil"/>
              <w:left w:val="nil"/>
              <w:bottom w:val="single" w:sz="4" w:space="0" w:color="000000"/>
              <w:right w:val="nil"/>
            </w:tcBorders>
            <w:shd w:val="clear" w:color="auto" w:fill="auto"/>
            <w:vAlign w:val="center"/>
          </w:tcPr>
          <w:p w14:paraId="5EA34665"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p w14:paraId="38D06F40"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nil"/>
              <w:right w:val="nil"/>
            </w:tcBorders>
            <w:shd w:val="clear" w:color="auto" w:fill="auto"/>
            <w:vAlign w:val="center"/>
          </w:tcPr>
          <w:p w14:paraId="2F48CCEF"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NL</m:t>
                    </m:r>
                  </m:e>
                  <m:sub>
                    <m:r>
                      <w:rPr>
                        <w:rFonts w:ascii="Cambria Math" w:eastAsia="Times New Roman" w:hAnsi="Cambria Math" w:cs="Calibri"/>
                        <w:color w:val="000000"/>
                        <w:sz w:val="18"/>
                        <w:szCs w:val="18"/>
                        <w:lang w:eastAsia="fr-FR"/>
                      </w:rPr>
                      <m:t>1</m:t>
                    </m:r>
                  </m:sub>
                </m:sSub>
              </m:oMath>
            </m:oMathPara>
          </w:p>
        </w:tc>
        <w:tc>
          <w:tcPr>
            <w:tcW w:w="871" w:type="dxa"/>
            <w:tcBorders>
              <w:top w:val="nil"/>
              <w:left w:val="nil"/>
              <w:bottom w:val="nil"/>
              <w:right w:val="nil"/>
            </w:tcBorders>
          </w:tcPr>
          <w:p w14:paraId="16EAA8C5"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10</w:t>
            </w:r>
          </w:p>
        </w:tc>
        <w:tc>
          <w:tcPr>
            <w:tcW w:w="4513" w:type="dxa"/>
            <w:tcBorders>
              <w:top w:val="nil"/>
              <w:left w:val="nil"/>
              <w:bottom w:val="nil"/>
              <w:right w:val="nil"/>
            </w:tcBorders>
            <w:shd w:val="clear" w:color="auto" w:fill="auto"/>
            <w:vAlign w:val="center"/>
          </w:tcPr>
          <w:p w14:paraId="43594D08"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Lower limit of the effective range of photoperiod</w:t>
            </w:r>
          </w:p>
        </w:tc>
      </w:tr>
      <w:tr w:rsidR="002F6E07" w:rsidRPr="006D05F2" w14:paraId="43F0AAFF" w14:textId="77777777" w:rsidTr="00B066C7">
        <w:trPr>
          <w:trHeight w:val="261"/>
        </w:trPr>
        <w:tc>
          <w:tcPr>
            <w:tcW w:w="981" w:type="dxa"/>
            <w:vMerge/>
            <w:tcBorders>
              <w:left w:val="nil"/>
              <w:bottom w:val="single" w:sz="4" w:space="0" w:color="000000"/>
              <w:right w:val="nil"/>
            </w:tcBorders>
            <w:vAlign w:val="center"/>
            <w:hideMark/>
          </w:tcPr>
          <w:p w14:paraId="4624EC04"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361" w:type="dxa"/>
            <w:vMerge/>
            <w:tcBorders>
              <w:top w:val="nil"/>
              <w:left w:val="nil"/>
              <w:bottom w:val="single" w:sz="4" w:space="0" w:color="000000"/>
              <w:right w:val="nil"/>
            </w:tcBorders>
            <w:vAlign w:val="center"/>
          </w:tcPr>
          <w:p w14:paraId="117F3943"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893" w:type="dxa"/>
            <w:vMerge/>
            <w:tcBorders>
              <w:top w:val="nil"/>
              <w:left w:val="nil"/>
              <w:bottom w:val="single" w:sz="4" w:space="0" w:color="000000"/>
              <w:right w:val="nil"/>
            </w:tcBorders>
            <w:vAlign w:val="center"/>
          </w:tcPr>
          <w:p w14:paraId="58C470B7"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tcPr>
          <w:p w14:paraId="03251139"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NL</m:t>
                    </m:r>
                  </m:e>
                  <m:sub>
                    <m:r>
                      <w:rPr>
                        <w:rFonts w:ascii="Cambria Math" w:eastAsia="Times New Roman" w:hAnsi="Cambria Math" w:cs="Calibri"/>
                        <w:color w:val="000000"/>
                        <w:sz w:val="18"/>
                        <w:szCs w:val="18"/>
                        <w:lang w:eastAsia="fr-FR"/>
                      </w:rPr>
                      <m:t>2</m:t>
                    </m:r>
                  </m:sub>
                </m:sSub>
              </m:oMath>
            </m:oMathPara>
          </w:p>
        </w:tc>
        <w:tc>
          <w:tcPr>
            <w:tcW w:w="871" w:type="dxa"/>
            <w:tcBorders>
              <w:top w:val="nil"/>
              <w:left w:val="nil"/>
              <w:bottom w:val="single" w:sz="4" w:space="0" w:color="auto"/>
              <w:right w:val="nil"/>
            </w:tcBorders>
          </w:tcPr>
          <w:p w14:paraId="40126B09"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16</w:t>
            </w:r>
          </w:p>
        </w:tc>
        <w:tc>
          <w:tcPr>
            <w:tcW w:w="4513" w:type="dxa"/>
            <w:tcBorders>
              <w:top w:val="nil"/>
              <w:left w:val="nil"/>
              <w:bottom w:val="single" w:sz="4" w:space="0" w:color="auto"/>
              <w:right w:val="nil"/>
            </w:tcBorders>
            <w:shd w:val="clear" w:color="auto" w:fill="auto"/>
            <w:vAlign w:val="center"/>
          </w:tcPr>
          <w:p w14:paraId="1DA0FC0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Upper limit of the effective range of photoperiod</w:t>
            </w:r>
          </w:p>
        </w:tc>
      </w:tr>
      <w:tr w:rsidR="002F6E07" w:rsidRPr="00952453" w14:paraId="6000753D" w14:textId="77777777" w:rsidTr="00B066C7">
        <w:trPr>
          <w:trHeight w:val="261"/>
        </w:trPr>
        <w:tc>
          <w:tcPr>
            <w:tcW w:w="981" w:type="dxa"/>
            <w:vMerge w:val="restart"/>
            <w:tcBorders>
              <w:top w:val="nil"/>
              <w:left w:val="nil"/>
              <w:bottom w:val="single" w:sz="4" w:space="0" w:color="000000"/>
              <w:right w:val="nil"/>
            </w:tcBorders>
            <w:shd w:val="clear" w:color="auto" w:fill="auto"/>
            <w:vAlign w:val="center"/>
            <w:hideMark/>
          </w:tcPr>
          <w:p w14:paraId="02DCE36A"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Water stress</w:t>
            </w:r>
          </w:p>
        </w:tc>
        <w:tc>
          <w:tcPr>
            <w:tcW w:w="2254" w:type="dxa"/>
            <w:gridSpan w:val="2"/>
            <w:vMerge w:val="restart"/>
            <w:tcBorders>
              <w:top w:val="single" w:sz="4" w:space="0" w:color="auto"/>
              <w:left w:val="nil"/>
              <w:bottom w:val="single" w:sz="4" w:space="0" w:color="000000"/>
              <w:right w:val="nil"/>
            </w:tcBorders>
            <w:shd w:val="clear" w:color="auto" w:fill="auto"/>
            <w:vAlign w:val="center"/>
            <w:hideMark/>
          </w:tcPr>
          <w:p w14:paraId="6F0D06C3"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Precipitation range</w:t>
            </w:r>
          </w:p>
        </w:tc>
        <w:tc>
          <w:tcPr>
            <w:tcW w:w="1004" w:type="dxa"/>
            <w:tcBorders>
              <w:top w:val="nil"/>
              <w:left w:val="nil"/>
              <w:right w:val="nil"/>
            </w:tcBorders>
            <w:shd w:val="clear" w:color="auto" w:fill="auto"/>
            <w:vAlign w:val="center"/>
            <w:hideMark/>
          </w:tcPr>
          <w:p w14:paraId="61C95BF4"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pp</m:t>
                    </m:r>
                  </m:e>
                  <m:sub>
                    <m:r>
                      <w:rPr>
                        <w:rFonts w:ascii="Cambria Math" w:eastAsia="Times New Roman" w:hAnsi="Cambria Math" w:cs="Calibri"/>
                        <w:color w:val="000000"/>
                        <w:sz w:val="18"/>
                        <w:szCs w:val="18"/>
                        <w:lang w:eastAsia="fr-FR"/>
                      </w:rPr>
                      <m:t>min</m:t>
                    </m:r>
                  </m:sub>
                </m:sSub>
              </m:oMath>
            </m:oMathPara>
          </w:p>
        </w:tc>
        <w:tc>
          <w:tcPr>
            <w:tcW w:w="871" w:type="dxa"/>
            <w:tcBorders>
              <w:top w:val="nil"/>
              <w:left w:val="nil"/>
              <w:right w:val="nil"/>
            </w:tcBorders>
          </w:tcPr>
          <w:p w14:paraId="04D98CD1"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500</w:t>
            </w:r>
          </w:p>
        </w:tc>
        <w:tc>
          <w:tcPr>
            <w:tcW w:w="4513" w:type="dxa"/>
            <w:tcBorders>
              <w:top w:val="nil"/>
              <w:left w:val="nil"/>
              <w:right w:val="nil"/>
            </w:tcBorders>
            <w:shd w:val="clear" w:color="auto" w:fill="auto"/>
            <w:vAlign w:val="center"/>
            <w:hideMark/>
          </w:tcPr>
          <w:p w14:paraId="28FBD3FE"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Minimum level of precipitation</w:t>
            </w:r>
          </w:p>
        </w:tc>
      </w:tr>
      <w:tr w:rsidR="002F6E07" w:rsidRPr="00952453" w14:paraId="27B28A9F" w14:textId="77777777" w:rsidTr="00B066C7">
        <w:trPr>
          <w:trHeight w:val="261"/>
        </w:trPr>
        <w:tc>
          <w:tcPr>
            <w:tcW w:w="981" w:type="dxa"/>
            <w:vMerge/>
            <w:tcBorders>
              <w:top w:val="nil"/>
              <w:left w:val="nil"/>
              <w:bottom w:val="single" w:sz="4" w:space="0" w:color="000000"/>
              <w:right w:val="nil"/>
            </w:tcBorders>
            <w:vAlign w:val="center"/>
            <w:hideMark/>
          </w:tcPr>
          <w:p w14:paraId="0C9E8752"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2254" w:type="dxa"/>
            <w:gridSpan w:val="2"/>
            <w:vMerge/>
            <w:tcBorders>
              <w:top w:val="single" w:sz="4" w:space="0" w:color="auto"/>
              <w:left w:val="nil"/>
              <w:bottom w:val="single" w:sz="4" w:space="0" w:color="000000"/>
              <w:right w:val="nil"/>
            </w:tcBorders>
            <w:vAlign w:val="center"/>
            <w:hideMark/>
          </w:tcPr>
          <w:p w14:paraId="38BA0651"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p>
        </w:tc>
        <w:tc>
          <w:tcPr>
            <w:tcW w:w="1004" w:type="dxa"/>
            <w:tcBorders>
              <w:top w:val="nil"/>
              <w:left w:val="nil"/>
              <w:bottom w:val="single" w:sz="4" w:space="0" w:color="auto"/>
              <w:right w:val="nil"/>
            </w:tcBorders>
            <w:shd w:val="clear" w:color="auto" w:fill="auto"/>
            <w:vAlign w:val="center"/>
            <w:hideMark/>
          </w:tcPr>
          <w:p w14:paraId="53912DBD" w14:textId="77777777" w:rsidR="002F6E07" w:rsidRPr="00952453" w:rsidRDefault="000678D4" w:rsidP="00E50DB0">
            <w:pPr>
              <w:spacing w:after="0" w:line="240" w:lineRule="auto"/>
              <w:jc w:val="center"/>
              <w:rPr>
                <w:rFonts w:ascii="Calibri" w:eastAsia="Times New Roman" w:hAnsi="Calibri" w:cs="Calibri"/>
                <w:color w:val="000000"/>
                <w:sz w:val="18"/>
                <w:szCs w:val="18"/>
                <w:lang w:eastAsia="fr-FR"/>
              </w:rPr>
            </w:pPr>
            <m:oMathPara>
              <m:oMath>
                <m:sSub>
                  <m:sSubPr>
                    <m:ctrlPr>
                      <w:rPr>
                        <w:rFonts w:ascii="Cambria Math" w:eastAsia="Times New Roman" w:hAnsi="Cambria Math" w:cs="Calibri"/>
                        <w:i/>
                        <w:color w:val="000000"/>
                        <w:sz w:val="18"/>
                        <w:szCs w:val="18"/>
                        <w:lang w:eastAsia="fr-FR"/>
                      </w:rPr>
                    </m:ctrlPr>
                  </m:sSubPr>
                  <m:e>
                    <m:r>
                      <w:rPr>
                        <w:rFonts w:ascii="Cambria Math" w:eastAsia="Times New Roman" w:hAnsi="Cambria Math" w:cs="Calibri"/>
                        <w:color w:val="000000"/>
                        <w:sz w:val="18"/>
                        <w:szCs w:val="18"/>
                        <w:lang w:eastAsia="fr-FR"/>
                      </w:rPr>
                      <m:t>pp</m:t>
                    </m:r>
                  </m:e>
                  <m:sub>
                    <m:r>
                      <w:rPr>
                        <w:rFonts w:ascii="Cambria Math" w:eastAsia="Times New Roman" w:hAnsi="Cambria Math" w:cs="Calibri"/>
                        <w:color w:val="000000"/>
                        <w:sz w:val="18"/>
                        <w:szCs w:val="18"/>
                        <w:lang w:eastAsia="fr-FR"/>
                      </w:rPr>
                      <m:t>max</m:t>
                    </m:r>
                  </m:sub>
                </m:sSub>
              </m:oMath>
            </m:oMathPara>
          </w:p>
        </w:tc>
        <w:tc>
          <w:tcPr>
            <w:tcW w:w="871" w:type="dxa"/>
            <w:tcBorders>
              <w:top w:val="nil"/>
              <w:left w:val="nil"/>
              <w:bottom w:val="single" w:sz="4" w:space="0" w:color="auto"/>
              <w:right w:val="nil"/>
            </w:tcBorders>
          </w:tcPr>
          <w:p w14:paraId="03947D1C" w14:textId="77777777" w:rsidR="002F6E07" w:rsidRPr="00952453" w:rsidRDefault="002F6E07" w:rsidP="00E50DB0">
            <w:pPr>
              <w:spacing w:after="0" w:line="240" w:lineRule="auto"/>
              <w:jc w:val="center"/>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3500</w:t>
            </w:r>
          </w:p>
        </w:tc>
        <w:tc>
          <w:tcPr>
            <w:tcW w:w="4513" w:type="dxa"/>
            <w:tcBorders>
              <w:top w:val="nil"/>
              <w:left w:val="nil"/>
              <w:bottom w:val="single" w:sz="4" w:space="0" w:color="auto"/>
              <w:right w:val="nil"/>
            </w:tcBorders>
            <w:shd w:val="clear" w:color="auto" w:fill="auto"/>
            <w:vAlign w:val="center"/>
            <w:hideMark/>
          </w:tcPr>
          <w:p w14:paraId="72905FA7" w14:textId="77777777" w:rsidR="002F6E07" w:rsidRPr="00952453" w:rsidRDefault="002F6E07" w:rsidP="00E50DB0">
            <w:pPr>
              <w:spacing w:after="0" w:line="240" w:lineRule="auto"/>
              <w:rPr>
                <w:rFonts w:ascii="Calibri" w:eastAsia="Times New Roman" w:hAnsi="Calibri" w:cs="Calibri"/>
                <w:color w:val="000000"/>
                <w:sz w:val="18"/>
                <w:szCs w:val="18"/>
                <w:lang w:eastAsia="fr-FR"/>
              </w:rPr>
            </w:pPr>
            <w:r w:rsidRPr="00952453">
              <w:rPr>
                <w:rFonts w:ascii="Calibri" w:eastAsia="Times New Roman" w:hAnsi="Calibri" w:cs="Calibri"/>
                <w:color w:val="000000"/>
                <w:sz w:val="18"/>
                <w:szCs w:val="18"/>
                <w:lang w:eastAsia="fr-FR"/>
              </w:rPr>
              <w:t>Maximum level of precipitation</w:t>
            </w:r>
          </w:p>
        </w:tc>
      </w:tr>
    </w:tbl>
    <w:p w14:paraId="077CC078" w14:textId="2B75BEA0" w:rsidR="005A125E" w:rsidRDefault="005A125E" w:rsidP="002F6E07">
      <w:pPr>
        <w:spacing w:after="0" w:line="240" w:lineRule="auto"/>
        <w:rPr>
          <w:sz w:val="18"/>
          <w:szCs w:val="18"/>
        </w:rPr>
      </w:pPr>
    </w:p>
    <w:p w14:paraId="779BB4D8" w14:textId="1A77318D" w:rsidR="002F6E07" w:rsidRPr="00BB3946" w:rsidRDefault="005A125E" w:rsidP="00BB3946">
      <w:pPr>
        <w:rPr>
          <w:sz w:val="18"/>
          <w:szCs w:val="18"/>
        </w:rPr>
      </w:pPr>
      <w:r>
        <w:rPr>
          <w:sz w:val="18"/>
          <w:szCs w:val="18"/>
        </w:rPr>
        <w:br w:type="page"/>
      </w:r>
    </w:p>
    <w:p w14:paraId="313D06C3" w14:textId="730E0031" w:rsidR="005E65E6" w:rsidRPr="005E65E6" w:rsidRDefault="005E65E6" w:rsidP="005E65E6">
      <w:pPr>
        <w:rPr>
          <w:b/>
          <w:bCs/>
          <w:sz w:val="28"/>
          <w:szCs w:val="28"/>
        </w:rPr>
      </w:pPr>
      <w:bookmarkStart w:id="10" w:name="_Toc204562729"/>
      <w:r w:rsidRPr="005E65E6">
        <w:rPr>
          <w:b/>
          <w:bCs/>
          <w:sz w:val="28"/>
          <w:szCs w:val="28"/>
        </w:rPr>
        <w:lastRenderedPageBreak/>
        <w:t xml:space="preserve">Supplementary </w:t>
      </w:r>
      <w:r>
        <w:rPr>
          <w:b/>
          <w:bCs/>
          <w:sz w:val="28"/>
          <w:szCs w:val="28"/>
        </w:rPr>
        <w:t>Results</w:t>
      </w:r>
    </w:p>
    <w:p w14:paraId="16ED04A2" w14:textId="1E93249F" w:rsidR="002F6E07" w:rsidRDefault="00857AB2" w:rsidP="007F0D97">
      <w:r>
        <w:rPr>
          <w:rStyle w:val="Titre4Car"/>
          <w:rFonts w:asciiTheme="minorHAnsi" w:hAnsiTheme="minorHAnsi"/>
          <w:bCs/>
          <w:iCs w:val="0"/>
        </w:rPr>
        <w:t xml:space="preserve">Supplementary </w:t>
      </w:r>
      <w:r w:rsidR="002F6E07" w:rsidRPr="0051237D">
        <w:rPr>
          <w:b/>
          <w:bCs/>
        </w:rPr>
        <w:t xml:space="preserve">Fig. S2 </w:t>
      </w:r>
      <w:bookmarkStart w:id="11" w:name="_Hlk206670331"/>
      <w:r w:rsidR="007F5A76" w:rsidRPr="005A125E">
        <w:t xml:space="preserve">Boxplot of </w:t>
      </w:r>
      <w:r w:rsidR="007F5A76">
        <w:t>f</w:t>
      </w:r>
      <w:r w:rsidR="002F6E07">
        <w:t>ruit maturation date</w:t>
      </w:r>
      <w:r w:rsidR="007F5A76">
        <w:t xml:space="preserve"> with the</w:t>
      </w:r>
      <w:r w:rsidR="002F6E07">
        <w:t xml:space="preserve"> mean </w:t>
      </w:r>
      <w:r w:rsidR="007F5A76">
        <w:t>for each</w:t>
      </w:r>
      <w:r w:rsidR="002F6E07">
        <w:t xml:space="preserve"> variety and climatic </w:t>
      </w:r>
      <w:r w:rsidR="007F5A76">
        <w:t>condition</w:t>
      </w:r>
      <w:r w:rsidR="002F6E07">
        <w:t>.</w:t>
      </w:r>
      <w:bookmarkEnd w:id="10"/>
      <w:bookmarkEnd w:id="11"/>
    </w:p>
    <w:p w14:paraId="751D0A4C" w14:textId="44B6C0AB" w:rsidR="00081D58" w:rsidRPr="003318EC" w:rsidRDefault="005A125E">
      <w:pPr>
        <w:rPr>
          <w:rFonts w:cstheme="majorHAnsi"/>
          <w:b/>
          <w:bCs/>
        </w:rPr>
      </w:pPr>
      <w:r w:rsidRPr="005A125E">
        <w:rPr>
          <w:rFonts w:cstheme="majorHAnsi"/>
          <w:b/>
          <w:bCs/>
          <w:noProof/>
        </w:rPr>
        <w:drawing>
          <wp:inline distT="0" distB="0" distL="0" distR="0" wp14:anchorId="09600523" wp14:editId="40847D1B">
            <wp:extent cx="5760720" cy="2952750"/>
            <wp:effectExtent l="0" t="0" r="0" b="0"/>
            <wp:docPr id="1" name="Image 1">
              <a:extLst xmlns:a="http://schemas.openxmlformats.org/drawingml/2006/main">
                <a:ext uri="{FF2B5EF4-FFF2-40B4-BE49-F238E27FC236}">
                  <a16:creationId xmlns:a16="http://schemas.microsoft.com/office/drawing/2014/main" id="{3E436D38-23A9-4ACC-B37C-BFB4A7A6FA34}"/>
                </a:ext>
              </a:extLst>
            </wp:docPr>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3E436D38-23A9-4ACC-B37C-BFB4A7A6FA34}"/>
                        </a:ext>
                      </a:extLst>
                    </pic:cNvPr>
                    <pic:cNvPicPr/>
                  </pic:nvPicPr>
                  <pic:blipFill rotWithShape="1">
                    <a:blip r:embed="rId10" cstate="print">
                      <a:extLst>
                        <a:ext uri="{28A0092B-C50C-407E-A947-70E740481C1C}">
                          <a14:useLocalDpi xmlns:a14="http://schemas.microsoft.com/office/drawing/2010/main" val="0"/>
                        </a:ext>
                      </a:extLst>
                    </a:blip>
                    <a:srcRect t="6027"/>
                    <a:stretch/>
                  </pic:blipFill>
                  <pic:spPr bwMode="auto">
                    <a:xfrm>
                      <a:off x="0" y="0"/>
                      <a:ext cx="5760720" cy="2952750"/>
                    </a:xfrm>
                    <a:prstGeom prst="rect">
                      <a:avLst/>
                    </a:prstGeom>
                    <a:noFill/>
                    <a:ln>
                      <a:noFill/>
                    </a:ln>
                  </pic:spPr>
                </pic:pic>
              </a:graphicData>
            </a:graphic>
          </wp:inline>
        </w:drawing>
      </w:r>
      <w:bookmarkStart w:id="12" w:name="_Toc204562730"/>
      <w:r w:rsidR="00081D58">
        <w:rPr>
          <w:b/>
          <w:bCs/>
        </w:rPr>
        <w:br w:type="page"/>
      </w:r>
    </w:p>
    <w:p w14:paraId="696983E5" w14:textId="169BAB98" w:rsidR="00081D58" w:rsidRPr="00081D58" w:rsidRDefault="00857AB2" w:rsidP="007F0D97">
      <w:r>
        <w:rPr>
          <w:rStyle w:val="Titre4Car"/>
          <w:rFonts w:asciiTheme="minorHAnsi" w:hAnsiTheme="minorHAnsi"/>
          <w:bCs/>
          <w:iCs w:val="0"/>
        </w:rPr>
        <w:lastRenderedPageBreak/>
        <w:t xml:space="preserve">Supplementary </w:t>
      </w:r>
      <w:r w:rsidR="009E4905" w:rsidRPr="0051237D">
        <w:rPr>
          <w:b/>
          <w:bCs/>
        </w:rPr>
        <w:t xml:space="preserve">Fig. </w:t>
      </w:r>
      <w:r w:rsidR="002F6E07" w:rsidRPr="0051237D">
        <w:rPr>
          <w:b/>
          <w:bCs/>
        </w:rPr>
        <w:t>S3</w:t>
      </w:r>
      <w:r w:rsidR="009E4905" w:rsidRPr="0051237D">
        <w:rPr>
          <w:b/>
          <w:bCs/>
        </w:rPr>
        <w:t xml:space="preserve"> </w:t>
      </w:r>
      <w:bookmarkEnd w:id="12"/>
      <w:r w:rsidR="000C0E99">
        <w:t>Projections of PHENOFIT4 results representing for each variety under each climatic scenario. a) survival as a product of temperatures, drought and carbon survival, b) fruit maturation index, c) carbon survival and d) leaf index. Colour scale represents their probability between 0 and 1. e) flowering date and f) leaf senescence date. Colour scale represents the day of the year predicted for the completion of phenological stage in the studied area. Areas in grey are outside a realistic range.</w:t>
      </w:r>
    </w:p>
    <w:p w14:paraId="0A6DAB9F" w14:textId="07EB20EB" w:rsidR="00BE437D" w:rsidRPr="00154D7B" w:rsidRDefault="00081D58" w:rsidP="00BE437D">
      <w:pPr>
        <w:spacing w:before="100" w:beforeAutospacing="1" w:after="100" w:afterAutospacing="1" w:line="240" w:lineRule="auto"/>
        <w:rPr>
          <w:rFonts w:ascii="Times New Roman" w:eastAsia="Times New Roman" w:hAnsi="Times New Roman" w:cs="Times New Roman"/>
          <w:sz w:val="24"/>
          <w:szCs w:val="24"/>
          <w:lang w:eastAsia="fr-FR"/>
        </w:rPr>
      </w:pPr>
      <w:r w:rsidRPr="00081D58">
        <w:rPr>
          <w:rFonts w:ascii="Times New Roman" w:eastAsia="Times New Roman" w:hAnsi="Times New Roman" w:cs="Times New Roman"/>
          <w:noProof/>
          <w:sz w:val="24"/>
          <w:szCs w:val="24"/>
          <w:lang w:eastAsia="fr-FR"/>
        </w:rPr>
        <w:drawing>
          <wp:anchor distT="0" distB="0" distL="114300" distR="114300" simplePos="0" relativeHeight="251659264" behindDoc="0" locked="0" layoutInCell="1" allowOverlap="1" wp14:anchorId="2FF48CB1" wp14:editId="625A9350">
            <wp:simplePos x="0" y="0"/>
            <wp:positionH relativeFrom="margin">
              <wp:align>center</wp:align>
            </wp:positionH>
            <wp:positionV relativeFrom="paragraph">
              <wp:posOffset>183030</wp:posOffset>
            </wp:positionV>
            <wp:extent cx="6264000" cy="7081200"/>
            <wp:effectExtent l="0" t="0" r="3810" b="5715"/>
            <wp:wrapNone/>
            <wp:docPr id="2" name="Image 1">
              <a:extLst xmlns:a="http://schemas.openxmlformats.org/drawingml/2006/main">
                <a:ext uri="{FF2B5EF4-FFF2-40B4-BE49-F238E27FC236}">
                  <a16:creationId xmlns:a16="http://schemas.microsoft.com/office/drawing/2014/main" id="{A96B0CB6-4905-48F8-AF1E-C43DF9C42F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A96B0CB6-4905-48F8-AF1E-C43DF9C42FFD}"/>
                        </a:ext>
                      </a:extLst>
                    </pic:cNvPr>
                    <pic:cNvPicPr/>
                  </pic:nvPicPr>
                  <pic:blipFill rotWithShape="1">
                    <a:blip r:embed="rId11" cstate="print">
                      <a:extLst>
                        <a:ext uri="{28A0092B-C50C-407E-A947-70E740481C1C}">
                          <a14:useLocalDpi xmlns:a14="http://schemas.microsoft.com/office/drawing/2010/main" val="0"/>
                        </a:ext>
                      </a:extLst>
                    </a:blip>
                    <a:srcRect t="601"/>
                    <a:stretch/>
                  </pic:blipFill>
                  <pic:spPr bwMode="auto">
                    <a:xfrm>
                      <a:off x="0" y="0"/>
                      <a:ext cx="6264000" cy="7081200"/>
                    </a:xfrm>
                    <a:prstGeom prst="rect">
                      <a:avLst/>
                    </a:prstGeom>
                    <a:noFill/>
                    <a:ln>
                      <a:noFill/>
                    </a:ln>
                  </pic:spPr>
                </pic:pic>
              </a:graphicData>
            </a:graphic>
          </wp:anchor>
        </w:drawing>
      </w:r>
    </w:p>
    <w:p w14:paraId="72687435" w14:textId="78A0E0DB" w:rsidR="00975D50" w:rsidRPr="00154D7B" w:rsidRDefault="00975D50" w:rsidP="00975D50">
      <w:pPr>
        <w:spacing w:before="100" w:beforeAutospacing="1" w:after="100" w:afterAutospacing="1" w:line="240" w:lineRule="auto"/>
        <w:rPr>
          <w:rFonts w:ascii="Times New Roman" w:eastAsia="Times New Roman" w:hAnsi="Times New Roman" w:cs="Times New Roman"/>
          <w:sz w:val="24"/>
          <w:szCs w:val="24"/>
          <w:lang w:eastAsia="fr-FR"/>
        </w:rPr>
      </w:pPr>
    </w:p>
    <w:p w14:paraId="171363F4" w14:textId="05983653" w:rsidR="009F05B3" w:rsidRDefault="009F05B3" w:rsidP="009F05B3">
      <w:pPr>
        <w:keepNext/>
        <w:spacing w:before="100" w:beforeAutospacing="1" w:after="100" w:afterAutospacing="1" w:line="240" w:lineRule="auto"/>
      </w:pPr>
    </w:p>
    <w:p w14:paraId="53420417" w14:textId="4070DFDC" w:rsidR="00540146" w:rsidRDefault="00540146">
      <w:r>
        <w:br w:type="page"/>
      </w:r>
    </w:p>
    <w:p w14:paraId="45CDC8E6" w14:textId="5CAFBF5E" w:rsidR="00541F22" w:rsidRPr="00747D93" w:rsidRDefault="00541F22" w:rsidP="00541F22">
      <w:pPr>
        <w:rPr>
          <w:rFonts w:cstheme="majorHAnsi"/>
        </w:rPr>
      </w:pPr>
      <w:r>
        <w:rPr>
          <w:rFonts w:cstheme="majorHAnsi"/>
          <w:b/>
          <w:bCs/>
        </w:rPr>
        <w:lastRenderedPageBreak/>
        <w:t xml:space="preserve">Supplementary </w:t>
      </w:r>
      <w:r w:rsidRPr="00E72224">
        <w:rPr>
          <w:rFonts w:cstheme="majorHAnsi"/>
          <w:b/>
          <w:bCs/>
        </w:rPr>
        <w:t xml:space="preserve">Fig. </w:t>
      </w:r>
      <w:r>
        <w:rPr>
          <w:rFonts w:cstheme="majorHAnsi"/>
          <w:b/>
          <w:bCs/>
        </w:rPr>
        <w:t>S4</w:t>
      </w:r>
      <w:r>
        <w:rPr>
          <w:rFonts w:cstheme="majorHAnsi"/>
        </w:rPr>
        <w:t xml:space="preserve"> Projections of standard deviation to each phenological stage predicted with PHENOFIT for each variety and climatic conditions. a) leaf unfolding date, b) flowering date, c) fruit maturation date and d) leaf senescence date. Colour scale represents the standard deviation in days to the mean DOY represented in</w:t>
      </w:r>
      <w:bookmarkStart w:id="13" w:name="_Hlk206669868"/>
      <w:r>
        <w:rPr>
          <w:rFonts w:cstheme="majorHAnsi"/>
        </w:rPr>
        <w:t xml:space="preserve"> Fig. 3.</w:t>
      </w:r>
      <w:bookmarkEnd w:id="13"/>
    </w:p>
    <w:p w14:paraId="59D56CC1" w14:textId="39711F48" w:rsidR="00541F22" w:rsidRDefault="00541F22">
      <w:pPr>
        <w:rPr>
          <w:b/>
          <w:bCs/>
          <w:sz w:val="28"/>
          <w:szCs w:val="28"/>
        </w:rPr>
      </w:pPr>
      <w:r>
        <w:rPr>
          <w:b/>
          <w:bCs/>
          <w:noProof/>
          <w:sz w:val="28"/>
          <w:szCs w:val="28"/>
        </w:rPr>
        <w:drawing>
          <wp:inline distT="0" distB="0" distL="0" distR="0" wp14:anchorId="75A61CB0" wp14:editId="00A77777">
            <wp:extent cx="5760000" cy="4800000"/>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4800000"/>
                    </a:xfrm>
                    <a:prstGeom prst="rect">
                      <a:avLst/>
                    </a:prstGeom>
                    <a:noFill/>
                  </pic:spPr>
                </pic:pic>
              </a:graphicData>
            </a:graphic>
          </wp:inline>
        </w:drawing>
      </w:r>
      <w:r>
        <w:rPr>
          <w:b/>
          <w:bCs/>
          <w:sz w:val="28"/>
          <w:szCs w:val="28"/>
        </w:rPr>
        <w:br w:type="page"/>
      </w:r>
    </w:p>
    <w:p w14:paraId="4548D06A" w14:textId="20C5A847" w:rsidR="00EC43A0" w:rsidRDefault="00540146">
      <w:pPr>
        <w:rPr>
          <w:b/>
          <w:bCs/>
          <w:sz w:val="28"/>
          <w:szCs w:val="28"/>
        </w:rPr>
      </w:pPr>
      <w:r w:rsidRPr="00154D7B">
        <w:rPr>
          <w:b/>
          <w:bCs/>
          <w:sz w:val="28"/>
          <w:szCs w:val="28"/>
        </w:rPr>
        <w:lastRenderedPageBreak/>
        <w:t>Supplementary climatic results</w:t>
      </w:r>
    </w:p>
    <w:p w14:paraId="50480583" w14:textId="7D162751" w:rsidR="00540146" w:rsidRPr="00154D7B" w:rsidRDefault="00540146">
      <w:pPr>
        <w:rPr>
          <w:rStyle w:val="Titre4Car"/>
          <w:rFonts w:asciiTheme="minorHAnsi" w:hAnsiTheme="minorHAnsi"/>
        </w:rPr>
      </w:pPr>
      <w:r w:rsidRPr="00154D7B">
        <w:rPr>
          <w:rStyle w:val="Titre4Car"/>
          <w:rFonts w:asciiTheme="minorHAnsi" w:hAnsiTheme="minorHAnsi"/>
        </w:rPr>
        <w:t xml:space="preserve">Supplementary </w:t>
      </w:r>
      <w:r w:rsidRPr="00154D7B">
        <w:rPr>
          <w:rStyle w:val="Titre4Car"/>
          <w:rFonts w:asciiTheme="minorHAnsi" w:hAnsiTheme="minorHAnsi"/>
          <w:bCs/>
        </w:rPr>
        <w:t>F</w:t>
      </w:r>
      <w:r w:rsidRPr="00154D7B">
        <w:rPr>
          <w:rStyle w:val="Titre4Car"/>
          <w:rFonts w:asciiTheme="minorHAnsi" w:hAnsiTheme="minorHAnsi"/>
        </w:rPr>
        <w:t>ig</w:t>
      </w:r>
      <w:r w:rsidRPr="00154D7B">
        <w:rPr>
          <w:rStyle w:val="Titre4Car"/>
          <w:rFonts w:asciiTheme="minorHAnsi" w:hAnsiTheme="minorHAnsi"/>
          <w:bCs/>
        </w:rPr>
        <w:t>.</w:t>
      </w:r>
      <w:r w:rsidRPr="00154D7B">
        <w:rPr>
          <w:rStyle w:val="Titre4Car"/>
          <w:rFonts w:asciiTheme="minorHAnsi" w:hAnsiTheme="minorHAnsi"/>
        </w:rPr>
        <w:t xml:space="preserve"> S</w:t>
      </w:r>
      <w:r w:rsidR="00541F22">
        <w:rPr>
          <w:rStyle w:val="Titre4Car"/>
          <w:rFonts w:asciiTheme="minorHAnsi" w:hAnsiTheme="minorHAnsi"/>
        </w:rPr>
        <w:t>5</w:t>
      </w:r>
      <w:r>
        <w:rPr>
          <w:rStyle w:val="Titre4Car"/>
          <w:rFonts w:asciiTheme="minorHAnsi" w:hAnsiTheme="minorHAnsi"/>
          <w:b w:val="0"/>
        </w:rPr>
        <w:t xml:space="preserve"> Projections representing the evolution of minim</w:t>
      </w:r>
      <w:r w:rsidR="00D56281">
        <w:rPr>
          <w:rStyle w:val="Titre4Car"/>
          <w:rFonts w:asciiTheme="minorHAnsi" w:hAnsiTheme="minorHAnsi"/>
          <w:b w:val="0"/>
        </w:rPr>
        <w:t>um</w:t>
      </w:r>
      <w:r>
        <w:rPr>
          <w:rStyle w:val="Titre4Car"/>
          <w:rFonts w:asciiTheme="minorHAnsi" w:hAnsiTheme="minorHAnsi"/>
          <w:b w:val="0"/>
        </w:rPr>
        <w:t xml:space="preserve"> temperature</w:t>
      </w:r>
      <w:r w:rsidR="00D56281">
        <w:rPr>
          <w:rStyle w:val="Titre4Car"/>
          <w:rFonts w:asciiTheme="minorHAnsi" w:hAnsiTheme="minorHAnsi"/>
          <w:b w:val="0"/>
        </w:rPr>
        <w:t>s</w:t>
      </w:r>
      <w:r>
        <w:rPr>
          <w:rStyle w:val="Titre4Car"/>
          <w:rFonts w:asciiTheme="minorHAnsi" w:hAnsiTheme="minorHAnsi"/>
          <w:b w:val="0"/>
        </w:rPr>
        <w:t xml:space="preserve"> during winter (December, January, February) under </w:t>
      </w:r>
      <w:r w:rsidR="00D56281">
        <w:rPr>
          <w:rStyle w:val="Titre4Car"/>
          <w:rFonts w:asciiTheme="minorHAnsi" w:hAnsiTheme="minorHAnsi"/>
          <w:b w:val="0"/>
        </w:rPr>
        <w:t>each climatic scenario. a) interannual mean of winter minimum temperatures, b) interannual standard deviation of winter minimum temperatures.</w:t>
      </w:r>
    </w:p>
    <w:p w14:paraId="6DCBC5C5" w14:textId="5CFDC247" w:rsidR="00D56281" w:rsidRDefault="00D56281">
      <w:pPr>
        <w:rPr>
          <w:b/>
          <w:bCs/>
          <w:sz w:val="28"/>
          <w:szCs w:val="28"/>
        </w:rPr>
      </w:pPr>
      <w:r>
        <w:rPr>
          <w:b/>
          <w:bCs/>
          <w:noProof/>
          <w:sz w:val="28"/>
          <w:szCs w:val="28"/>
        </w:rPr>
        <w:drawing>
          <wp:inline distT="0" distB="0" distL="0" distR="0" wp14:anchorId="5A281E8D" wp14:editId="2E3D6D21">
            <wp:extent cx="6264000" cy="3169138"/>
            <wp:effectExtent l="0" t="0" r="381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64000" cy="3169138"/>
                    </a:xfrm>
                    <a:prstGeom prst="rect">
                      <a:avLst/>
                    </a:prstGeom>
                    <a:noFill/>
                  </pic:spPr>
                </pic:pic>
              </a:graphicData>
            </a:graphic>
          </wp:inline>
        </w:drawing>
      </w:r>
    </w:p>
    <w:p w14:paraId="3453BC78" w14:textId="0458F68A" w:rsidR="00115E80" w:rsidRPr="00154D7B" w:rsidRDefault="00115E80">
      <w:pPr>
        <w:rPr>
          <w:rFonts w:eastAsiaTheme="majorEastAsia" w:cstheme="majorBidi"/>
          <w:iCs/>
        </w:rPr>
      </w:pPr>
      <w:r w:rsidRPr="007D58FD">
        <w:rPr>
          <w:rStyle w:val="Titre4Car"/>
          <w:rFonts w:asciiTheme="minorHAnsi" w:hAnsiTheme="minorHAnsi"/>
          <w:bCs/>
        </w:rPr>
        <w:t>Supplementary Fig. S</w:t>
      </w:r>
      <w:r w:rsidR="00541F22">
        <w:rPr>
          <w:rStyle w:val="Titre4Car"/>
          <w:rFonts w:asciiTheme="minorHAnsi" w:hAnsiTheme="minorHAnsi"/>
          <w:bCs/>
        </w:rPr>
        <w:t>6</w:t>
      </w:r>
      <w:r>
        <w:rPr>
          <w:rStyle w:val="Titre4Car"/>
          <w:rFonts w:asciiTheme="minorHAnsi" w:hAnsiTheme="minorHAnsi"/>
          <w:b w:val="0"/>
        </w:rPr>
        <w:t xml:space="preserve"> Projections representing the evolution of cumulated days of frost in a year under each climatic scenario. a) interannual mean of frost days, b) interannual standard deviation of frost days. </w:t>
      </w:r>
    </w:p>
    <w:p w14:paraId="39701224" w14:textId="6D7D8A61" w:rsidR="00D56281" w:rsidRDefault="00115E80">
      <w:pPr>
        <w:rPr>
          <w:b/>
          <w:bCs/>
          <w:sz w:val="28"/>
          <w:szCs w:val="28"/>
        </w:rPr>
      </w:pPr>
      <w:r>
        <w:rPr>
          <w:b/>
          <w:bCs/>
          <w:noProof/>
          <w:sz w:val="28"/>
          <w:szCs w:val="28"/>
        </w:rPr>
        <w:drawing>
          <wp:inline distT="0" distB="0" distL="0" distR="0" wp14:anchorId="7437D525" wp14:editId="5E29181A">
            <wp:extent cx="6264000" cy="3173265"/>
            <wp:effectExtent l="0" t="0" r="3810" b="8255"/>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64000" cy="3173265"/>
                    </a:xfrm>
                    <a:prstGeom prst="rect">
                      <a:avLst/>
                    </a:prstGeom>
                    <a:noFill/>
                  </pic:spPr>
                </pic:pic>
              </a:graphicData>
            </a:graphic>
          </wp:inline>
        </w:drawing>
      </w:r>
    </w:p>
    <w:p w14:paraId="2FDC28AF" w14:textId="77777777" w:rsidR="003A210E" w:rsidRDefault="003A210E" w:rsidP="00115E80">
      <w:pPr>
        <w:rPr>
          <w:rStyle w:val="Titre4Car"/>
          <w:rFonts w:asciiTheme="minorHAnsi" w:hAnsiTheme="minorHAnsi"/>
          <w:bCs/>
        </w:rPr>
      </w:pPr>
    </w:p>
    <w:p w14:paraId="2C118F5A" w14:textId="0BC2B99D" w:rsidR="003A210E" w:rsidRPr="007D58FD" w:rsidRDefault="003A210E" w:rsidP="003A210E">
      <w:pPr>
        <w:rPr>
          <w:rStyle w:val="Titre4Car"/>
          <w:rFonts w:asciiTheme="minorHAnsi" w:hAnsiTheme="minorHAnsi"/>
          <w:b w:val="0"/>
        </w:rPr>
      </w:pPr>
      <w:r w:rsidRPr="007D58FD">
        <w:rPr>
          <w:rStyle w:val="Titre4Car"/>
          <w:rFonts w:asciiTheme="minorHAnsi" w:hAnsiTheme="minorHAnsi"/>
          <w:bCs/>
        </w:rPr>
        <w:lastRenderedPageBreak/>
        <w:t>Supplementary Fig. S</w:t>
      </w:r>
      <w:r w:rsidR="00541F22">
        <w:rPr>
          <w:rStyle w:val="Titre4Car"/>
          <w:rFonts w:asciiTheme="minorHAnsi" w:hAnsiTheme="minorHAnsi"/>
          <w:bCs/>
        </w:rPr>
        <w:t>7</w:t>
      </w:r>
      <w:r>
        <w:rPr>
          <w:rStyle w:val="Titre4Car"/>
          <w:rFonts w:asciiTheme="minorHAnsi" w:hAnsiTheme="minorHAnsi"/>
          <w:b w:val="0"/>
        </w:rPr>
        <w:t xml:space="preserve"> Projections representing the evolution of maximum temperatures during summer (July, August) under each climatic scenario. a) interannual mean of summer maximum temperatures, b) interannual standard deviation of summer maximum temperatures.</w:t>
      </w:r>
    </w:p>
    <w:p w14:paraId="38B53800" w14:textId="77777777" w:rsidR="003A210E" w:rsidRDefault="003A210E" w:rsidP="003A210E">
      <w:pPr>
        <w:rPr>
          <w:b/>
          <w:bCs/>
          <w:sz w:val="28"/>
          <w:szCs w:val="28"/>
        </w:rPr>
      </w:pPr>
      <w:r>
        <w:rPr>
          <w:b/>
          <w:bCs/>
          <w:noProof/>
          <w:sz w:val="28"/>
          <w:szCs w:val="28"/>
        </w:rPr>
        <w:drawing>
          <wp:inline distT="0" distB="0" distL="0" distR="0" wp14:anchorId="1B323CB5" wp14:editId="714FA406">
            <wp:extent cx="6264000" cy="3169138"/>
            <wp:effectExtent l="0" t="0" r="381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64000" cy="3169138"/>
                    </a:xfrm>
                    <a:prstGeom prst="rect">
                      <a:avLst/>
                    </a:prstGeom>
                    <a:noFill/>
                  </pic:spPr>
                </pic:pic>
              </a:graphicData>
            </a:graphic>
          </wp:inline>
        </w:drawing>
      </w:r>
    </w:p>
    <w:p w14:paraId="1489CB1C" w14:textId="606E82F4" w:rsidR="00115E80" w:rsidRPr="007D58FD" w:rsidRDefault="00115E80" w:rsidP="00115E80">
      <w:pPr>
        <w:rPr>
          <w:rFonts w:eastAsiaTheme="majorEastAsia" w:cstheme="majorBidi"/>
          <w:iCs/>
        </w:rPr>
      </w:pPr>
      <w:r w:rsidRPr="007D58FD">
        <w:rPr>
          <w:rStyle w:val="Titre4Car"/>
          <w:rFonts w:asciiTheme="minorHAnsi" w:hAnsiTheme="minorHAnsi"/>
          <w:bCs/>
        </w:rPr>
        <w:t>Supplementary Fig. S</w:t>
      </w:r>
      <w:r w:rsidR="00541F22">
        <w:rPr>
          <w:rStyle w:val="Titre4Car"/>
          <w:rFonts w:asciiTheme="minorHAnsi" w:hAnsiTheme="minorHAnsi"/>
          <w:bCs/>
        </w:rPr>
        <w:t>8</w:t>
      </w:r>
      <w:r>
        <w:rPr>
          <w:rStyle w:val="Titre4Car"/>
          <w:rFonts w:asciiTheme="minorHAnsi" w:hAnsiTheme="minorHAnsi"/>
          <w:b w:val="0"/>
        </w:rPr>
        <w:t xml:space="preserve"> Projections representing the evolution of cumulated </w:t>
      </w:r>
      <w:r w:rsidR="00E665CC">
        <w:rPr>
          <w:rStyle w:val="Titre4Car"/>
          <w:rFonts w:asciiTheme="minorHAnsi" w:hAnsiTheme="minorHAnsi"/>
          <w:b w:val="0"/>
        </w:rPr>
        <w:t>growing degree days (</w:t>
      </w:r>
      <w:r w:rsidR="000534C8">
        <w:rPr>
          <w:rStyle w:val="Titre4Car"/>
          <w:rFonts w:asciiTheme="minorHAnsi" w:hAnsiTheme="minorHAnsi"/>
          <w:b w:val="0"/>
        </w:rPr>
        <w:t xml:space="preserve">in degree Celsius </w:t>
      </w:r>
      <w:r w:rsidR="00E665CC">
        <w:rPr>
          <w:rStyle w:val="Titre4Car"/>
          <w:rFonts w:asciiTheme="minorHAnsi" w:hAnsiTheme="minorHAnsi"/>
          <w:b w:val="0"/>
        </w:rPr>
        <w:t>with temperatures above -3°C) i</w:t>
      </w:r>
      <w:r>
        <w:rPr>
          <w:rStyle w:val="Titre4Car"/>
          <w:rFonts w:asciiTheme="minorHAnsi" w:hAnsiTheme="minorHAnsi"/>
          <w:b w:val="0"/>
        </w:rPr>
        <w:t xml:space="preserve">n a year under each climatic scenario. a) interannual mean of </w:t>
      </w:r>
      <w:r w:rsidR="00E665CC">
        <w:rPr>
          <w:rStyle w:val="Titre4Car"/>
          <w:rFonts w:asciiTheme="minorHAnsi" w:hAnsiTheme="minorHAnsi"/>
          <w:b w:val="0"/>
        </w:rPr>
        <w:t>growing degree</w:t>
      </w:r>
      <w:r>
        <w:rPr>
          <w:rStyle w:val="Titre4Car"/>
          <w:rFonts w:asciiTheme="minorHAnsi" w:hAnsiTheme="minorHAnsi"/>
          <w:b w:val="0"/>
        </w:rPr>
        <w:t xml:space="preserve"> days, b) interannual standard deviation of </w:t>
      </w:r>
      <w:r w:rsidR="00E665CC">
        <w:rPr>
          <w:rStyle w:val="Titre4Car"/>
          <w:rFonts w:asciiTheme="minorHAnsi" w:hAnsiTheme="minorHAnsi"/>
          <w:b w:val="0"/>
        </w:rPr>
        <w:t xml:space="preserve">growing degree </w:t>
      </w:r>
      <w:r>
        <w:rPr>
          <w:rStyle w:val="Titre4Car"/>
          <w:rFonts w:asciiTheme="minorHAnsi" w:hAnsiTheme="minorHAnsi"/>
          <w:b w:val="0"/>
        </w:rPr>
        <w:t>days.</w:t>
      </w:r>
    </w:p>
    <w:p w14:paraId="5DC9B6BF" w14:textId="5D7943A1" w:rsidR="00E665CC" w:rsidRDefault="00187D86" w:rsidP="00541F22">
      <w:pPr>
        <w:rPr>
          <w:b/>
          <w:bCs/>
          <w:sz w:val="28"/>
          <w:szCs w:val="28"/>
        </w:rPr>
      </w:pPr>
      <w:r>
        <w:rPr>
          <w:b/>
          <w:bCs/>
          <w:noProof/>
          <w:sz w:val="28"/>
          <w:szCs w:val="28"/>
        </w:rPr>
        <w:drawing>
          <wp:inline distT="0" distB="0" distL="0" distR="0" wp14:anchorId="6B73070F" wp14:editId="5E76927A">
            <wp:extent cx="6264000" cy="3152524"/>
            <wp:effectExtent l="0" t="0" r="3810"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64000" cy="3152524"/>
                    </a:xfrm>
                    <a:prstGeom prst="rect">
                      <a:avLst/>
                    </a:prstGeom>
                    <a:noFill/>
                  </pic:spPr>
                </pic:pic>
              </a:graphicData>
            </a:graphic>
          </wp:inline>
        </w:drawing>
      </w:r>
    </w:p>
    <w:p w14:paraId="10246171" w14:textId="6F58A4E7" w:rsidR="004531AA" w:rsidRDefault="004531AA">
      <w:pPr>
        <w:rPr>
          <w:b/>
          <w:bCs/>
          <w:sz w:val="28"/>
          <w:szCs w:val="28"/>
        </w:rPr>
      </w:pPr>
      <w:r>
        <w:rPr>
          <w:b/>
          <w:bCs/>
          <w:sz w:val="28"/>
          <w:szCs w:val="28"/>
        </w:rPr>
        <w:br w:type="page"/>
      </w:r>
    </w:p>
    <w:p w14:paraId="36BB229C" w14:textId="1BDD44D6" w:rsidR="004531AA" w:rsidRDefault="004531AA" w:rsidP="00541F22">
      <w:pPr>
        <w:rPr>
          <w:b/>
          <w:bCs/>
          <w:sz w:val="28"/>
          <w:szCs w:val="28"/>
        </w:rPr>
      </w:pPr>
      <w:r>
        <w:rPr>
          <w:b/>
          <w:bCs/>
          <w:sz w:val="28"/>
          <w:szCs w:val="28"/>
        </w:rPr>
        <w:lastRenderedPageBreak/>
        <w:t>Reference list</w:t>
      </w:r>
    </w:p>
    <w:p w14:paraId="27D76235" w14:textId="7A431E35" w:rsidR="004531AA" w:rsidRDefault="004531AA" w:rsidP="000170F4">
      <w:pPr>
        <w:spacing w:after="120"/>
        <w:ind w:left="360" w:hanging="360"/>
        <w:rPr>
          <w:rFonts w:cstheme="minorHAnsi"/>
        </w:rPr>
      </w:pPr>
      <w:bookmarkStart w:id="14" w:name="_Hlk221802447"/>
      <w:r w:rsidRPr="00E32571">
        <w:t>Allen RG, Pereira LA, Raes D, Smith M (1998) “Crop evapotranspiration.” FAO irrigation and drainage paper 56, FAO, Rome.</w:t>
      </w:r>
      <w:bookmarkEnd w:id="14"/>
    </w:p>
    <w:p w14:paraId="450BB222" w14:textId="510AD698" w:rsidR="004531AA" w:rsidRPr="000F2E4D" w:rsidRDefault="004531AA" w:rsidP="004531AA">
      <w:pPr>
        <w:spacing w:after="120"/>
        <w:ind w:left="360" w:hanging="360"/>
        <w:rPr>
          <w:rFonts w:cstheme="minorHAnsi"/>
          <w:lang w:val="fr-FR"/>
        </w:rPr>
      </w:pPr>
      <w:r w:rsidRPr="00E32571">
        <w:rPr>
          <w:rFonts w:cstheme="minorHAnsi"/>
        </w:rPr>
        <w:t xml:space="preserve">Anupoju V, Kambhammettu BP, Peddinti SR (2025) Comparative Analysis of FAO Dual Kc, Priestley-Taylor and Flux Variance Similarity Methods in Partitioning Evapotranspiration from Flood-Irrigated Rice Fields. </w:t>
      </w:r>
      <w:r w:rsidRPr="000F2E4D">
        <w:rPr>
          <w:rFonts w:cstheme="minorHAnsi"/>
          <w:lang w:val="fr-FR"/>
        </w:rPr>
        <w:t xml:space="preserve">Irrigation and Drainage 74:569-85. </w:t>
      </w:r>
      <w:hyperlink r:id="rId17" w:history="1">
        <w:r w:rsidRPr="000F2E4D">
          <w:rPr>
            <w:rStyle w:val="Lienhypertexte"/>
            <w:rFonts w:eastAsia="Times New Roman" w:cstheme="minorHAnsi"/>
            <w:lang w:val="fr-FR" w:eastAsia="fr-FR"/>
          </w:rPr>
          <w:t>https://doi.org/10.1002/ird.3039</w:t>
        </w:r>
      </w:hyperlink>
    </w:p>
    <w:p w14:paraId="18BCD576" w14:textId="77777777" w:rsidR="007B1C2C" w:rsidRPr="00E32571" w:rsidRDefault="007B1C2C" w:rsidP="007B1C2C">
      <w:pPr>
        <w:spacing w:after="120"/>
        <w:ind w:left="360" w:hanging="360"/>
        <w:rPr>
          <w:rFonts w:cstheme="minorHAnsi"/>
          <w:lang w:val="en-US"/>
        </w:rPr>
      </w:pPr>
      <w:r w:rsidRPr="00E32571">
        <w:rPr>
          <w:rFonts w:cstheme="minorHAnsi"/>
          <w:lang w:val="fr-FR"/>
        </w:rPr>
        <w:t xml:space="preserve">Breisch, H. (1995) Châtaignes et marrons. </w:t>
      </w:r>
      <w:r w:rsidRPr="00E32571">
        <w:rPr>
          <w:rFonts w:cstheme="minorHAnsi"/>
          <w:lang w:val="en-US"/>
        </w:rPr>
        <w:t>CTIFL, France.</w:t>
      </w:r>
    </w:p>
    <w:p w14:paraId="1D78FA59" w14:textId="59186948" w:rsidR="007B1C2C" w:rsidRDefault="007B1C2C" w:rsidP="000170F4">
      <w:pPr>
        <w:spacing w:after="120"/>
        <w:ind w:left="360" w:hanging="360"/>
        <w:rPr>
          <w:rFonts w:cstheme="minorHAnsi"/>
        </w:rPr>
      </w:pPr>
      <w:r w:rsidRPr="00E32571">
        <w:rPr>
          <w:rFonts w:cstheme="minorHAnsi"/>
        </w:rPr>
        <w:t xml:space="preserve">Chuine I, Beaubien EG (2001) Phenology Is a Major Determinant of Tree Species Range. Ecology Letters 4: 500510. </w:t>
      </w:r>
      <w:hyperlink r:id="rId18" w:history="1">
        <w:r w:rsidRPr="00E32571">
          <w:rPr>
            <w:rStyle w:val="Lienhypertexte"/>
            <w:rFonts w:eastAsia="Times New Roman" w:cstheme="minorHAnsi"/>
            <w:lang w:eastAsia="fr-FR"/>
          </w:rPr>
          <w:t>https://doi.org/10.1046/j.1461-0248.2001.00261.x</w:t>
        </w:r>
      </w:hyperlink>
    </w:p>
    <w:p w14:paraId="0B6A10DA" w14:textId="7454250E" w:rsidR="004531AA" w:rsidRDefault="007B1C2C" w:rsidP="000170F4">
      <w:pPr>
        <w:spacing w:after="120"/>
        <w:ind w:left="360" w:hanging="360"/>
        <w:rPr>
          <w:rFonts w:cstheme="minorHAnsi"/>
        </w:rPr>
      </w:pPr>
      <w:r w:rsidRPr="00E32571">
        <w:rPr>
          <w:rFonts w:cstheme="minorHAnsi"/>
        </w:rPr>
        <w:t xml:space="preserve">Chuine I, Régnière J (2017) Process-Based Models of Phenology for Plants and Animals. Annual Review of Ecology, Evolution, and Systematics 48:159-82. </w:t>
      </w:r>
      <w:hyperlink r:id="rId19" w:history="1">
        <w:r w:rsidRPr="00E32571">
          <w:rPr>
            <w:rStyle w:val="Lienhypertexte"/>
            <w:rFonts w:eastAsia="Times New Roman" w:cstheme="minorHAnsi"/>
            <w:lang w:eastAsia="fr-FR"/>
          </w:rPr>
          <w:t>https://doi.org/10.1146/annurev-ecolsys-110316-022706</w:t>
        </w:r>
      </w:hyperlink>
    </w:p>
    <w:p w14:paraId="7EA2B475" w14:textId="19953049" w:rsidR="004531AA" w:rsidRDefault="004531AA" w:rsidP="004531AA">
      <w:pPr>
        <w:spacing w:after="120"/>
        <w:ind w:left="360" w:hanging="360"/>
        <w:rPr>
          <w:rStyle w:val="Lienhypertexte"/>
          <w:color w:val="auto"/>
          <w:lang w:val="fr-FR"/>
        </w:rPr>
      </w:pPr>
      <w:r w:rsidRPr="00E32571">
        <w:rPr>
          <w:rFonts w:cstheme="minorHAnsi"/>
        </w:rPr>
        <w:t xml:space="preserve">Delrieu V, Mouillot F, Chuine I, Ponsa N, Aumeeruddy-Thomas Y (2025) Downscaling of daily topo-climatic variables within chestnut tree orchards in Lozère, France: Temperatures, global radiations, potential evapotranspiration and precipitation. </w:t>
      </w:r>
      <w:r w:rsidRPr="00E32571">
        <w:rPr>
          <w:rFonts w:cstheme="minorHAnsi"/>
          <w:lang w:val="fr-FR"/>
        </w:rPr>
        <w:t>CEFE (Centre d’écologie fonctionnelle évolutive), 1919 route de Mende, 34293 Montpellier.</w:t>
      </w:r>
      <w:r w:rsidRPr="00E32571">
        <w:rPr>
          <w:rFonts w:eastAsia="Times New Roman" w:cstheme="minorHAnsi"/>
          <w:lang w:val="fr-FR" w:eastAsia="fr-FR"/>
        </w:rPr>
        <w:t xml:space="preserve"> </w:t>
      </w:r>
      <w:hyperlink r:id="rId20" w:history="1">
        <w:r w:rsidRPr="00E32571">
          <w:rPr>
            <w:rStyle w:val="Lienhypertexte"/>
            <w:lang w:val="fr-FR"/>
          </w:rPr>
          <w:t>https://hal.science/hal-05180085</w:t>
        </w:r>
      </w:hyperlink>
    </w:p>
    <w:p w14:paraId="3C2662B2" w14:textId="77777777" w:rsidR="00EF3050" w:rsidRDefault="004531AA" w:rsidP="00EF3050">
      <w:pPr>
        <w:spacing w:after="120"/>
        <w:ind w:left="360" w:hanging="360"/>
      </w:pPr>
      <w:bookmarkStart w:id="15" w:name="_Hlk221802472"/>
      <w:r w:rsidRPr="00E32571">
        <w:t xml:space="preserve">Druel A, Ruffault J, Davi H, Chanzy A, Marloie O, De Cáceres M, Olioso A, Mouillot F, François C, Soudani K, Martin-StPaul NK (2025) Enhancing environmental models with a new downscaling method for global radiation in complex terrain, Biogeosciences, 22: 1–18, </w:t>
      </w:r>
      <w:hyperlink r:id="rId21" w:history="1">
        <w:r w:rsidRPr="009B26D5">
          <w:rPr>
            <w:rStyle w:val="Lienhypertexte"/>
          </w:rPr>
          <w:t>https://doi.org/10.5194/bg-22-1-2025</w:t>
        </w:r>
      </w:hyperlink>
      <w:bookmarkEnd w:id="15"/>
    </w:p>
    <w:p w14:paraId="2E47E9EF" w14:textId="249001DE" w:rsidR="00EF3050" w:rsidRDefault="00EF3050" w:rsidP="000170F4">
      <w:pPr>
        <w:spacing w:after="120"/>
        <w:ind w:left="360" w:hanging="360"/>
      </w:pPr>
      <w:r w:rsidRPr="00EF3050">
        <w:t>Estrella N, Menzel A (</w:t>
      </w:r>
      <w:r>
        <w:t xml:space="preserve">2006) Responses of Leaf Colouring in Four Deciduous Tree Species to Climate and Weather in Germany. </w:t>
      </w:r>
      <w:r w:rsidRPr="00EF3050">
        <w:t>Climate Research</w:t>
      </w:r>
      <w:r>
        <w:t xml:space="preserve"> 32 (octobre): 253</w:t>
      </w:r>
      <w:r>
        <w:noBreakHyphen/>
        <w:t xml:space="preserve">67. </w:t>
      </w:r>
      <w:hyperlink r:id="rId22" w:history="1">
        <w:r>
          <w:rPr>
            <w:rStyle w:val="Lienhypertexte"/>
          </w:rPr>
          <w:t>https://doi.org/10.3354/cr032253</w:t>
        </w:r>
      </w:hyperlink>
    </w:p>
    <w:p w14:paraId="232251A9" w14:textId="651A7BCD" w:rsidR="004531AA" w:rsidRPr="000170F4" w:rsidRDefault="004531AA" w:rsidP="000170F4">
      <w:pPr>
        <w:spacing w:after="120"/>
        <w:ind w:left="360" w:hanging="360"/>
        <w:rPr>
          <w:rFonts w:cstheme="minorHAnsi"/>
        </w:rPr>
      </w:pPr>
      <w:bookmarkStart w:id="16" w:name="_Hlk221802481"/>
      <w:r w:rsidRPr="00E32571">
        <w:t>Geiger R, Aron R, Todhunter P (2009) The climate near the ground, 7th edn. Rowman &amp; Littlefield, Lanham.</w:t>
      </w:r>
      <w:bookmarkEnd w:id="16"/>
    </w:p>
    <w:p w14:paraId="35B832C8" w14:textId="1A5BD0B7" w:rsidR="004531AA" w:rsidRPr="000170F4" w:rsidRDefault="004531AA" w:rsidP="000170F4">
      <w:pPr>
        <w:spacing w:after="120"/>
        <w:ind w:left="360" w:hanging="360"/>
        <w:rPr>
          <w:color w:val="0563C1" w:themeColor="hyperlink"/>
          <w:u w:val="single"/>
        </w:rPr>
      </w:pPr>
      <w:bookmarkStart w:id="17" w:name="_Hlk221802485"/>
      <w:r w:rsidRPr="00E32571">
        <w:rPr>
          <w:rFonts w:cstheme="minorHAnsi"/>
        </w:rPr>
        <w:t xml:space="preserve">Hargreaves GH, Samani ZA (1982) Estimating potential evaporation. Journal of the Irrigation Drainage Division 108: 225-230. </w:t>
      </w:r>
      <w:hyperlink r:id="rId23" w:history="1">
        <w:r w:rsidRPr="00E32571">
          <w:rPr>
            <w:rStyle w:val="Lienhypertexte"/>
          </w:rPr>
          <w:t>https://doi.org/10.1061/JRCEA4.0001390</w:t>
        </w:r>
      </w:hyperlink>
      <w:bookmarkEnd w:id="17"/>
    </w:p>
    <w:p w14:paraId="3A42C0E6" w14:textId="4482D9B3" w:rsidR="004531AA" w:rsidRDefault="004531AA" w:rsidP="004531AA">
      <w:pPr>
        <w:spacing w:after="120"/>
        <w:ind w:left="360" w:hanging="360"/>
        <w:rPr>
          <w:rStyle w:val="Lienhypertexte"/>
          <w:rFonts w:eastAsia="Times New Roman" w:cstheme="minorHAnsi"/>
          <w:color w:val="auto"/>
          <w:lang w:eastAsia="fr-FR"/>
        </w:rPr>
      </w:pPr>
      <w:r w:rsidRPr="00E32571">
        <w:rPr>
          <w:rFonts w:cstheme="minorHAnsi"/>
        </w:rPr>
        <w:t xml:space="preserve">Intergovernmental Panel On Climate Change (Ipcc). 2023. Climate Change 2022 - Impacts, Adaptation and Vulnerability: Working Group II Contribution to the Sixth Assessment Report of the Intergovernmental Panel on Climate Change. 1re éd. Cambridge University Press. </w:t>
      </w:r>
      <w:hyperlink r:id="rId24" w:history="1">
        <w:r w:rsidRPr="00E32571">
          <w:rPr>
            <w:rStyle w:val="Lienhypertexte"/>
            <w:rFonts w:eastAsia="Times New Roman" w:cstheme="minorHAnsi"/>
            <w:lang w:eastAsia="fr-FR"/>
          </w:rPr>
          <w:t>https://doi.org/10.1017/9781009325844</w:t>
        </w:r>
      </w:hyperlink>
    </w:p>
    <w:p w14:paraId="6AE68F0D" w14:textId="6BFD04F0" w:rsidR="00EF3050" w:rsidRPr="000170F4" w:rsidRDefault="00EF3050" w:rsidP="000170F4">
      <w:pPr>
        <w:spacing w:after="120"/>
        <w:ind w:left="360" w:hanging="360"/>
        <w:rPr>
          <w:rStyle w:val="Lienhypertexte"/>
          <w:color w:val="auto"/>
          <w:u w:val="none"/>
        </w:rPr>
      </w:pPr>
      <w:r>
        <w:t xml:space="preserve">Keskitalo J, Bergquist G, Gardeström P, </w:t>
      </w:r>
      <w:r w:rsidRPr="00EF3050">
        <w:rPr>
          <w:rFonts w:cstheme="minorHAnsi"/>
        </w:rPr>
        <w:t>Jansson S (2005) A Cellular Timetable of Autumn Senescence. Plant Physiology 139 (4): 1635</w:t>
      </w:r>
      <w:r w:rsidRPr="00EF3050">
        <w:rPr>
          <w:rFonts w:cstheme="minorHAnsi"/>
        </w:rPr>
        <w:noBreakHyphen/>
        <w:t>48</w:t>
      </w:r>
      <w:r>
        <w:t xml:space="preserve">. </w:t>
      </w:r>
      <w:hyperlink r:id="rId25" w:history="1">
        <w:r>
          <w:rPr>
            <w:rStyle w:val="Lienhypertexte"/>
          </w:rPr>
          <w:t>https://doi.org/10.1104/pp.105.066845</w:t>
        </w:r>
      </w:hyperlink>
    </w:p>
    <w:p w14:paraId="0B5915E0" w14:textId="6EFA0FB8" w:rsidR="007B1C2C" w:rsidRPr="007B1C2C" w:rsidRDefault="007B1C2C" w:rsidP="007B1C2C">
      <w:pPr>
        <w:spacing w:after="120"/>
        <w:ind w:left="360" w:hanging="360"/>
        <w:rPr>
          <w:rStyle w:val="Lienhypertexte"/>
          <w:rFonts w:eastAsia="Times New Roman" w:cstheme="minorHAnsi"/>
          <w:color w:val="auto"/>
          <w:u w:val="none"/>
          <w:lang w:eastAsia="fr-FR"/>
        </w:rPr>
      </w:pPr>
      <w:r w:rsidRPr="007B1C2C">
        <w:rPr>
          <w:rStyle w:val="Lienhypertexte"/>
          <w:rFonts w:eastAsia="Times New Roman" w:cstheme="minorHAnsi"/>
          <w:color w:val="auto"/>
          <w:u w:val="none"/>
          <w:lang w:eastAsia="fr-FR"/>
        </w:rPr>
        <w:t xml:space="preserve">Pei </w:t>
      </w:r>
      <w:r>
        <w:rPr>
          <w:rStyle w:val="Lienhypertexte"/>
          <w:rFonts w:eastAsia="Times New Roman" w:cstheme="minorHAnsi"/>
          <w:color w:val="auto"/>
          <w:u w:val="none"/>
          <w:lang w:eastAsia="fr-FR"/>
        </w:rPr>
        <w:t>MS, Cao SH, Wu L, Wang GM, Xie Z, Gu C, Zhang, SL (2020)</w:t>
      </w:r>
      <w:r w:rsidRPr="007B1C2C">
        <w:t xml:space="preserve"> </w:t>
      </w:r>
      <w:r w:rsidRPr="007B1C2C">
        <w:rPr>
          <w:rStyle w:val="Lienhypertexte"/>
          <w:rFonts w:eastAsia="Times New Roman" w:cstheme="minorHAnsi"/>
          <w:color w:val="auto"/>
          <w:u w:val="none"/>
          <w:lang w:eastAsia="fr-FR"/>
        </w:rPr>
        <w:t>Comparative Transcriptome Analyses of Fruit Development among Pears, Peaches, and Strawberries Provide New Insights into Single Sigmoid Patterns. BMC Plant Biology 20 (1): 108.</w:t>
      </w:r>
      <w:r>
        <w:t xml:space="preserve"> </w:t>
      </w:r>
      <w:hyperlink r:id="rId26" w:history="1">
        <w:r>
          <w:rPr>
            <w:rStyle w:val="Lienhypertexte"/>
          </w:rPr>
          <w:t>https://doi.org/10.1186/s12870-020-2317-6</w:t>
        </w:r>
      </w:hyperlink>
    </w:p>
    <w:p w14:paraId="46F45DD3" w14:textId="3236D4CC" w:rsidR="004531AA" w:rsidRPr="000170F4" w:rsidRDefault="004531AA" w:rsidP="000170F4">
      <w:pPr>
        <w:spacing w:after="120"/>
        <w:ind w:left="360" w:hanging="360"/>
        <w:rPr>
          <w:rStyle w:val="Lienhypertexte"/>
          <w:rFonts w:cstheme="minorHAnsi"/>
          <w:color w:val="auto"/>
          <w:u w:val="none"/>
        </w:rPr>
      </w:pPr>
      <w:r w:rsidRPr="00E32571">
        <w:rPr>
          <w:rFonts w:cstheme="minorHAnsi"/>
        </w:rPr>
        <w:t xml:space="preserve">Poggio L, de Sousa LM, Batjes NH, Heuvelink GBM, Kempen B, Ribeiro E, Rossiter D (2021) SoilGrids 2.0: producing soil information for the globe with quantified spatial uncertainty. SOIL. 7: 217–240. </w:t>
      </w:r>
      <w:hyperlink r:id="rId27" w:tgtFrame="_blank" w:history="1">
        <w:r w:rsidRPr="00E32571">
          <w:rPr>
            <w:rFonts w:cstheme="minorHAnsi"/>
            <w:u w:val="single"/>
          </w:rPr>
          <w:t>https://doi.org/10.5194/soil-7-217-2021</w:t>
        </w:r>
      </w:hyperlink>
    </w:p>
    <w:p w14:paraId="7A91E2A3" w14:textId="77777777" w:rsidR="004531AA" w:rsidRPr="00EF3050" w:rsidRDefault="004531AA" w:rsidP="004531AA">
      <w:pPr>
        <w:spacing w:after="120"/>
        <w:ind w:left="360" w:hanging="360"/>
        <w:rPr>
          <w:rStyle w:val="Lienhypertexte"/>
          <w:color w:val="auto"/>
          <w:u w:val="none"/>
        </w:rPr>
      </w:pPr>
      <w:r w:rsidRPr="00EF3050">
        <w:rPr>
          <w:rStyle w:val="Lienhypertexte"/>
          <w:color w:val="auto"/>
          <w:u w:val="none"/>
        </w:rPr>
        <w:lastRenderedPageBreak/>
        <w:t xml:space="preserve">Ruffault J, Martin-StPaul NK, Duffet C, Goge F, Mouillot F (2013) Projecting future drought in Mediterranean forests: bias correction of climate models matters!. Theoretical Applied Climatology 117: 113–122. </w:t>
      </w:r>
      <w:hyperlink r:id="rId28" w:history="1">
        <w:r w:rsidRPr="00EF3050">
          <w:rPr>
            <w:rStyle w:val="Lienhypertexte"/>
            <w:color w:val="auto"/>
            <w:u w:val="none"/>
          </w:rPr>
          <w:t>https://doi.org/10.1007/s00704-013-0992-z</w:t>
        </w:r>
      </w:hyperlink>
    </w:p>
    <w:p w14:paraId="61814D48" w14:textId="77777777" w:rsidR="004531AA" w:rsidRPr="00E32571" w:rsidRDefault="004531AA" w:rsidP="004531AA">
      <w:pPr>
        <w:spacing w:after="120"/>
        <w:ind w:left="360" w:hanging="360"/>
        <w:rPr>
          <w:rStyle w:val="Lienhypertexte"/>
        </w:rPr>
      </w:pPr>
      <w:r w:rsidRPr="00EF3050">
        <w:rPr>
          <w:rStyle w:val="Lienhypertexte"/>
          <w:rFonts w:eastAsia="Times New Roman" w:cstheme="minorHAnsi"/>
          <w:color w:val="auto"/>
          <w:u w:val="none"/>
          <w:lang w:eastAsia="fr-FR"/>
        </w:rPr>
        <w:t>Tóth B, Weynants</w:t>
      </w:r>
      <w:r w:rsidRPr="00E32571">
        <w:t xml:space="preserve"> M, Pásztor L, Hengl T (2017) </w:t>
      </w:r>
      <w:hyperlink r:id="rId29" w:tgtFrame="_blank" w:history="1">
        <w:r w:rsidRPr="00E32571">
          <w:rPr>
            <w:u w:val="single"/>
          </w:rPr>
          <w:t>3D Soil Hydraulic Database of Europe at 250 m resolution.</w:t>
        </w:r>
      </w:hyperlink>
      <w:r w:rsidRPr="00E32571">
        <w:t xml:space="preserve"> Hydrological Processes 31 (14): 2662</w:t>
      </w:r>
      <w:r w:rsidRPr="00E32571">
        <w:noBreakHyphen/>
        <w:t xml:space="preserve">66. </w:t>
      </w:r>
      <w:hyperlink r:id="rId30" w:history="1">
        <w:r w:rsidRPr="00E32571">
          <w:rPr>
            <w:rStyle w:val="Lienhypertexte"/>
          </w:rPr>
          <w:t>https://doi.org/10.1002/hyp.11203</w:t>
        </w:r>
      </w:hyperlink>
    </w:p>
    <w:p w14:paraId="32A1FFD6" w14:textId="6472E35C" w:rsidR="007B1C2C" w:rsidRDefault="004531AA" w:rsidP="007B1C2C">
      <w:pPr>
        <w:spacing w:after="120"/>
        <w:ind w:left="360" w:hanging="360"/>
        <w:rPr>
          <w:rStyle w:val="Lienhypertexte"/>
          <w:color w:val="auto"/>
        </w:rPr>
      </w:pPr>
      <w:r w:rsidRPr="00E32571">
        <w:t>Turek ME, Poggio L., Batjes NH, Armindo RA, de Jong van Lier Q, de Sousa LM, Heuvelink GBM (2023) Global mapping of volumetric water retention at 100, 330 and 15 000 cm suction using the WoSIS database. International Soil and Water Conservation Research. 11-2: 225-239. </w:t>
      </w:r>
      <w:hyperlink r:id="rId31" w:tgtFrame="_blank" w:history="1">
        <w:r w:rsidRPr="000F2E4D">
          <w:rPr>
            <w:rStyle w:val="Lienhypertexte"/>
          </w:rPr>
          <w:t>https://doi.org/10.1016/j.iswcr.2022.08.001</w:t>
        </w:r>
      </w:hyperlink>
    </w:p>
    <w:p w14:paraId="26892C52" w14:textId="33FE14BA" w:rsidR="000170F4" w:rsidRPr="000170F4" w:rsidRDefault="000170F4" w:rsidP="000170F4">
      <w:pPr>
        <w:spacing w:after="120"/>
        <w:ind w:left="360" w:hanging="360"/>
        <w:rPr>
          <w:rFonts w:cstheme="minorHAnsi"/>
        </w:rPr>
      </w:pPr>
      <w:r w:rsidRPr="00E32571">
        <w:rPr>
          <w:rFonts w:cstheme="minorHAnsi"/>
        </w:rPr>
        <w:t xml:space="preserve">Van der Meersch V, Chuine I (2025) Can inverse calibration help improving process-explicit species distribution models? Ecological Modelling 506: 111132. </w:t>
      </w:r>
      <w:hyperlink r:id="rId32" w:history="1">
        <w:r w:rsidRPr="00E32571">
          <w:rPr>
            <w:rStyle w:val="Lienhypertexte"/>
            <w:rFonts w:eastAsia="Times New Roman" w:cstheme="minorHAnsi"/>
            <w:lang w:eastAsia="fr-FR"/>
          </w:rPr>
          <w:t>https://doi.org/10.1016/j.ecolmodel.2025.111132</w:t>
        </w:r>
      </w:hyperlink>
    </w:p>
    <w:p w14:paraId="2CE049F9" w14:textId="6AF12400" w:rsidR="004531AA" w:rsidRPr="000170F4" w:rsidRDefault="007B1C2C" w:rsidP="000170F4">
      <w:pPr>
        <w:spacing w:after="120"/>
        <w:ind w:left="360" w:hanging="360"/>
      </w:pPr>
      <w:r w:rsidRPr="007B1C2C">
        <w:t>Wang E, Engel T (</w:t>
      </w:r>
      <w:r>
        <w:t xml:space="preserve">1998) Simulation of phenological development of wheat crops. </w:t>
      </w:r>
      <w:r w:rsidRPr="00EF3050">
        <w:t>Agricultural Systems</w:t>
      </w:r>
      <w:r>
        <w:t xml:space="preserve"> 58 (1): 1</w:t>
      </w:r>
      <w:r>
        <w:noBreakHyphen/>
        <w:t xml:space="preserve">24. </w:t>
      </w:r>
      <w:hyperlink r:id="rId33" w:history="1">
        <w:r>
          <w:rPr>
            <w:rStyle w:val="Lienhypertexte"/>
          </w:rPr>
          <w:t>https://doi.org/10.1016/S0308-521X(98)00028-6</w:t>
        </w:r>
      </w:hyperlink>
    </w:p>
    <w:p w14:paraId="12A6831D" w14:textId="2B8A27D1" w:rsidR="004531AA" w:rsidRPr="000170F4" w:rsidRDefault="004531AA" w:rsidP="000170F4">
      <w:pPr>
        <w:spacing w:after="120"/>
        <w:ind w:left="360" w:hanging="360"/>
        <w:rPr>
          <w:rFonts w:eastAsia="Times New Roman" w:cstheme="minorHAnsi"/>
          <w:u w:val="single"/>
          <w:lang w:eastAsia="fr-FR"/>
        </w:rPr>
      </w:pPr>
      <w:bookmarkStart w:id="18" w:name="_Hlk221802566"/>
      <w:r w:rsidRPr="00E32571">
        <w:t>Zakšek K, Oštir K, Kokalj Ž (2011) Sky-View Factor as a Relief Visualization Technique. Remote Sensing 3 (2): 398</w:t>
      </w:r>
      <w:r w:rsidRPr="00E32571">
        <w:noBreakHyphen/>
        <w:t xml:space="preserve">415. </w:t>
      </w:r>
      <w:hyperlink r:id="rId34" w:history="1">
        <w:r w:rsidRPr="00E32571">
          <w:rPr>
            <w:rStyle w:val="Lienhypertexte"/>
          </w:rPr>
          <w:t>https://doi.org/10.3390/rs3020398</w:t>
        </w:r>
      </w:hyperlink>
      <w:bookmarkEnd w:id="18"/>
    </w:p>
    <w:sectPr w:rsidR="004531AA" w:rsidRPr="000170F4" w:rsidSect="00601788">
      <w:footerReference w:type="default" r:id="rId35"/>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8A371" w14:textId="77777777" w:rsidR="000678D4" w:rsidRDefault="000678D4" w:rsidP="009E4905">
      <w:pPr>
        <w:spacing w:after="0" w:line="240" w:lineRule="auto"/>
      </w:pPr>
      <w:r>
        <w:separator/>
      </w:r>
    </w:p>
  </w:endnote>
  <w:endnote w:type="continuationSeparator" w:id="0">
    <w:p w14:paraId="638CA4AC" w14:textId="77777777" w:rsidR="000678D4" w:rsidRDefault="000678D4" w:rsidP="009E4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32837"/>
      <w:docPartObj>
        <w:docPartGallery w:val="Page Numbers (Bottom of Page)"/>
        <w:docPartUnique/>
      </w:docPartObj>
    </w:sdtPr>
    <w:sdtEndPr/>
    <w:sdtContent>
      <w:p w14:paraId="338808EB" w14:textId="7A2919E4" w:rsidR="00531E65" w:rsidRDefault="00531E65">
        <w:pPr>
          <w:pStyle w:val="Pieddepage"/>
          <w:jc w:val="center"/>
        </w:pPr>
        <w:r>
          <w:fldChar w:fldCharType="begin"/>
        </w:r>
        <w:r>
          <w:instrText>PAGE   \* MERGEFORMAT</w:instrText>
        </w:r>
        <w:r>
          <w:fldChar w:fldCharType="separate"/>
        </w:r>
        <w:r>
          <w:rPr>
            <w:lang w:val="fr-FR"/>
          </w:rPr>
          <w:t>2</w:t>
        </w:r>
        <w:r>
          <w:fldChar w:fldCharType="end"/>
        </w:r>
      </w:p>
    </w:sdtContent>
  </w:sdt>
  <w:p w14:paraId="0C8C57F1" w14:textId="77777777" w:rsidR="00531E65" w:rsidRDefault="00531E6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FA89F" w14:textId="77777777" w:rsidR="000678D4" w:rsidRDefault="000678D4" w:rsidP="009E4905">
      <w:pPr>
        <w:spacing w:after="0" w:line="240" w:lineRule="auto"/>
      </w:pPr>
      <w:r>
        <w:separator/>
      </w:r>
    </w:p>
  </w:footnote>
  <w:footnote w:type="continuationSeparator" w:id="0">
    <w:p w14:paraId="4547C7B9" w14:textId="77777777" w:rsidR="000678D4" w:rsidRDefault="000678D4" w:rsidP="009E49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DC"/>
    <w:rsid w:val="00002990"/>
    <w:rsid w:val="000170F4"/>
    <w:rsid w:val="00022657"/>
    <w:rsid w:val="00033BC9"/>
    <w:rsid w:val="00036A04"/>
    <w:rsid w:val="000534C8"/>
    <w:rsid w:val="00062A8D"/>
    <w:rsid w:val="000678D4"/>
    <w:rsid w:val="00081D58"/>
    <w:rsid w:val="000A58BE"/>
    <w:rsid w:val="000B37DD"/>
    <w:rsid w:val="000B72D6"/>
    <w:rsid w:val="000C0E99"/>
    <w:rsid w:val="000C433A"/>
    <w:rsid w:val="000C6FB9"/>
    <w:rsid w:val="000E68F7"/>
    <w:rsid w:val="000F2E4D"/>
    <w:rsid w:val="00115E80"/>
    <w:rsid w:val="00151D0F"/>
    <w:rsid w:val="00154D7B"/>
    <w:rsid w:val="00155EF9"/>
    <w:rsid w:val="00187D86"/>
    <w:rsid w:val="001D34A2"/>
    <w:rsid w:val="001F2797"/>
    <w:rsid w:val="0021492F"/>
    <w:rsid w:val="00224F25"/>
    <w:rsid w:val="00251938"/>
    <w:rsid w:val="00260CBD"/>
    <w:rsid w:val="00265C5E"/>
    <w:rsid w:val="0026788E"/>
    <w:rsid w:val="00281A41"/>
    <w:rsid w:val="002F0ADC"/>
    <w:rsid w:val="002F6E07"/>
    <w:rsid w:val="003178AC"/>
    <w:rsid w:val="00326C42"/>
    <w:rsid w:val="003318EC"/>
    <w:rsid w:val="003377BA"/>
    <w:rsid w:val="00364610"/>
    <w:rsid w:val="00376E2B"/>
    <w:rsid w:val="003840AE"/>
    <w:rsid w:val="00394A96"/>
    <w:rsid w:val="003A210E"/>
    <w:rsid w:val="003A222E"/>
    <w:rsid w:val="003A3383"/>
    <w:rsid w:val="00445798"/>
    <w:rsid w:val="004531AA"/>
    <w:rsid w:val="00497B67"/>
    <w:rsid w:val="004C3725"/>
    <w:rsid w:val="004E0C4D"/>
    <w:rsid w:val="004E44F7"/>
    <w:rsid w:val="004F07B7"/>
    <w:rsid w:val="005043B5"/>
    <w:rsid w:val="0051237D"/>
    <w:rsid w:val="00531E4F"/>
    <w:rsid w:val="00531E65"/>
    <w:rsid w:val="00540146"/>
    <w:rsid w:val="00541F22"/>
    <w:rsid w:val="00544CC3"/>
    <w:rsid w:val="005523F8"/>
    <w:rsid w:val="0055701B"/>
    <w:rsid w:val="00557AA6"/>
    <w:rsid w:val="00572E3B"/>
    <w:rsid w:val="005A125E"/>
    <w:rsid w:val="005D36D1"/>
    <w:rsid w:val="005E65E6"/>
    <w:rsid w:val="005F49C3"/>
    <w:rsid w:val="00601788"/>
    <w:rsid w:val="0062633C"/>
    <w:rsid w:val="006468AA"/>
    <w:rsid w:val="006868D2"/>
    <w:rsid w:val="006B2593"/>
    <w:rsid w:val="006B32C5"/>
    <w:rsid w:val="00702497"/>
    <w:rsid w:val="00722ABF"/>
    <w:rsid w:val="00742E84"/>
    <w:rsid w:val="00742FA4"/>
    <w:rsid w:val="00745839"/>
    <w:rsid w:val="007710B5"/>
    <w:rsid w:val="007A09A0"/>
    <w:rsid w:val="007B1C2C"/>
    <w:rsid w:val="007F0D97"/>
    <w:rsid w:val="007F5A76"/>
    <w:rsid w:val="00826B9B"/>
    <w:rsid w:val="00857AB2"/>
    <w:rsid w:val="00860247"/>
    <w:rsid w:val="00881C11"/>
    <w:rsid w:val="008824CC"/>
    <w:rsid w:val="00897310"/>
    <w:rsid w:val="008B1970"/>
    <w:rsid w:val="008B5DAC"/>
    <w:rsid w:val="008D320B"/>
    <w:rsid w:val="008E799F"/>
    <w:rsid w:val="00916819"/>
    <w:rsid w:val="009204AB"/>
    <w:rsid w:val="00922E30"/>
    <w:rsid w:val="009366CC"/>
    <w:rsid w:val="009500CF"/>
    <w:rsid w:val="00975D50"/>
    <w:rsid w:val="009777AB"/>
    <w:rsid w:val="009D5128"/>
    <w:rsid w:val="009D59A5"/>
    <w:rsid w:val="009E4905"/>
    <w:rsid w:val="009F05B3"/>
    <w:rsid w:val="00A2729E"/>
    <w:rsid w:val="00A61812"/>
    <w:rsid w:val="00A774E1"/>
    <w:rsid w:val="00AA7E2D"/>
    <w:rsid w:val="00AB5BE8"/>
    <w:rsid w:val="00B066C7"/>
    <w:rsid w:val="00B12A39"/>
    <w:rsid w:val="00B37461"/>
    <w:rsid w:val="00BA05C1"/>
    <w:rsid w:val="00BB3946"/>
    <w:rsid w:val="00BD6991"/>
    <w:rsid w:val="00BE3380"/>
    <w:rsid w:val="00BE437D"/>
    <w:rsid w:val="00C31ED9"/>
    <w:rsid w:val="00C45D3E"/>
    <w:rsid w:val="00C67F6D"/>
    <w:rsid w:val="00C85F5F"/>
    <w:rsid w:val="00D2434D"/>
    <w:rsid w:val="00D32E56"/>
    <w:rsid w:val="00D56281"/>
    <w:rsid w:val="00DF16B3"/>
    <w:rsid w:val="00DF4012"/>
    <w:rsid w:val="00E353E2"/>
    <w:rsid w:val="00E61492"/>
    <w:rsid w:val="00E665CC"/>
    <w:rsid w:val="00E8062E"/>
    <w:rsid w:val="00EC24DD"/>
    <w:rsid w:val="00EC43A0"/>
    <w:rsid w:val="00EF3050"/>
    <w:rsid w:val="00F2266C"/>
    <w:rsid w:val="00F26A2D"/>
    <w:rsid w:val="00F854F1"/>
    <w:rsid w:val="00FA5688"/>
    <w:rsid w:val="00FC1C12"/>
    <w:rsid w:val="00FC75E0"/>
    <w:rsid w:val="00FF00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2C52"/>
  <w15:chartTrackingRefBased/>
  <w15:docId w15:val="{5CAE8E27-AE5C-4D8A-BCF9-42A3E304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80"/>
    <w:rPr>
      <w:lang w:val="en-GB"/>
    </w:rPr>
  </w:style>
  <w:style w:type="paragraph" w:styleId="Titre1">
    <w:name w:val="heading 1"/>
    <w:basedOn w:val="Normal"/>
    <w:next w:val="Normal"/>
    <w:link w:val="Titre1Car"/>
    <w:uiPriority w:val="9"/>
    <w:qFormat/>
    <w:rsid w:val="003A222E"/>
    <w:pPr>
      <w:keepNext/>
      <w:keepLines/>
      <w:spacing w:before="240" w:after="0"/>
      <w:outlineLvl w:val="0"/>
    </w:pPr>
    <w:rPr>
      <w:rFonts w:asciiTheme="majorHAnsi" w:eastAsiaTheme="majorEastAsia" w:hAnsiTheme="majorHAnsi" w:cstheme="majorBidi"/>
      <w:color w:val="2F5496" w:themeColor="accent1" w:themeShade="BF"/>
      <w:sz w:val="28"/>
      <w:szCs w:val="32"/>
    </w:rPr>
  </w:style>
  <w:style w:type="paragraph" w:styleId="Titre2">
    <w:name w:val="heading 2"/>
    <w:basedOn w:val="Normal"/>
    <w:next w:val="Normal"/>
    <w:link w:val="Titre2Car"/>
    <w:uiPriority w:val="9"/>
    <w:semiHidden/>
    <w:unhideWhenUsed/>
    <w:qFormat/>
    <w:rsid w:val="00A2729E"/>
    <w:pPr>
      <w:keepNext/>
      <w:keepLines/>
      <w:spacing w:before="40" w:after="0"/>
      <w:outlineLvl w:val="1"/>
    </w:pPr>
    <w:rPr>
      <w:rFonts w:asciiTheme="majorHAnsi" w:eastAsiaTheme="majorEastAsia" w:hAnsiTheme="majorHAnsi" w:cstheme="majorBidi"/>
      <w:sz w:val="26"/>
      <w:szCs w:val="26"/>
    </w:rPr>
  </w:style>
  <w:style w:type="paragraph" w:styleId="Titre3">
    <w:name w:val="heading 3"/>
    <w:basedOn w:val="Normal"/>
    <w:next w:val="Normal"/>
    <w:link w:val="Titre3Car"/>
    <w:uiPriority w:val="9"/>
    <w:unhideWhenUsed/>
    <w:qFormat/>
    <w:rsid w:val="00A2729E"/>
    <w:pPr>
      <w:keepNext/>
      <w:keepLines/>
      <w:spacing w:before="40" w:after="0"/>
      <w:outlineLvl w:val="2"/>
    </w:pPr>
    <w:rPr>
      <w:rFonts w:asciiTheme="majorHAnsi" w:eastAsiaTheme="majorEastAsia" w:hAnsiTheme="majorHAnsi" w:cstheme="majorBidi"/>
      <w:sz w:val="24"/>
      <w:szCs w:val="24"/>
    </w:rPr>
  </w:style>
  <w:style w:type="paragraph" w:styleId="Titre4">
    <w:name w:val="heading 4"/>
    <w:basedOn w:val="Normal"/>
    <w:next w:val="Normal"/>
    <w:link w:val="Titre4Car"/>
    <w:uiPriority w:val="9"/>
    <w:unhideWhenUsed/>
    <w:qFormat/>
    <w:rsid w:val="0051237D"/>
    <w:pPr>
      <w:keepNext/>
      <w:keepLines/>
      <w:spacing w:before="40" w:after="0"/>
      <w:outlineLvl w:val="3"/>
    </w:pPr>
    <w:rPr>
      <w:rFonts w:asciiTheme="majorHAnsi" w:eastAsiaTheme="majorEastAsia" w:hAnsiTheme="majorHAnsi" w:cstheme="majorBidi"/>
      <w:b/>
      <w:iCs/>
    </w:rPr>
  </w:style>
  <w:style w:type="paragraph" w:styleId="Titre5">
    <w:name w:val="heading 5"/>
    <w:basedOn w:val="Normal"/>
    <w:next w:val="Normal"/>
    <w:link w:val="Titre5Car"/>
    <w:uiPriority w:val="9"/>
    <w:semiHidden/>
    <w:unhideWhenUsed/>
    <w:qFormat/>
    <w:rsid w:val="00E6149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A2729E"/>
    <w:rPr>
      <w:rFonts w:asciiTheme="majorHAnsi" w:eastAsiaTheme="majorEastAsia" w:hAnsiTheme="majorHAnsi" w:cstheme="majorBidi"/>
      <w:sz w:val="26"/>
      <w:szCs w:val="26"/>
    </w:rPr>
  </w:style>
  <w:style w:type="character" w:customStyle="1" w:styleId="Titre3Car">
    <w:name w:val="Titre 3 Car"/>
    <w:basedOn w:val="Policepardfaut"/>
    <w:link w:val="Titre3"/>
    <w:uiPriority w:val="9"/>
    <w:rsid w:val="00A2729E"/>
    <w:rPr>
      <w:rFonts w:asciiTheme="majorHAnsi" w:eastAsiaTheme="majorEastAsia" w:hAnsiTheme="majorHAnsi" w:cstheme="majorBidi"/>
      <w:sz w:val="24"/>
      <w:szCs w:val="24"/>
    </w:rPr>
  </w:style>
  <w:style w:type="paragraph" w:customStyle="1" w:styleId="Titre2Enqute">
    <w:name w:val="Titre 2 : Enquête"/>
    <w:basedOn w:val="Titre2"/>
    <w:next w:val="Normal"/>
    <w:link w:val="Titre2EnquteCar"/>
    <w:qFormat/>
    <w:rsid w:val="003A222E"/>
    <w:pPr>
      <w:spacing w:before="160" w:after="120"/>
    </w:pPr>
    <w:rPr>
      <w:color w:val="2F5496" w:themeColor="accent1" w:themeShade="BF"/>
      <w:sz w:val="24"/>
    </w:rPr>
  </w:style>
  <w:style w:type="character" w:customStyle="1" w:styleId="Titre2EnquteCar">
    <w:name w:val="Titre 2 : Enquête Car"/>
    <w:basedOn w:val="Titre2Car"/>
    <w:link w:val="Titre2Enqute"/>
    <w:rsid w:val="003A222E"/>
    <w:rPr>
      <w:rFonts w:asciiTheme="majorHAnsi" w:eastAsiaTheme="majorEastAsia" w:hAnsiTheme="majorHAnsi" w:cstheme="majorBidi"/>
      <w:color w:val="2F5496" w:themeColor="accent1" w:themeShade="BF"/>
      <w:sz w:val="24"/>
      <w:szCs w:val="26"/>
    </w:rPr>
  </w:style>
  <w:style w:type="paragraph" w:customStyle="1" w:styleId="Titre1Enqute">
    <w:name w:val="Titre 1 : Enquête"/>
    <w:basedOn w:val="Titre1"/>
    <w:link w:val="Titre1EnquteCar"/>
    <w:qFormat/>
    <w:rsid w:val="003A222E"/>
    <w:pPr>
      <w:spacing w:before="360" w:after="120"/>
    </w:pPr>
  </w:style>
  <w:style w:type="character" w:customStyle="1" w:styleId="Titre1EnquteCar">
    <w:name w:val="Titre 1 : Enquête Car"/>
    <w:basedOn w:val="Titre1Car"/>
    <w:link w:val="Titre1Enqute"/>
    <w:rsid w:val="003A222E"/>
    <w:rPr>
      <w:rFonts w:asciiTheme="majorHAnsi" w:eastAsiaTheme="majorEastAsia" w:hAnsiTheme="majorHAnsi" w:cstheme="majorBidi"/>
      <w:noProof/>
      <w:color w:val="2F5496" w:themeColor="accent1" w:themeShade="BF"/>
      <w:sz w:val="28"/>
      <w:szCs w:val="32"/>
    </w:rPr>
  </w:style>
  <w:style w:type="character" w:customStyle="1" w:styleId="Titre1Car">
    <w:name w:val="Titre 1 Car"/>
    <w:basedOn w:val="Policepardfaut"/>
    <w:link w:val="Titre1"/>
    <w:uiPriority w:val="9"/>
    <w:rsid w:val="003A222E"/>
    <w:rPr>
      <w:rFonts w:asciiTheme="majorHAnsi" w:eastAsiaTheme="majorEastAsia" w:hAnsiTheme="majorHAnsi" w:cstheme="majorBidi"/>
      <w:noProof/>
      <w:color w:val="2F5496" w:themeColor="accent1" w:themeShade="BF"/>
      <w:sz w:val="28"/>
      <w:szCs w:val="32"/>
    </w:rPr>
  </w:style>
  <w:style w:type="paragraph" w:styleId="Titre">
    <w:name w:val="Title"/>
    <w:basedOn w:val="Normal"/>
    <w:next w:val="Normal"/>
    <w:link w:val="TitreCar"/>
    <w:uiPriority w:val="10"/>
    <w:qFormat/>
    <w:rsid w:val="00922E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22E30"/>
    <w:rPr>
      <w:rFonts w:asciiTheme="majorHAnsi" w:eastAsiaTheme="majorEastAsia" w:hAnsiTheme="majorHAnsi" w:cstheme="majorBidi"/>
      <w:spacing w:val="-10"/>
      <w:kern w:val="28"/>
      <w:sz w:val="56"/>
      <w:szCs w:val="56"/>
      <w:lang w:val="en-GB"/>
    </w:rPr>
  </w:style>
  <w:style w:type="character" w:customStyle="1" w:styleId="Titre4Car">
    <w:name w:val="Titre 4 Car"/>
    <w:basedOn w:val="Policepardfaut"/>
    <w:link w:val="Titre4"/>
    <w:uiPriority w:val="9"/>
    <w:rsid w:val="0051237D"/>
    <w:rPr>
      <w:rFonts w:asciiTheme="majorHAnsi" w:eastAsiaTheme="majorEastAsia" w:hAnsiTheme="majorHAnsi" w:cstheme="majorBidi"/>
      <w:b/>
      <w:iCs/>
      <w:lang w:val="en-GB"/>
    </w:rPr>
  </w:style>
  <w:style w:type="paragraph" w:styleId="En-ttedetabledesmatires">
    <w:name w:val="TOC Heading"/>
    <w:basedOn w:val="Titre1"/>
    <w:next w:val="Normal"/>
    <w:uiPriority w:val="39"/>
    <w:unhideWhenUsed/>
    <w:qFormat/>
    <w:rsid w:val="00E61492"/>
    <w:pPr>
      <w:outlineLvl w:val="9"/>
    </w:pPr>
    <w:rPr>
      <w:sz w:val="32"/>
      <w:lang w:val="fr-FR" w:eastAsia="fr-FR"/>
    </w:rPr>
  </w:style>
  <w:style w:type="paragraph" w:styleId="TM1">
    <w:name w:val="toc 1"/>
    <w:basedOn w:val="Normal"/>
    <w:next w:val="Normal"/>
    <w:autoRedefine/>
    <w:uiPriority w:val="39"/>
    <w:unhideWhenUsed/>
    <w:rsid w:val="00E61492"/>
    <w:pPr>
      <w:spacing w:after="100"/>
    </w:pPr>
  </w:style>
  <w:style w:type="character" w:styleId="Lienhypertexte">
    <w:name w:val="Hyperlink"/>
    <w:basedOn w:val="Policepardfaut"/>
    <w:uiPriority w:val="99"/>
    <w:unhideWhenUsed/>
    <w:rsid w:val="00E61492"/>
    <w:rPr>
      <w:color w:val="0563C1" w:themeColor="hyperlink"/>
      <w:u w:val="single"/>
    </w:rPr>
  </w:style>
  <w:style w:type="character" w:customStyle="1" w:styleId="Titre5Car">
    <w:name w:val="Titre 5 Car"/>
    <w:basedOn w:val="Policepardfaut"/>
    <w:link w:val="Titre5"/>
    <w:uiPriority w:val="9"/>
    <w:semiHidden/>
    <w:rsid w:val="00E61492"/>
    <w:rPr>
      <w:rFonts w:asciiTheme="majorHAnsi" w:eastAsiaTheme="majorEastAsia" w:hAnsiTheme="majorHAnsi" w:cstheme="majorBidi"/>
      <w:color w:val="2F5496" w:themeColor="accent1" w:themeShade="BF"/>
      <w:lang w:val="en-GB"/>
    </w:rPr>
  </w:style>
  <w:style w:type="paragraph" w:styleId="Lgende">
    <w:name w:val="caption"/>
    <w:basedOn w:val="Normal"/>
    <w:next w:val="Normal"/>
    <w:uiPriority w:val="35"/>
    <w:unhideWhenUsed/>
    <w:qFormat/>
    <w:rsid w:val="00E61492"/>
    <w:pPr>
      <w:spacing w:after="200" w:line="240" w:lineRule="auto"/>
    </w:pPr>
    <w:rPr>
      <w:i/>
      <w:iCs/>
      <w:color w:val="44546A" w:themeColor="text2"/>
      <w:sz w:val="18"/>
      <w:szCs w:val="18"/>
      <w:lang w:val="en-AU"/>
    </w:rPr>
  </w:style>
  <w:style w:type="paragraph" w:styleId="NormalWeb">
    <w:name w:val="Normal (Web)"/>
    <w:basedOn w:val="Normal"/>
    <w:uiPriority w:val="99"/>
    <w:unhideWhenUsed/>
    <w:rsid w:val="00E61492"/>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DF1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E4905"/>
    <w:pPr>
      <w:tabs>
        <w:tab w:val="center" w:pos="4536"/>
        <w:tab w:val="right" w:pos="9072"/>
      </w:tabs>
      <w:spacing w:after="0" w:line="240" w:lineRule="auto"/>
    </w:pPr>
  </w:style>
  <w:style w:type="character" w:customStyle="1" w:styleId="En-tteCar">
    <w:name w:val="En-tête Car"/>
    <w:basedOn w:val="Policepardfaut"/>
    <w:link w:val="En-tte"/>
    <w:uiPriority w:val="99"/>
    <w:rsid w:val="009E4905"/>
    <w:rPr>
      <w:lang w:val="en-GB"/>
    </w:rPr>
  </w:style>
  <w:style w:type="paragraph" w:styleId="Pieddepage">
    <w:name w:val="footer"/>
    <w:basedOn w:val="Normal"/>
    <w:link w:val="PieddepageCar"/>
    <w:uiPriority w:val="99"/>
    <w:unhideWhenUsed/>
    <w:rsid w:val="009E49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4905"/>
    <w:rPr>
      <w:lang w:val="en-GB"/>
    </w:rPr>
  </w:style>
  <w:style w:type="paragraph" w:customStyle="1" w:styleId="fig">
    <w:name w:val="fig"/>
    <w:basedOn w:val="Titre1Enqute"/>
    <w:link w:val="figCar"/>
    <w:qFormat/>
    <w:rsid w:val="0051237D"/>
    <w:pPr>
      <w:spacing w:after="0" w:line="240" w:lineRule="auto"/>
    </w:pPr>
    <w:rPr>
      <w:rFonts w:asciiTheme="minorHAnsi" w:hAnsiTheme="minorHAnsi"/>
      <w:color w:val="auto"/>
      <w:sz w:val="22"/>
    </w:rPr>
  </w:style>
  <w:style w:type="character" w:customStyle="1" w:styleId="figCar">
    <w:name w:val="fig Car"/>
    <w:basedOn w:val="Policepardfaut"/>
    <w:link w:val="fig"/>
    <w:rsid w:val="0051237D"/>
    <w:rPr>
      <w:rFonts w:eastAsiaTheme="majorEastAsia" w:cstheme="majorBidi"/>
      <w:szCs w:val="32"/>
      <w:lang w:val="en-GB"/>
    </w:rPr>
  </w:style>
  <w:style w:type="character" w:styleId="Marquedecommentaire">
    <w:name w:val="annotation reference"/>
    <w:basedOn w:val="Policepardfaut"/>
    <w:uiPriority w:val="99"/>
    <w:semiHidden/>
    <w:unhideWhenUsed/>
    <w:rsid w:val="00F2266C"/>
    <w:rPr>
      <w:sz w:val="16"/>
      <w:szCs w:val="16"/>
    </w:rPr>
  </w:style>
  <w:style w:type="paragraph" w:styleId="Commentaire">
    <w:name w:val="annotation text"/>
    <w:basedOn w:val="Normal"/>
    <w:link w:val="CommentaireCar"/>
    <w:uiPriority w:val="99"/>
    <w:unhideWhenUsed/>
    <w:rsid w:val="00F2266C"/>
    <w:pPr>
      <w:spacing w:line="240" w:lineRule="auto"/>
    </w:pPr>
    <w:rPr>
      <w:sz w:val="20"/>
      <w:szCs w:val="20"/>
    </w:rPr>
  </w:style>
  <w:style w:type="character" w:customStyle="1" w:styleId="CommentaireCar">
    <w:name w:val="Commentaire Car"/>
    <w:basedOn w:val="Policepardfaut"/>
    <w:link w:val="Commentaire"/>
    <w:uiPriority w:val="99"/>
    <w:rsid w:val="00F2266C"/>
    <w:rPr>
      <w:sz w:val="20"/>
      <w:szCs w:val="20"/>
      <w:lang w:val="en-GB"/>
    </w:rPr>
  </w:style>
  <w:style w:type="paragraph" w:styleId="Objetducommentaire">
    <w:name w:val="annotation subject"/>
    <w:basedOn w:val="Commentaire"/>
    <w:next w:val="Commentaire"/>
    <w:link w:val="ObjetducommentaireCar"/>
    <w:uiPriority w:val="99"/>
    <w:semiHidden/>
    <w:unhideWhenUsed/>
    <w:rsid w:val="00F2266C"/>
    <w:rPr>
      <w:b/>
      <w:bCs/>
    </w:rPr>
  </w:style>
  <w:style w:type="character" w:customStyle="1" w:styleId="ObjetducommentaireCar">
    <w:name w:val="Objet du commentaire Car"/>
    <w:basedOn w:val="CommentaireCar"/>
    <w:link w:val="Objetducommentaire"/>
    <w:uiPriority w:val="99"/>
    <w:semiHidden/>
    <w:rsid w:val="00F2266C"/>
    <w:rPr>
      <w:b/>
      <w:bCs/>
      <w:sz w:val="20"/>
      <w:szCs w:val="20"/>
      <w:lang w:val="en-GB"/>
    </w:rPr>
  </w:style>
  <w:style w:type="character" w:styleId="Textedelespacerserv">
    <w:name w:val="Placeholder Text"/>
    <w:basedOn w:val="Policepardfaut"/>
    <w:uiPriority w:val="99"/>
    <w:semiHidden/>
    <w:rsid w:val="004F07B7"/>
    <w:rPr>
      <w:color w:val="808080"/>
    </w:rPr>
  </w:style>
  <w:style w:type="paragraph" w:customStyle="1" w:styleId="Default">
    <w:name w:val="Default"/>
    <w:rsid w:val="000A58BE"/>
    <w:pPr>
      <w:autoSpaceDE w:val="0"/>
      <w:autoSpaceDN w:val="0"/>
      <w:adjustRightInd w:val="0"/>
      <w:spacing w:after="0" w:line="240" w:lineRule="auto"/>
    </w:pPr>
    <w:rPr>
      <w:rFonts w:ascii="Cambria" w:hAnsi="Cambria" w:cs="Cambria"/>
      <w:color w:val="000000"/>
      <w:sz w:val="24"/>
      <w:szCs w:val="24"/>
    </w:rPr>
  </w:style>
  <w:style w:type="character" w:styleId="Numrodeligne">
    <w:name w:val="line number"/>
    <w:basedOn w:val="Policepardfaut"/>
    <w:uiPriority w:val="99"/>
    <w:semiHidden/>
    <w:unhideWhenUsed/>
    <w:rsid w:val="00601788"/>
  </w:style>
  <w:style w:type="character" w:styleId="Mentionnonrsolue">
    <w:name w:val="Unresolved Mention"/>
    <w:basedOn w:val="Policepardfaut"/>
    <w:uiPriority w:val="99"/>
    <w:semiHidden/>
    <w:unhideWhenUsed/>
    <w:rsid w:val="004531AA"/>
    <w:rPr>
      <w:color w:val="605E5C"/>
      <w:shd w:val="clear" w:color="auto" w:fill="E1DFDD"/>
    </w:rPr>
  </w:style>
  <w:style w:type="character" w:styleId="Lienhypertextesuivivisit">
    <w:name w:val="FollowedHyperlink"/>
    <w:basedOn w:val="Policepardfaut"/>
    <w:uiPriority w:val="99"/>
    <w:semiHidden/>
    <w:unhideWhenUsed/>
    <w:rsid w:val="000170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00011">
      <w:bodyDiv w:val="1"/>
      <w:marLeft w:val="0"/>
      <w:marRight w:val="0"/>
      <w:marTop w:val="0"/>
      <w:marBottom w:val="0"/>
      <w:divBdr>
        <w:top w:val="none" w:sz="0" w:space="0" w:color="auto"/>
        <w:left w:val="none" w:sz="0" w:space="0" w:color="auto"/>
        <w:bottom w:val="none" w:sz="0" w:space="0" w:color="auto"/>
        <w:right w:val="none" w:sz="0" w:space="0" w:color="auto"/>
      </w:divBdr>
    </w:div>
    <w:div w:id="755829889">
      <w:bodyDiv w:val="1"/>
      <w:marLeft w:val="0"/>
      <w:marRight w:val="0"/>
      <w:marTop w:val="0"/>
      <w:marBottom w:val="0"/>
      <w:divBdr>
        <w:top w:val="none" w:sz="0" w:space="0" w:color="auto"/>
        <w:left w:val="none" w:sz="0" w:space="0" w:color="auto"/>
        <w:bottom w:val="none" w:sz="0" w:space="0" w:color="auto"/>
        <w:right w:val="none" w:sz="0" w:space="0" w:color="auto"/>
      </w:divBdr>
      <w:divsChild>
        <w:div w:id="1201937745">
          <w:marLeft w:val="480"/>
          <w:marRight w:val="0"/>
          <w:marTop w:val="0"/>
          <w:marBottom w:val="0"/>
          <w:divBdr>
            <w:top w:val="none" w:sz="0" w:space="0" w:color="auto"/>
            <w:left w:val="none" w:sz="0" w:space="0" w:color="auto"/>
            <w:bottom w:val="none" w:sz="0" w:space="0" w:color="auto"/>
            <w:right w:val="none" w:sz="0" w:space="0" w:color="auto"/>
          </w:divBdr>
          <w:divsChild>
            <w:div w:id="82150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50375">
      <w:bodyDiv w:val="1"/>
      <w:marLeft w:val="0"/>
      <w:marRight w:val="0"/>
      <w:marTop w:val="0"/>
      <w:marBottom w:val="0"/>
      <w:divBdr>
        <w:top w:val="none" w:sz="0" w:space="0" w:color="auto"/>
        <w:left w:val="none" w:sz="0" w:space="0" w:color="auto"/>
        <w:bottom w:val="none" w:sz="0" w:space="0" w:color="auto"/>
        <w:right w:val="none" w:sz="0" w:space="0" w:color="auto"/>
      </w:divBdr>
    </w:div>
    <w:div w:id="844172006">
      <w:bodyDiv w:val="1"/>
      <w:marLeft w:val="0"/>
      <w:marRight w:val="0"/>
      <w:marTop w:val="0"/>
      <w:marBottom w:val="0"/>
      <w:divBdr>
        <w:top w:val="none" w:sz="0" w:space="0" w:color="auto"/>
        <w:left w:val="none" w:sz="0" w:space="0" w:color="auto"/>
        <w:bottom w:val="none" w:sz="0" w:space="0" w:color="auto"/>
        <w:right w:val="none" w:sz="0" w:space="0" w:color="auto"/>
      </w:divBdr>
      <w:divsChild>
        <w:div w:id="395709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0079407">
      <w:bodyDiv w:val="1"/>
      <w:marLeft w:val="0"/>
      <w:marRight w:val="0"/>
      <w:marTop w:val="0"/>
      <w:marBottom w:val="0"/>
      <w:divBdr>
        <w:top w:val="none" w:sz="0" w:space="0" w:color="auto"/>
        <w:left w:val="none" w:sz="0" w:space="0" w:color="auto"/>
        <w:bottom w:val="none" w:sz="0" w:space="0" w:color="auto"/>
        <w:right w:val="none" w:sz="0" w:space="0" w:color="auto"/>
      </w:divBdr>
    </w:div>
    <w:div w:id="1383287404">
      <w:bodyDiv w:val="1"/>
      <w:marLeft w:val="0"/>
      <w:marRight w:val="0"/>
      <w:marTop w:val="0"/>
      <w:marBottom w:val="0"/>
      <w:divBdr>
        <w:top w:val="none" w:sz="0" w:space="0" w:color="auto"/>
        <w:left w:val="none" w:sz="0" w:space="0" w:color="auto"/>
        <w:bottom w:val="none" w:sz="0" w:space="0" w:color="auto"/>
        <w:right w:val="none" w:sz="0" w:space="0" w:color="auto"/>
      </w:divBdr>
    </w:div>
    <w:div w:id="1512135542">
      <w:bodyDiv w:val="1"/>
      <w:marLeft w:val="0"/>
      <w:marRight w:val="0"/>
      <w:marTop w:val="0"/>
      <w:marBottom w:val="0"/>
      <w:divBdr>
        <w:top w:val="none" w:sz="0" w:space="0" w:color="auto"/>
        <w:left w:val="none" w:sz="0" w:space="0" w:color="auto"/>
        <w:bottom w:val="none" w:sz="0" w:space="0" w:color="auto"/>
        <w:right w:val="none" w:sz="0" w:space="0" w:color="auto"/>
      </w:divBdr>
      <w:divsChild>
        <w:div w:id="361053537">
          <w:marLeft w:val="480"/>
          <w:marRight w:val="0"/>
          <w:marTop w:val="0"/>
          <w:marBottom w:val="0"/>
          <w:divBdr>
            <w:top w:val="none" w:sz="0" w:space="0" w:color="auto"/>
            <w:left w:val="none" w:sz="0" w:space="0" w:color="auto"/>
            <w:bottom w:val="none" w:sz="0" w:space="0" w:color="auto"/>
            <w:right w:val="none" w:sz="0" w:space="0" w:color="auto"/>
          </w:divBdr>
          <w:divsChild>
            <w:div w:id="20029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09351">
      <w:bodyDiv w:val="1"/>
      <w:marLeft w:val="0"/>
      <w:marRight w:val="0"/>
      <w:marTop w:val="0"/>
      <w:marBottom w:val="0"/>
      <w:divBdr>
        <w:top w:val="none" w:sz="0" w:space="0" w:color="auto"/>
        <w:left w:val="none" w:sz="0" w:space="0" w:color="auto"/>
        <w:bottom w:val="none" w:sz="0" w:space="0" w:color="auto"/>
        <w:right w:val="none" w:sz="0" w:space="0" w:color="auto"/>
      </w:divBdr>
      <w:divsChild>
        <w:div w:id="809977673">
          <w:marLeft w:val="480"/>
          <w:marRight w:val="0"/>
          <w:marTop w:val="0"/>
          <w:marBottom w:val="0"/>
          <w:divBdr>
            <w:top w:val="none" w:sz="0" w:space="0" w:color="auto"/>
            <w:left w:val="none" w:sz="0" w:space="0" w:color="auto"/>
            <w:bottom w:val="none" w:sz="0" w:space="0" w:color="auto"/>
            <w:right w:val="none" w:sz="0" w:space="0" w:color="auto"/>
          </w:divBdr>
          <w:divsChild>
            <w:div w:id="205488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06158">
      <w:bodyDiv w:val="1"/>
      <w:marLeft w:val="0"/>
      <w:marRight w:val="0"/>
      <w:marTop w:val="0"/>
      <w:marBottom w:val="0"/>
      <w:divBdr>
        <w:top w:val="none" w:sz="0" w:space="0" w:color="auto"/>
        <w:left w:val="none" w:sz="0" w:space="0" w:color="auto"/>
        <w:bottom w:val="none" w:sz="0" w:space="0" w:color="auto"/>
        <w:right w:val="none" w:sz="0" w:space="0" w:color="auto"/>
      </w:divBdr>
      <w:divsChild>
        <w:div w:id="1836606741">
          <w:marLeft w:val="480"/>
          <w:marRight w:val="0"/>
          <w:marTop w:val="0"/>
          <w:marBottom w:val="0"/>
          <w:divBdr>
            <w:top w:val="none" w:sz="0" w:space="0" w:color="auto"/>
            <w:left w:val="none" w:sz="0" w:space="0" w:color="auto"/>
            <w:bottom w:val="none" w:sz="0" w:space="0" w:color="auto"/>
            <w:right w:val="none" w:sz="0" w:space="0" w:color="auto"/>
          </w:divBdr>
          <w:divsChild>
            <w:div w:id="48682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8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oi.org/10.1046/j.1461-0248.2001.00261.x" TargetMode="External"/><Relationship Id="rId26" Type="http://schemas.openxmlformats.org/officeDocument/2006/relationships/hyperlink" Target="https://doi.org/10.1186/s12870-020-2317-6" TargetMode="External"/><Relationship Id="rId21" Type="http://schemas.openxmlformats.org/officeDocument/2006/relationships/hyperlink" Target="https://doi.org/10.5194/bg-22-1-2025" TargetMode="External"/><Relationship Id="rId34" Type="http://schemas.openxmlformats.org/officeDocument/2006/relationships/hyperlink" Target="https://doi.org/10.3390/rs3020398" TargetMode="External"/><Relationship Id="rId7" Type="http://schemas.openxmlformats.org/officeDocument/2006/relationships/hyperlink" Target="mailto:nicolas.ponsa@cefe.cnrs.fr" TargetMode="External"/><Relationship Id="rId12" Type="http://schemas.openxmlformats.org/officeDocument/2006/relationships/image" Target="media/image4.jpeg"/><Relationship Id="rId17" Type="http://schemas.openxmlformats.org/officeDocument/2006/relationships/hyperlink" Target="https://doi.org/10.1002/ird.3039" TargetMode="External"/><Relationship Id="rId25" Type="http://schemas.openxmlformats.org/officeDocument/2006/relationships/hyperlink" Target="https://doi.org/10.1104/pp.105.066845" TargetMode="External"/><Relationship Id="rId33" Type="http://schemas.openxmlformats.org/officeDocument/2006/relationships/hyperlink" Target="https://doi.org/10.1016/S0308-521X(98)00028-6"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hal.science/hal-05180085" TargetMode="External"/><Relationship Id="rId29" Type="http://schemas.openxmlformats.org/officeDocument/2006/relationships/hyperlink" Target="http://onlinelibrary.wiley.com/doi/10.1002/hyp.11203/abstrac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1017/9781009325844" TargetMode="External"/><Relationship Id="rId32" Type="http://schemas.openxmlformats.org/officeDocument/2006/relationships/hyperlink" Target="https://doi.org/10.1016/j.ecolmodel.2025.111132"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doi.org/10.1061/JRCEA4.0001390" TargetMode="External"/><Relationship Id="rId28" Type="http://schemas.openxmlformats.org/officeDocument/2006/relationships/hyperlink" Target="https://doi.org/10.1007/s00704-013-0992-z"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oi.org/10.1146/annurev-ecolsys-110316-022706" TargetMode="External"/><Relationship Id="rId31" Type="http://schemas.openxmlformats.org/officeDocument/2006/relationships/hyperlink" Target="https://doi.org/10.1016/j.iswcr.2022.08.001"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doi.org/10.3354/cr032253" TargetMode="External"/><Relationship Id="rId27" Type="http://schemas.openxmlformats.org/officeDocument/2006/relationships/hyperlink" Target="https://doi.org/10.5194/soil-7-217-2021" TargetMode="External"/><Relationship Id="rId30" Type="http://schemas.openxmlformats.org/officeDocument/2006/relationships/hyperlink" Target="https://doi.org/10.1002/hyp.11203" TargetMode="External"/><Relationship Id="rId35" Type="http://schemas.openxmlformats.org/officeDocument/2006/relationships/footer" Target="footer1.xml"/><Relationship Id="rId8" Type="http://schemas.openxmlformats.org/officeDocument/2006/relationships/hyperlink" Target="mailto:nicolasponsa@yahoo.fr" TargetMode="External"/><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34A4D-F440-4B42-905C-60B4BC94B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13</Pages>
  <Words>2837</Words>
  <Characters>15604</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PONSA</dc:creator>
  <cp:keywords/>
  <dc:description/>
  <cp:lastModifiedBy>Nicolas PONSA</cp:lastModifiedBy>
  <cp:revision>14</cp:revision>
  <cp:lastPrinted>2025-08-25T16:21:00Z</cp:lastPrinted>
  <dcterms:created xsi:type="dcterms:W3CDTF">2026-02-04T11:08:00Z</dcterms:created>
  <dcterms:modified xsi:type="dcterms:W3CDTF">2026-05-26T15:23:00Z</dcterms:modified>
</cp:coreProperties>
</file>