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34025" w14:textId="77777777" w:rsidR="00CC58E3" w:rsidRDefault="00CC58E3" w:rsidP="00CC58E3">
      <w:pPr>
        <w:spacing w:after="280" w:line="240" w:lineRule="auto"/>
        <w:rPr>
          <w:b/>
          <w:bCs/>
          <w:sz w:val="20"/>
          <w:szCs w:val="20"/>
        </w:rPr>
      </w:pPr>
      <w:bookmarkStart w:id="0" w:name="_heading=h.fjbzu2l9yrq" w:colFirst="0" w:colLast="0"/>
      <w:bookmarkEnd w:id="0"/>
      <w:r>
        <w:rPr>
          <w:b/>
          <w:bCs/>
          <w:sz w:val="20"/>
          <w:szCs w:val="20"/>
        </w:rPr>
        <w:t>Reimagining Adaptation as Coping: Agroecological Misalignment, Institutional Thinness, and Shifting Socio-Cultural Norms in Climate-Vulnerable Mountain Agrarian Peripheries</w:t>
      </w:r>
    </w:p>
    <w:p w14:paraId="18748932" w14:textId="0211EB23" w:rsidR="006122F0" w:rsidRPr="00970DBB" w:rsidRDefault="006122F0" w:rsidP="00970DBB">
      <w:pPr>
        <w:spacing w:before="0" w:line="240" w:lineRule="auto"/>
      </w:pPr>
      <w:r w:rsidRPr="00970DBB">
        <w:t>Appendix 1 presents the Mann–Kendall trend analysis for precipitation, indicating no statistically significant long-term trend</w:t>
      </w:r>
      <w:r w:rsidRPr="00970DBB">
        <w:rPr>
          <w:rFonts w:eastAsia="Gungsuh"/>
        </w:rPr>
        <w:t>; however, April exhibits a significant increasing trend (p = 0.037), indicating a gradual rise in early pre-monsoon rainfall, possibly linked to enhanced western disturbances or early convective activity. In contrast, December shows a significant decreasing trend (p = 0.022), reflecting drying conditions during the early winter months. All other months show no statistically significant trends (p ≥ 0.05), although some months, particularly August, display moderate negative Tau values, suggesting declining tendencies. The monsoon months (June–September) remain largely stable, with no significant trend despite substantial interannual variability.</w:t>
      </w:r>
    </w:p>
    <w:p w14:paraId="49BFF8AA" w14:textId="77777777" w:rsidR="006122F0" w:rsidRPr="00970DBB" w:rsidRDefault="006122F0" w:rsidP="00970DBB">
      <w:pPr>
        <w:spacing w:before="0" w:line="240" w:lineRule="auto"/>
        <w:rPr>
          <w:b/>
          <w:bCs/>
          <w:i/>
        </w:rPr>
      </w:pPr>
      <w:r w:rsidRPr="00970DBB">
        <w:rPr>
          <w:b/>
          <w:i/>
        </w:rPr>
        <w:t>Appendix 1.</w:t>
      </w:r>
      <w:r w:rsidRPr="00970DBB">
        <w:rPr>
          <w:i/>
        </w:rPr>
        <w:t xml:space="preserve"> </w:t>
      </w:r>
      <w:r w:rsidRPr="00970DBB">
        <w:rPr>
          <w:b/>
          <w:bCs/>
          <w:i/>
        </w:rPr>
        <w:t xml:space="preserve">Monthly Mann–Kendall trend results for precipitation in </w:t>
      </w:r>
      <w:proofErr w:type="spellStart"/>
      <w:r w:rsidRPr="00970DBB">
        <w:rPr>
          <w:b/>
          <w:bCs/>
          <w:i/>
        </w:rPr>
        <w:t>Bajhang</w:t>
      </w:r>
      <w:proofErr w:type="spellEnd"/>
      <w:r w:rsidRPr="00970DBB">
        <w:rPr>
          <w:b/>
          <w:bCs/>
          <w:i/>
        </w:rPr>
        <w:t xml:space="preserve"> (1984–2023), showing trend direction, significance level, and rate of change (mm per decade)</w:t>
      </w:r>
    </w:p>
    <w:tbl>
      <w:tblPr>
        <w:tblW w:w="86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50"/>
        <w:gridCol w:w="1200"/>
        <w:gridCol w:w="1275"/>
        <w:gridCol w:w="1215"/>
        <w:gridCol w:w="2070"/>
        <w:gridCol w:w="1800"/>
      </w:tblGrid>
      <w:tr w:rsidR="006122F0" w:rsidRPr="00970DBB" w14:paraId="15979AF3" w14:textId="77777777" w:rsidTr="006641BF">
        <w:trPr>
          <w:trHeight w:val="330"/>
        </w:trPr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B36B42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Month</w:t>
            </w:r>
          </w:p>
        </w:tc>
        <w:tc>
          <w:tcPr>
            <w:tcW w:w="120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26AEDF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Trend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0F906E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p-value</w:t>
            </w:r>
          </w:p>
        </w:tc>
        <w:tc>
          <w:tcPr>
            <w:tcW w:w="121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24A99F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τ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8C148D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Slope (mm/decade)</w:t>
            </w: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FD2C42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Significance</w:t>
            </w:r>
          </w:p>
        </w:tc>
      </w:tr>
      <w:tr w:rsidR="006122F0" w:rsidRPr="00970DBB" w14:paraId="0CA0759B" w14:textId="77777777" w:rsidTr="006641BF">
        <w:trPr>
          <w:trHeight w:val="300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200DE1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Jan–Mar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C15406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No trend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C11137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&gt; 0.15–0.52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BE5D2B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0.08–0.16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0933EF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13–89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1A0E3A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Not significant</w:t>
            </w:r>
          </w:p>
        </w:tc>
      </w:tr>
      <w:tr w:rsidR="006122F0" w:rsidRPr="00970DBB" w14:paraId="38B16F6C" w14:textId="77777777" w:rsidTr="006641BF">
        <w:trPr>
          <w:trHeight w:val="300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CC6712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Apr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9AD402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Increasing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C452F5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0.037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AF3FB9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0.23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2C50F6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+60.6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2A9C0C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Significant (95%)</w:t>
            </w:r>
          </w:p>
        </w:tc>
      </w:tr>
      <w:tr w:rsidR="006122F0" w:rsidRPr="00970DBB" w14:paraId="524FD8C1" w14:textId="77777777" w:rsidTr="006641BF">
        <w:trPr>
          <w:trHeight w:val="300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0C4DD7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May–Nov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12EF26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No trend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6D4792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&gt; 0.06–0.97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5F5973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–0.20–0.12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F7471A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–247–+56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6F7E5E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Not significant</w:t>
            </w:r>
          </w:p>
        </w:tc>
      </w:tr>
      <w:tr w:rsidR="006122F0" w:rsidRPr="00970DBB" w14:paraId="438C9A7B" w14:textId="77777777" w:rsidTr="006641BF">
        <w:trPr>
          <w:trHeight w:val="315"/>
        </w:trPr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3B4093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Dec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2926C9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Decreasing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C1CFA1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0.022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470876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–0.25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1C80D1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–27.6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86A59F" w14:textId="77777777" w:rsidR="006122F0" w:rsidRPr="00970DBB" w:rsidRDefault="006122F0" w:rsidP="00970DBB">
            <w:pPr>
              <w:spacing w:before="0" w:line="240" w:lineRule="auto"/>
              <w:jc w:val="center"/>
            </w:pPr>
            <w:r w:rsidRPr="00970DBB">
              <w:t>Significant (95%)</w:t>
            </w:r>
          </w:p>
        </w:tc>
      </w:tr>
    </w:tbl>
    <w:p w14:paraId="6A6535A6" w14:textId="77777777" w:rsidR="00970DBB" w:rsidRPr="00970DBB" w:rsidRDefault="00970DBB" w:rsidP="00970DBB">
      <w:pPr>
        <w:spacing w:before="0" w:line="240" w:lineRule="auto"/>
        <w:rPr>
          <w:b/>
          <w:i/>
        </w:rPr>
      </w:pPr>
    </w:p>
    <w:p w14:paraId="040F32BC" w14:textId="544B5E15" w:rsidR="006122F0" w:rsidRPr="00970DBB" w:rsidRDefault="006122F0" w:rsidP="00970DBB">
      <w:pPr>
        <w:spacing w:before="0" w:line="240" w:lineRule="auto"/>
        <w:rPr>
          <w:i/>
        </w:rPr>
      </w:pPr>
      <w:r w:rsidRPr="00970DBB">
        <w:rPr>
          <w:b/>
          <w:i/>
        </w:rPr>
        <w:t>Note:</w:t>
      </w:r>
      <w:r w:rsidRPr="00970DBB">
        <w:rPr>
          <w:i/>
        </w:rPr>
        <w:t xml:space="preserve"> τ indicates the strength and direction of the monotonic trend, the slope represents the Sen’s slope (rate of change per decade), and the p-value denotes the statistical significance of the trend (p &lt; 0.05 significant; p &lt; 0.01 highly significant).</w:t>
      </w:r>
    </w:p>
    <w:p w14:paraId="11853BFD" w14:textId="77777777" w:rsidR="00970DBB" w:rsidRPr="00970DBB" w:rsidRDefault="00970DBB" w:rsidP="00970DBB">
      <w:pPr>
        <w:spacing w:before="0" w:line="240" w:lineRule="auto"/>
      </w:pPr>
    </w:p>
    <w:p w14:paraId="26413DBF" w14:textId="77777777" w:rsidR="00970DBB" w:rsidRPr="00970DBB" w:rsidRDefault="00970DBB" w:rsidP="00970DBB">
      <w:pPr>
        <w:spacing w:before="0" w:line="240" w:lineRule="auto"/>
      </w:pPr>
    </w:p>
    <w:p w14:paraId="54929CF2" w14:textId="77777777" w:rsidR="00970DBB" w:rsidRPr="00970DBB" w:rsidRDefault="00970DBB" w:rsidP="00970DBB">
      <w:pPr>
        <w:spacing w:before="0" w:line="240" w:lineRule="auto"/>
      </w:pPr>
    </w:p>
    <w:p w14:paraId="4D13B43E" w14:textId="77777777" w:rsidR="00970DBB" w:rsidRPr="00970DBB" w:rsidRDefault="00970DBB" w:rsidP="00970DBB">
      <w:pPr>
        <w:spacing w:before="0" w:line="240" w:lineRule="auto"/>
      </w:pPr>
    </w:p>
    <w:p w14:paraId="1AABA900" w14:textId="77777777" w:rsidR="00970DBB" w:rsidRPr="00970DBB" w:rsidRDefault="00970DBB" w:rsidP="00970DBB">
      <w:pPr>
        <w:spacing w:before="0" w:line="240" w:lineRule="auto"/>
      </w:pPr>
    </w:p>
    <w:p w14:paraId="15003050" w14:textId="77777777" w:rsidR="00970DBB" w:rsidRPr="00970DBB" w:rsidRDefault="00970DBB" w:rsidP="00970DBB">
      <w:pPr>
        <w:spacing w:before="0" w:line="240" w:lineRule="auto"/>
      </w:pPr>
    </w:p>
    <w:p w14:paraId="1136189F" w14:textId="77777777" w:rsidR="00970DBB" w:rsidRPr="00970DBB" w:rsidRDefault="00970DBB" w:rsidP="00970DBB">
      <w:pPr>
        <w:spacing w:before="0" w:line="240" w:lineRule="auto"/>
      </w:pPr>
    </w:p>
    <w:p w14:paraId="411C9BBC" w14:textId="77777777" w:rsidR="00970DBB" w:rsidRPr="00970DBB" w:rsidRDefault="00970DBB" w:rsidP="00970DBB">
      <w:pPr>
        <w:spacing w:before="0" w:line="240" w:lineRule="auto"/>
      </w:pPr>
    </w:p>
    <w:p w14:paraId="71B69D69" w14:textId="77777777" w:rsidR="00970DBB" w:rsidRPr="00970DBB" w:rsidRDefault="00970DBB" w:rsidP="00970DBB">
      <w:pPr>
        <w:spacing w:before="0" w:line="240" w:lineRule="auto"/>
      </w:pPr>
    </w:p>
    <w:p w14:paraId="759D25F6" w14:textId="77777777" w:rsidR="00970DBB" w:rsidRPr="00970DBB" w:rsidRDefault="00970DBB" w:rsidP="00970DBB">
      <w:pPr>
        <w:spacing w:before="0" w:line="240" w:lineRule="auto"/>
      </w:pPr>
    </w:p>
    <w:p w14:paraId="332EFFC1" w14:textId="05C1C487" w:rsidR="007868C0" w:rsidRPr="00970DBB" w:rsidRDefault="007868C0" w:rsidP="00970DBB">
      <w:pPr>
        <w:spacing w:before="0" w:line="240" w:lineRule="auto"/>
      </w:pPr>
      <w:r w:rsidRPr="00970DBB">
        <w:t xml:space="preserve">The Mann–Kendall trend results for mean temperature in </w:t>
      </w:r>
      <w:proofErr w:type="spellStart"/>
      <w:r w:rsidRPr="00970DBB">
        <w:t>Bajhang</w:t>
      </w:r>
      <w:proofErr w:type="spellEnd"/>
      <w:r w:rsidRPr="00970DBB">
        <w:t xml:space="preserve"> (1984–2023), </w:t>
      </w:r>
      <w:r w:rsidR="006122F0" w:rsidRPr="00970DBB">
        <w:t xml:space="preserve">in Appendix 2 </w:t>
      </w:r>
      <w:r w:rsidRPr="00970DBB">
        <w:t>shows that on a monthly scale, statistically significant warming was detected mainly during the monsoon and post-monsoon months (July–December), with the most pronounced increases in September (τ = 0.52, p = 0.000003) and October (τ = 0.41, p = 0.0002) while the early months (January–June) exhibited no significant trends (Appendix 1).</w:t>
      </w:r>
    </w:p>
    <w:p w14:paraId="2D165D6A" w14:textId="2CA4DF2B" w:rsidR="007868C0" w:rsidRPr="00970DBB" w:rsidRDefault="007868C0" w:rsidP="00970DBB">
      <w:pPr>
        <w:spacing w:before="0" w:line="240" w:lineRule="auto"/>
        <w:rPr>
          <w:b/>
          <w:bCs/>
          <w:i/>
        </w:rPr>
      </w:pPr>
      <w:r w:rsidRPr="00970DBB">
        <w:rPr>
          <w:b/>
          <w:i/>
        </w:rPr>
        <w:t xml:space="preserve">Appendix </w:t>
      </w:r>
      <w:r w:rsidR="006122F0" w:rsidRPr="00970DBB">
        <w:rPr>
          <w:b/>
          <w:i/>
        </w:rPr>
        <w:t>2</w:t>
      </w:r>
      <w:r w:rsidRPr="00970DBB">
        <w:rPr>
          <w:b/>
          <w:bCs/>
          <w:i/>
        </w:rPr>
        <w:t xml:space="preserve">. Monthly Mann–Kendall trend results for mean temperature in </w:t>
      </w:r>
      <w:proofErr w:type="spellStart"/>
      <w:r w:rsidRPr="00970DBB">
        <w:rPr>
          <w:b/>
          <w:bCs/>
          <w:i/>
        </w:rPr>
        <w:t>Bajhang</w:t>
      </w:r>
      <w:proofErr w:type="spellEnd"/>
      <w:r w:rsidRPr="00970DBB">
        <w:rPr>
          <w:b/>
          <w:bCs/>
          <w:i/>
        </w:rPr>
        <w:t xml:space="preserve"> (1984–2023), showing trend direction, significance level, and magnitude of change (°C per decade).</w:t>
      </w:r>
    </w:p>
    <w:tbl>
      <w:tblPr>
        <w:tblW w:w="82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10"/>
        <w:gridCol w:w="1335"/>
        <w:gridCol w:w="1110"/>
        <w:gridCol w:w="1170"/>
        <w:gridCol w:w="1305"/>
        <w:gridCol w:w="2265"/>
      </w:tblGrid>
      <w:tr w:rsidR="007868C0" w:rsidRPr="00970DBB" w14:paraId="5DBC0F43" w14:textId="77777777" w:rsidTr="006641BF">
        <w:trPr>
          <w:trHeight w:val="285"/>
        </w:trPr>
        <w:tc>
          <w:tcPr>
            <w:tcW w:w="11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0A7E3A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Month</w:t>
            </w:r>
          </w:p>
        </w:tc>
        <w:tc>
          <w:tcPr>
            <w:tcW w:w="133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99654B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Trend</w:t>
            </w:r>
          </w:p>
        </w:tc>
        <w:tc>
          <w:tcPr>
            <w:tcW w:w="11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CFA924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p-value</w:t>
            </w:r>
          </w:p>
        </w:tc>
        <w:tc>
          <w:tcPr>
            <w:tcW w:w="11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989B13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τ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820F4E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Slope (°C /decade)</w:t>
            </w:r>
          </w:p>
        </w:tc>
        <w:tc>
          <w:tcPr>
            <w:tcW w:w="226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91F04A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Significance Level</w:t>
            </w:r>
          </w:p>
        </w:tc>
      </w:tr>
      <w:tr w:rsidR="007868C0" w:rsidRPr="00970DBB" w14:paraId="47FFE0B3" w14:textId="77777777" w:rsidTr="006641BF">
        <w:trPr>
          <w:trHeight w:val="285"/>
        </w:trPr>
        <w:tc>
          <w:tcPr>
            <w:tcW w:w="1110" w:type="dxa"/>
            <w:tcBorders>
              <w:top w:val="nil"/>
              <w:left w:val="nil"/>
              <w:bottom w:val="nil"/>
              <w:right w:val="single" w:sz="6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A26904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Jan–Jun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A3729A" w14:textId="77777777" w:rsidR="007868C0" w:rsidRPr="00970DBB" w:rsidRDefault="007868C0" w:rsidP="00970DBB">
            <w:pPr>
              <w:spacing w:before="0" w:line="240" w:lineRule="auto"/>
            </w:pPr>
            <w:r w:rsidRPr="00970DBB">
              <w:t>No trend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7067F8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&gt; 0.05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516FD6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0.07–0.19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3C16F2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&lt; 3.2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491038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Not significant</w:t>
            </w:r>
          </w:p>
        </w:tc>
      </w:tr>
      <w:tr w:rsidR="007868C0" w:rsidRPr="00970DBB" w14:paraId="3D49104A" w14:textId="77777777" w:rsidTr="006641BF">
        <w:trPr>
          <w:trHeight w:val="270"/>
        </w:trPr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5C2140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Jul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746625" w14:textId="77777777" w:rsidR="007868C0" w:rsidRPr="00970DBB" w:rsidRDefault="007868C0" w:rsidP="00970DBB">
            <w:pPr>
              <w:spacing w:before="0" w:line="240" w:lineRule="auto"/>
            </w:pPr>
            <w:r w:rsidRPr="00970DBB">
              <w:t>Increasing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7F87BC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0.004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871F86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0.32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D1248E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2.87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74435D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Significant (95%)</w:t>
            </w:r>
          </w:p>
        </w:tc>
      </w:tr>
      <w:tr w:rsidR="007868C0" w:rsidRPr="00970DBB" w14:paraId="5EBD4290" w14:textId="77777777" w:rsidTr="006641BF">
        <w:trPr>
          <w:trHeight w:val="270"/>
        </w:trPr>
        <w:tc>
          <w:tcPr>
            <w:tcW w:w="1110" w:type="dxa"/>
            <w:tcBorders>
              <w:top w:val="nil"/>
              <w:left w:val="nil"/>
              <w:bottom w:val="nil"/>
              <w:right w:val="single" w:sz="6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02C7FE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Aug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BF1E57" w14:textId="77777777" w:rsidR="007868C0" w:rsidRPr="00970DBB" w:rsidRDefault="007868C0" w:rsidP="00970DBB">
            <w:pPr>
              <w:spacing w:before="0" w:line="240" w:lineRule="auto"/>
            </w:pPr>
            <w:r w:rsidRPr="00970DBB">
              <w:t>Increasing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FB9286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0.000007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30EAE2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0.50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AFBAFD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3.66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A5626A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Highly significant (99%)</w:t>
            </w:r>
          </w:p>
        </w:tc>
      </w:tr>
      <w:tr w:rsidR="007868C0" w:rsidRPr="00970DBB" w14:paraId="12736603" w14:textId="77777777" w:rsidTr="006641BF">
        <w:trPr>
          <w:trHeight w:val="270"/>
        </w:trPr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AF8826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Sep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06DA9D" w14:textId="77777777" w:rsidR="007868C0" w:rsidRPr="00970DBB" w:rsidRDefault="007868C0" w:rsidP="00970DBB">
            <w:pPr>
              <w:spacing w:before="0" w:line="240" w:lineRule="auto"/>
            </w:pPr>
            <w:r w:rsidRPr="00970DBB">
              <w:t>Increasing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FDBDD0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0.000003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6782F2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0.52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74219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4.36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4F9E2A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Highly significant (99%)</w:t>
            </w:r>
          </w:p>
        </w:tc>
      </w:tr>
      <w:tr w:rsidR="007868C0" w:rsidRPr="00970DBB" w14:paraId="7CC99F41" w14:textId="77777777" w:rsidTr="006641BF">
        <w:trPr>
          <w:trHeight w:val="270"/>
        </w:trPr>
        <w:tc>
          <w:tcPr>
            <w:tcW w:w="1110" w:type="dxa"/>
            <w:tcBorders>
              <w:top w:val="nil"/>
              <w:left w:val="nil"/>
              <w:bottom w:val="nil"/>
              <w:right w:val="single" w:sz="6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1D2FC4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Oct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BE78A0" w14:textId="77777777" w:rsidR="007868C0" w:rsidRPr="00970DBB" w:rsidRDefault="007868C0" w:rsidP="00970DBB">
            <w:pPr>
              <w:spacing w:before="0" w:line="240" w:lineRule="auto"/>
            </w:pPr>
            <w:r w:rsidRPr="00970DBB">
              <w:t>Increasing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2666DE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0.0002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53D33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0.41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498C3F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5.40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9601A4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Highly significant (99%)</w:t>
            </w:r>
          </w:p>
        </w:tc>
      </w:tr>
      <w:tr w:rsidR="007868C0" w:rsidRPr="00970DBB" w14:paraId="61FC3F5D" w14:textId="77777777" w:rsidTr="006641BF">
        <w:trPr>
          <w:trHeight w:val="270"/>
        </w:trPr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EF8708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Nov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1C3903" w14:textId="77777777" w:rsidR="007868C0" w:rsidRPr="00970DBB" w:rsidRDefault="007868C0" w:rsidP="00970DBB">
            <w:pPr>
              <w:spacing w:before="0" w:line="240" w:lineRule="auto"/>
            </w:pPr>
            <w:r w:rsidRPr="00970DBB">
              <w:t>Increasing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C412A3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0.0013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0BDC4B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0.35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0F045B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4.33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271277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Highly significant (99%)</w:t>
            </w:r>
          </w:p>
        </w:tc>
      </w:tr>
      <w:tr w:rsidR="007868C0" w:rsidRPr="00970DBB" w14:paraId="4562277F" w14:textId="77777777" w:rsidTr="006641BF">
        <w:trPr>
          <w:trHeight w:val="285"/>
        </w:trPr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17AE59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Dec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8864D3" w14:textId="77777777" w:rsidR="007868C0" w:rsidRPr="00970DBB" w:rsidRDefault="007868C0" w:rsidP="00970DBB">
            <w:pPr>
              <w:spacing w:before="0" w:line="240" w:lineRule="auto"/>
            </w:pPr>
            <w:r w:rsidRPr="00970DBB">
              <w:t>Increasing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90B9FC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0.0338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3BCF64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0.23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8FF6CF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3.37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FC47FB" w14:textId="77777777" w:rsidR="007868C0" w:rsidRPr="00970DBB" w:rsidRDefault="007868C0" w:rsidP="00970DBB">
            <w:pPr>
              <w:spacing w:before="0" w:line="240" w:lineRule="auto"/>
              <w:jc w:val="center"/>
            </w:pPr>
            <w:r w:rsidRPr="00970DBB">
              <w:t>Significant (95%)</w:t>
            </w:r>
          </w:p>
        </w:tc>
      </w:tr>
    </w:tbl>
    <w:p w14:paraId="61921FA2" w14:textId="77777777" w:rsidR="007868C0" w:rsidRPr="00970DBB" w:rsidRDefault="007868C0" w:rsidP="00970DBB">
      <w:pPr>
        <w:spacing w:before="0" w:line="240" w:lineRule="auto"/>
        <w:rPr>
          <w:i/>
        </w:rPr>
      </w:pPr>
      <w:r w:rsidRPr="00970DBB">
        <w:rPr>
          <w:b/>
          <w:i/>
        </w:rPr>
        <w:t>Note:</w:t>
      </w:r>
      <w:r w:rsidRPr="00970DBB">
        <w:rPr>
          <w:i/>
        </w:rPr>
        <w:t xml:space="preserve"> τ indicates the strength and direction of the monotonic temperature trend, the slope represents the Sen’s slope (°C /decade), and the p-value denotes the statistical significance of the trend (p &lt; 0.05 significant; p &lt; 0.01 highly significant)</w:t>
      </w:r>
    </w:p>
    <w:p w14:paraId="5B92DF45" w14:textId="77777777" w:rsidR="00970DBB" w:rsidRPr="00970DBB" w:rsidRDefault="00970DBB" w:rsidP="00970DBB">
      <w:pPr>
        <w:spacing w:before="0" w:line="240" w:lineRule="auto"/>
        <w:rPr>
          <w:color w:val="1C1C1C"/>
          <w:sz w:val="25"/>
          <w:szCs w:val="25"/>
          <w:highlight w:val="white"/>
        </w:rPr>
      </w:pPr>
    </w:p>
    <w:p w14:paraId="1A87B342" w14:textId="77777777" w:rsidR="00970DBB" w:rsidRPr="00970DBB" w:rsidRDefault="00970DBB" w:rsidP="00970DBB">
      <w:pPr>
        <w:spacing w:before="0" w:line="240" w:lineRule="auto"/>
        <w:rPr>
          <w:color w:val="1C1C1C"/>
          <w:sz w:val="25"/>
          <w:szCs w:val="25"/>
          <w:highlight w:val="white"/>
        </w:rPr>
      </w:pPr>
    </w:p>
    <w:p w14:paraId="5D0AFE56" w14:textId="77777777" w:rsidR="00970DBB" w:rsidRPr="00970DBB" w:rsidRDefault="00970DBB" w:rsidP="00970DBB">
      <w:pPr>
        <w:spacing w:before="0" w:line="240" w:lineRule="auto"/>
        <w:rPr>
          <w:color w:val="1C1C1C"/>
          <w:sz w:val="25"/>
          <w:szCs w:val="25"/>
          <w:highlight w:val="white"/>
        </w:rPr>
      </w:pPr>
    </w:p>
    <w:p w14:paraId="76EBFCC4" w14:textId="77777777" w:rsidR="00970DBB" w:rsidRPr="00970DBB" w:rsidRDefault="00970DBB" w:rsidP="00970DBB">
      <w:pPr>
        <w:spacing w:before="0" w:line="240" w:lineRule="auto"/>
        <w:rPr>
          <w:color w:val="1C1C1C"/>
          <w:sz w:val="25"/>
          <w:szCs w:val="25"/>
          <w:highlight w:val="white"/>
        </w:rPr>
      </w:pPr>
    </w:p>
    <w:p w14:paraId="5F0CB0AB" w14:textId="77777777" w:rsidR="00970DBB" w:rsidRPr="00970DBB" w:rsidRDefault="00970DBB" w:rsidP="00970DBB">
      <w:pPr>
        <w:spacing w:before="0" w:line="240" w:lineRule="auto"/>
        <w:rPr>
          <w:color w:val="1C1C1C"/>
          <w:sz w:val="25"/>
          <w:szCs w:val="25"/>
          <w:highlight w:val="white"/>
        </w:rPr>
      </w:pPr>
    </w:p>
    <w:p w14:paraId="7FC2549C" w14:textId="77777777" w:rsidR="00970DBB" w:rsidRPr="00970DBB" w:rsidRDefault="00970DBB" w:rsidP="00970DBB">
      <w:pPr>
        <w:spacing w:before="0" w:line="240" w:lineRule="auto"/>
        <w:rPr>
          <w:color w:val="1C1C1C"/>
          <w:sz w:val="25"/>
          <w:szCs w:val="25"/>
          <w:highlight w:val="white"/>
        </w:rPr>
      </w:pPr>
    </w:p>
    <w:p w14:paraId="50939EAD" w14:textId="77777777" w:rsidR="00970DBB" w:rsidRPr="00970DBB" w:rsidRDefault="00970DBB" w:rsidP="00970DBB">
      <w:pPr>
        <w:spacing w:before="0" w:line="240" w:lineRule="auto"/>
        <w:rPr>
          <w:color w:val="1C1C1C"/>
          <w:sz w:val="25"/>
          <w:szCs w:val="25"/>
          <w:highlight w:val="white"/>
        </w:rPr>
      </w:pPr>
    </w:p>
    <w:p w14:paraId="270CE31E" w14:textId="5D34E074" w:rsidR="00970DBB" w:rsidRPr="00970DBB" w:rsidRDefault="00970DBB" w:rsidP="00970DBB">
      <w:pPr>
        <w:spacing w:before="0" w:line="240" w:lineRule="auto"/>
        <w:rPr>
          <w:color w:val="1C1C1C"/>
          <w:sz w:val="25"/>
          <w:szCs w:val="25"/>
          <w:highlight w:val="white"/>
        </w:rPr>
      </w:pPr>
      <w:r w:rsidRPr="00970DBB">
        <w:rPr>
          <w:color w:val="1C1C1C"/>
          <w:sz w:val="25"/>
          <w:szCs w:val="25"/>
          <w:highlight w:val="white"/>
        </w:rPr>
        <w:t>Appendix 3 gives the land use maps for the years 1992 and 2022 that were obtained from the ESA-CCI Land Cover portal. These maps are characterized by a spatial resolution of 300 meters. The classification of land use encompasses 21 detailed categories. Please refer to Table 1 and Figure 1 for detailed information on LULC Statistics and dynamics between 1992 and 2022.</w:t>
      </w:r>
    </w:p>
    <w:p w14:paraId="3471C626" w14:textId="2D2DFC14" w:rsidR="00970DBB" w:rsidRPr="00970DBB" w:rsidRDefault="00970DBB" w:rsidP="00970DBB">
      <w:pPr>
        <w:spacing w:before="0" w:line="240" w:lineRule="auto"/>
        <w:rPr>
          <w:color w:val="1C1C1C"/>
          <w:sz w:val="25"/>
          <w:szCs w:val="25"/>
          <w:highlight w:val="white"/>
        </w:rPr>
      </w:pPr>
      <w:r w:rsidRPr="00970DBB">
        <w:rPr>
          <w:noProof/>
          <w:color w:val="1C1C1C"/>
          <w:sz w:val="25"/>
          <w:szCs w:val="25"/>
          <w:highlight w:val="white"/>
        </w:rPr>
        <w:drawing>
          <wp:inline distT="114300" distB="114300" distL="114300" distR="114300" wp14:anchorId="204F8A02" wp14:editId="1650CEC7">
            <wp:extent cx="5731200" cy="3124200"/>
            <wp:effectExtent l="0" t="0" r="0" b="0"/>
            <wp:docPr id="15" name="image15.png" descr="A screenshot of a map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5.png" descr="A screenshot of a map&#10;&#10;AI-generated content may be incorrect.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124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C50C08" w14:textId="77777777" w:rsidR="00970DBB" w:rsidRPr="00970DBB" w:rsidRDefault="00970DBB" w:rsidP="00970DBB">
      <w:pPr>
        <w:spacing w:before="0" w:after="0" w:line="240" w:lineRule="auto"/>
      </w:pPr>
      <w:r w:rsidRPr="00970DBB">
        <w:t xml:space="preserve">Figure 1. </w:t>
      </w:r>
    </w:p>
    <w:p w14:paraId="155D3F44" w14:textId="0B05E8EA" w:rsidR="00970DBB" w:rsidRPr="00970DBB" w:rsidRDefault="00970DBB" w:rsidP="00970DBB">
      <w:pPr>
        <w:spacing w:before="0" w:line="240" w:lineRule="auto"/>
      </w:pPr>
      <w:r w:rsidRPr="00970DBB"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6D6A50CC" wp14:editId="24D71744">
            <wp:simplePos x="0" y="0"/>
            <wp:positionH relativeFrom="column">
              <wp:posOffset>76835</wp:posOffset>
            </wp:positionH>
            <wp:positionV relativeFrom="paragraph">
              <wp:posOffset>234950</wp:posOffset>
            </wp:positionV>
            <wp:extent cx="5654040" cy="3474720"/>
            <wp:effectExtent l="0" t="0" r="3810" b="0"/>
            <wp:wrapSquare wrapText="bothSides"/>
            <wp:docPr id="10" name="image2.png" descr="A screenshot of a computer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 descr="A screenshot of a computer&#10;&#10;AI-generated content may be incorrect."/>
                    <pic:cNvPicPr preferRelativeResize="0"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3474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0DBB">
        <w:t>Legend</w:t>
      </w:r>
    </w:p>
    <w:p w14:paraId="798843C4" w14:textId="07AB5FBE" w:rsidR="00970DBB" w:rsidRPr="00970DBB" w:rsidRDefault="00970DBB" w:rsidP="00970DBB">
      <w:pPr>
        <w:spacing w:before="0" w:after="0" w:line="240" w:lineRule="auto"/>
        <w:rPr>
          <w:b/>
        </w:rPr>
      </w:pPr>
      <w:r w:rsidRPr="00970DBB">
        <w:rPr>
          <w:b/>
        </w:rPr>
        <w:t>Table 1. LULC Area (</w:t>
      </w:r>
      <w:proofErr w:type="spellStart"/>
      <w:r w:rsidRPr="00970DBB">
        <w:rPr>
          <w:b/>
        </w:rPr>
        <w:t>Sq</w:t>
      </w:r>
      <w:proofErr w:type="spellEnd"/>
      <w:r w:rsidRPr="00970DBB">
        <w:rPr>
          <w:b/>
        </w:rPr>
        <w:t xml:space="preserve"> Km)</w:t>
      </w:r>
    </w:p>
    <w:tbl>
      <w:tblPr>
        <w:tblW w:w="10170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5580"/>
        <w:gridCol w:w="1170"/>
        <w:gridCol w:w="1170"/>
        <w:gridCol w:w="1350"/>
      </w:tblGrid>
      <w:tr w:rsidR="00970DBB" w:rsidRPr="00970DBB" w14:paraId="519B6483" w14:textId="77777777" w:rsidTr="00970DBB">
        <w:trPr>
          <w:trHeight w:val="547"/>
        </w:trPr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C9EF3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LULC code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ACE15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LULC  name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0D491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1992 Area (</w:t>
            </w:r>
            <w:proofErr w:type="spellStart"/>
            <w:r w:rsidRPr="00970DBB">
              <w:t>sq</w:t>
            </w:r>
            <w:proofErr w:type="spellEnd"/>
            <w:r w:rsidRPr="00970DBB">
              <w:t xml:space="preserve"> Km)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7AFD1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2022 Area (</w:t>
            </w:r>
            <w:proofErr w:type="spellStart"/>
            <w:r w:rsidRPr="00970DBB">
              <w:t>sq</w:t>
            </w:r>
            <w:proofErr w:type="spellEnd"/>
            <w:r w:rsidRPr="00970DBB">
              <w:t xml:space="preserve"> Km)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0C968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Difference (1992-2022)</w:t>
            </w:r>
          </w:p>
        </w:tc>
      </w:tr>
      <w:tr w:rsidR="00970DBB" w:rsidRPr="00970DBB" w14:paraId="5EF03A90" w14:textId="77777777" w:rsidTr="00970DBB">
        <w:trPr>
          <w:trHeight w:val="295"/>
        </w:trPr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BC53D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10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A9239" w14:textId="77777777" w:rsidR="00970DBB" w:rsidRPr="00970DBB" w:rsidRDefault="00970DBB" w:rsidP="00970DBB">
            <w:pPr>
              <w:spacing w:before="0" w:after="0" w:line="240" w:lineRule="auto"/>
            </w:pPr>
            <w:proofErr w:type="spellStart"/>
            <w:r w:rsidRPr="00970DBB">
              <w:t>Cropland_rainfed</w:t>
            </w:r>
            <w:proofErr w:type="spellEnd"/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85F1D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185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59D2D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185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B7F51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0</w:t>
            </w:r>
          </w:p>
        </w:tc>
      </w:tr>
      <w:tr w:rsidR="00970DBB" w:rsidRPr="00970DBB" w14:paraId="4044E51A" w14:textId="77777777" w:rsidTr="00970DBB">
        <w:trPr>
          <w:trHeight w:val="232"/>
        </w:trPr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394FB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11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745E3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Herbaceous cover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0F41A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110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14CBB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127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9801F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-17</w:t>
            </w:r>
          </w:p>
        </w:tc>
      </w:tr>
      <w:tr w:rsidR="00970DBB" w:rsidRPr="00970DBB" w14:paraId="6D36A7A6" w14:textId="77777777" w:rsidTr="00970DBB">
        <w:trPr>
          <w:trHeight w:val="295"/>
        </w:trPr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5E6FF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20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B823B" w14:textId="77777777" w:rsidR="00970DBB" w:rsidRPr="00970DBB" w:rsidRDefault="00970DBB" w:rsidP="00970DBB">
            <w:pPr>
              <w:spacing w:before="0" w:after="0" w:line="240" w:lineRule="auto"/>
            </w:pPr>
            <w:proofErr w:type="spellStart"/>
            <w:r w:rsidRPr="00970DBB">
              <w:t>Cropland_irrigated</w:t>
            </w:r>
            <w:proofErr w:type="spellEnd"/>
            <w:r w:rsidRPr="00970DBB">
              <w:t xml:space="preserve"> or post‐flooding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FD0C1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11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81BE2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11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2878A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-1</w:t>
            </w:r>
          </w:p>
        </w:tc>
      </w:tr>
      <w:tr w:rsidR="00970DBB" w:rsidRPr="00970DBB" w14:paraId="34926BE0" w14:textId="77777777" w:rsidTr="00970DBB">
        <w:trPr>
          <w:trHeight w:val="601"/>
        </w:trPr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A886F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30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0F15A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Mosaic cropland (&gt;50%) / natural vegetation (tree, shrub, herbaceous cover) (&lt;50%)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7DA2A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67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9809B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65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7A42F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2</w:t>
            </w:r>
          </w:p>
        </w:tc>
      </w:tr>
      <w:tr w:rsidR="00970DBB" w:rsidRPr="00970DBB" w14:paraId="7522AC7F" w14:textId="77777777" w:rsidTr="00970DBB">
        <w:trPr>
          <w:trHeight w:val="412"/>
        </w:trPr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1512E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40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445A1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Mosaic natural vegetation (tree, shrub, herbaceous cover) (&gt;50%) / cropland (&lt;50%)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FE4F7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166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FA966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148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2ADCE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18</w:t>
            </w:r>
          </w:p>
        </w:tc>
      </w:tr>
      <w:tr w:rsidR="00970DBB" w:rsidRPr="00970DBB" w14:paraId="2B7CA3B6" w14:textId="77777777" w:rsidTr="00970DBB">
        <w:trPr>
          <w:trHeight w:val="286"/>
        </w:trPr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07D4C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50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39B83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Tree cover, broadleaved, evergreen, closed to open (&gt;15%)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1AE54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230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9C022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234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C963D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-4</w:t>
            </w:r>
          </w:p>
        </w:tc>
      </w:tr>
      <w:tr w:rsidR="00970DBB" w:rsidRPr="00970DBB" w14:paraId="15173918" w14:textId="77777777" w:rsidTr="00970DBB">
        <w:trPr>
          <w:trHeight w:val="18"/>
        </w:trPr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15934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60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802CC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Tree cover, broadleaved, deciduous, closed to open (&gt;15%)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01CF4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247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3BC77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243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21CCA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5</w:t>
            </w:r>
          </w:p>
        </w:tc>
      </w:tr>
      <w:tr w:rsidR="00970DBB" w:rsidRPr="00970DBB" w14:paraId="4F3719D2" w14:textId="77777777" w:rsidTr="00970DBB">
        <w:trPr>
          <w:trHeight w:val="18"/>
        </w:trPr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5FAAD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61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E9817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Tree cover, broadleaved, deciduous, closed (&gt;40%)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D6AA6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85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10FEF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85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D356B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0</w:t>
            </w:r>
          </w:p>
        </w:tc>
      </w:tr>
      <w:tr w:rsidR="00970DBB" w:rsidRPr="00970DBB" w14:paraId="541450C8" w14:textId="77777777" w:rsidTr="00970DBB">
        <w:trPr>
          <w:trHeight w:val="18"/>
        </w:trPr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65FDD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lastRenderedPageBreak/>
              <w:t>70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85B35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 xml:space="preserve">Tree cover, </w:t>
            </w:r>
            <w:proofErr w:type="spellStart"/>
            <w:r w:rsidRPr="00970DBB">
              <w:t>needleleaved</w:t>
            </w:r>
            <w:proofErr w:type="spellEnd"/>
            <w:r w:rsidRPr="00970DBB">
              <w:t>, evergreen, closed to open (&gt;15%)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FC364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985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7A393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981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B2CD8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5</w:t>
            </w:r>
          </w:p>
        </w:tc>
      </w:tr>
      <w:tr w:rsidR="00970DBB" w:rsidRPr="00970DBB" w14:paraId="20276E87" w14:textId="77777777" w:rsidTr="00970DBB">
        <w:trPr>
          <w:trHeight w:val="61"/>
        </w:trPr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BDB3B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100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6205B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Mosaic tree and shrub (&gt;50%) / herbaceous cover (&lt;50%)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40631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75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E7C69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75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7B6AB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-1</w:t>
            </w:r>
          </w:p>
        </w:tc>
      </w:tr>
      <w:tr w:rsidR="00970DBB" w:rsidRPr="00970DBB" w14:paraId="1623A9DB" w14:textId="77777777" w:rsidTr="00970DBB">
        <w:trPr>
          <w:trHeight w:val="70"/>
        </w:trPr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7F18F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110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ABD7C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Mosaic herbaceous cover (&gt;50%) / tree and shrub (&lt;50%)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42347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209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A1D7C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213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9C47D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-4</w:t>
            </w:r>
          </w:p>
        </w:tc>
      </w:tr>
      <w:tr w:rsidR="00970DBB" w:rsidRPr="00970DBB" w14:paraId="0AB7CF30" w14:textId="77777777" w:rsidTr="00970DBB">
        <w:trPr>
          <w:trHeight w:val="18"/>
        </w:trPr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8041B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120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27FF0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Shrubland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2E50B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9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99C15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8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5973E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1</w:t>
            </w:r>
          </w:p>
        </w:tc>
      </w:tr>
      <w:tr w:rsidR="00970DBB" w:rsidRPr="00970DBB" w14:paraId="47BF4EE7" w14:textId="77777777" w:rsidTr="00970DBB">
        <w:trPr>
          <w:trHeight w:val="18"/>
        </w:trPr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4179D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130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ABE32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Grassland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F6E09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1110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D4270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1112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A7D22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-2</w:t>
            </w:r>
          </w:p>
        </w:tc>
      </w:tr>
      <w:tr w:rsidR="00970DBB" w:rsidRPr="00970DBB" w14:paraId="3AC4A6B3" w14:textId="77777777" w:rsidTr="00970DBB">
        <w:trPr>
          <w:trHeight w:val="304"/>
        </w:trPr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2CDAF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150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97D47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Sparse vegetation (tree, shrub, herbaceous cover) (&lt;15%)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7EA4E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9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48031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10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680B6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-1</w:t>
            </w:r>
          </w:p>
        </w:tc>
      </w:tr>
      <w:tr w:rsidR="00970DBB" w:rsidRPr="00970DBB" w14:paraId="46924513" w14:textId="77777777" w:rsidTr="00970DBB">
        <w:trPr>
          <w:trHeight w:val="151"/>
        </w:trPr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C000A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180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A3F67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Shrub or herbaceous cover, flooded, fresh/saline/</w:t>
            </w:r>
            <w:proofErr w:type="spellStart"/>
            <w:r w:rsidRPr="00970DBB">
              <w:t>brakish</w:t>
            </w:r>
            <w:proofErr w:type="spellEnd"/>
            <w:r w:rsidRPr="00970DBB">
              <w:t xml:space="preserve"> water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EF5A3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2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22FEC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2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57C67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0</w:t>
            </w:r>
          </w:p>
        </w:tc>
      </w:tr>
      <w:tr w:rsidR="00970DBB" w:rsidRPr="00970DBB" w14:paraId="02772A9C" w14:textId="77777777" w:rsidTr="00970DBB">
        <w:trPr>
          <w:trHeight w:val="18"/>
        </w:trPr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0B294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190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FDF50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Urban areas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6CA2B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0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69FBF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0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B5135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0</w:t>
            </w:r>
          </w:p>
        </w:tc>
      </w:tr>
      <w:tr w:rsidR="00970DBB" w:rsidRPr="00970DBB" w14:paraId="75701509" w14:textId="77777777" w:rsidTr="00970DBB">
        <w:trPr>
          <w:trHeight w:val="187"/>
        </w:trPr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A59AC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200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EDB67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Bare areas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3C694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33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5CC2B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35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6747F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-1</w:t>
            </w:r>
          </w:p>
        </w:tc>
      </w:tr>
      <w:tr w:rsidR="00970DBB" w:rsidRPr="00970DBB" w14:paraId="256C7414" w14:textId="77777777" w:rsidTr="00970DBB">
        <w:trPr>
          <w:trHeight w:val="205"/>
        </w:trPr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3DF7F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201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1F443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Consolidated bare areas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4821C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2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048DB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2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7EDD9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0</w:t>
            </w:r>
          </w:p>
        </w:tc>
      </w:tr>
      <w:tr w:rsidR="00970DBB" w:rsidRPr="00970DBB" w14:paraId="1D1E70C8" w14:textId="77777777" w:rsidTr="00970DBB">
        <w:trPr>
          <w:trHeight w:val="142"/>
        </w:trPr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DD95D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202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8A42B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Unconsolidated bare areas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EE83A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10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FD468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10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483BC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0</w:t>
            </w:r>
          </w:p>
        </w:tc>
      </w:tr>
      <w:tr w:rsidR="00970DBB" w:rsidRPr="00970DBB" w14:paraId="4AAF7539" w14:textId="77777777" w:rsidTr="00970DBB">
        <w:trPr>
          <w:trHeight w:val="18"/>
        </w:trPr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965F3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210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8E515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Water bodies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92D3F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9A2D3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1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869CC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0</w:t>
            </w:r>
          </w:p>
        </w:tc>
      </w:tr>
      <w:tr w:rsidR="00970DBB" w:rsidRPr="00970DBB" w14:paraId="2AFEE6D4" w14:textId="77777777" w:rsidTr="00970DBB">
        <w:trPr>
          <w:trHeight w:val="106"/>
        </w:trPr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0FBCD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220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8B720" w14:textId="77777777" w:rsidR="00970DBB" w:rsidRPr="00970DBB" w:rsidRDefault="00970DBB" w:rsidP="00970DBB">
            <w:pPr>
              <w:spacing w:before="0" w:after="0" w:line="240" w:lineRule="auto"/>
            </w:pPr>
            <w:r w:rsidRPr="00970DBB">
              <w:t>Permanent snow and ice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5FD53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216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4238F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216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4E697" w14:textId="77777777" w:rsidR="00970DBB" w:rsidRPr="00970DBB" w:rsidRDefault="00970DBB" w:rsidP="00970DBB">
            <w:pPr>
              <w:spacing w:before="0" w:after="0" w:line="240" w:lineRule="auto"/>
              <w:jc w:val="center"/>
            </w:pPr>
            <w:r w:rsidRPr="00970DBB">
              <w:t>0</w:t>
            </w:r>
          </w:p>
        </w:tc>
      </w:tr>
    </w:tbl>
    <w:p w14:paraId="0FEA20CB" w14:textId="2D851F9C" w:rsidR="00970DBB" w:rsidRPr="00970DBB" w:rsidRDefault="00970DBB" w:rsidP="00970DBB">
      <w:pPr>
        <w:spacing w:before="0" w:after="0" w:line="240" w:lineRule="auto"/>
      </w:pPr>
      <w:r w:rsidRPr="00970DBB">
        <w:t>To enhance comprehension, we have streamlined the detailed Land Use/Land Cover (LULC) classifications by consolidating them into 12 distinct categories. This merging was based on similarities in characteristics and attributes among the original 21 LULC classes (Table 2).</w:t>
      </w:r>
    </w:p>
    <w:p w14:paraId="1C49FD0E" w14:textId="16A2F794" w:rsidR="00970DBB" w:rsidRPr="00970DBB" w:rsidRDefault="00970DBB" w:rsidP="00970DBB">
      <w:pPr>
        <w:spacing w:before="0" w:after="0" w:line="240" w:lineRule="auto"/>
        <w:rPr>
          <w:b/>
        </w:rPr>
      </w:pPr>
    </w:p>
    <w:p w14:paraId="23F8D40E" w14:textId="671A5F8A" w:rsidR="00970DBB" w:rsidRPr="00970DBB" w:rsidRDefault="00970DBB" w:rsidP="00970DBB">
      <w:pPr>
        <w:spacing w:before="0" w:after="0" w:line="240" w:lineRule="auto"/>
        <w:rPr>
          <w:b/>
        </w:rPr>
      </w:pPr>
      <w:r w:rsidRPr="00970DBB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04F401E7" wp14:editId="04500C05">
            <wp:simplePos x="0" y="0"/>
            <wp:positionH relativeFrom="column">
              <wp:posOffset>-182880</wp:posOffset>
            </wp:positionH>
            <wp:positionV relativeFrom="paragraph">
              <wp:posOffset>241300</wp:posOffset>
            </wp:positionV>
            <wp:extent cx="6393180" cy="6347460"/>
            <wp:effectExtent l="0" t="0" r="7620" b="0"/>
            <wp:wrapSquare wrapText="bothSides"/>
            <wp:docPr id="17" name="image5.png" descr="A screenshot of a computer screen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5.png" descr="A screenshot of a computer screen&#10;&#10;AI-generated content may be incorrect."/>
                    <pic:cNvPicPr preferRelativeResize="0"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3180" cy="63474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0DBB">
        <w:rPr>
          <w:b/>
        </w:rPr>
        <w:t>Table 2. Simplified LULC classes</w:t>
      </w:r>
    </w:p>
    <w:p w14:paraId="424DC33B" w14:textId="77777777" w:rsidR="00970DBB" w:rsidRPr="00970DBB" w:rsidRDefault="00970DBB" w:rsidP="00970DBB">
      <w:pPr>
        <w:spacing w:before="0" w:line="240" w:lineRule="auto"/>
        <w:rPr>
          <w:b/>
        </w:rPr>
      </w:pPr>
      <w:r w:rsidRPr="00970DBB">
        <w:rPr>
          <w:b/>
        </w:rPr>
        <w:t>Table 3. Simplified LULC dynamics</w:t>
      </w:r>
    </w:p>
    <w:p w14:paraId="3C479815" w14:textId="77777777" w:rsidR="00970DBB" w:rsidRPr="00970DBB" w:rsidRDefault="00970DBB" w:rsidP="00970DBB">
      <w:pPr>
        <w:spacing w:before="0" w:line="240" w:lineRule="auto"/>
      </w:pPr>
      <w:r w:rsidRPr="00970DBB">
        <w:rPr>
          <w:noProof/>
        </w:rPr>
        <w:lastRenderedPageBreak/>
        <w:drawing>
          <wp:inline distT="114300" distB="114300" distL="114300" distR="114300" wp14:anchorId="48B289B7" wp14:editId="5BE44234">
            <wp:extent cx="5410200" cy="5000625"/>
            <wp:effectExtent l="0" t="0" r="0" b="0"/>
            <wp:docPr id="13" name="image1.png" descr="A table with different colored number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 descr="A table with different colored numbers&#10;&#10;AI-generated content may be incorrect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000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A23BD1" w14:textId="77777777" w:rsidR="00970DBB" w:rsidRPr="00970DBB" w:rsidRDefault="00970DBB" w:rsidP="00970DBB">
      <w:pPr>
        <w:spacing w:before="0" w:line="240" w:lineRule="auto"/>
        <w:rPr>
          <w:b/>
        </w:rPr>
      </w:pPr>
      <w:r w:rsidRPr="00970DBB">
        <w:rPr>
          <w:b/>
        </w:rPr>
        <w:t xml:space="preserve">Land Use/Land Cover (LULC) Dynamics between 1992 and 2022 in </w:t>
      </w:r>
      <w:proofErr w:type="spellStart"/>
      <w:r w:rsidRPr="00970DBB">
        <w:rPr>
          <w:b/>
        </w:rPr>
        <w:t>Bajhang</w:t>
      </w:r>
      <w:proofErr w:type="spellEnd"/>
      <w:r w:rsidRPr="00970DBB">
        <w:rPr>
          <w:b/>
        </w:rPr>
        <w:t xml:space="preserve"> district, Nepal</w:t>
      </w:r>
    </w:p>
    <w:p w14:paraId="67DD80C3" w14:textId="77777777" w:rsidR="00970DBB" w:rsidRPr="00970DBB" w:rsidRDefault="00970DBB" w:rsidP="00970DBB">
      <w:pPr>
        <w:spacing w:before="0" w:line="240" w:lineRule="auto"/>
      </w:pPr>
      <w:r w:rsidRPr="00970DBB">
        <w:t>The comparative analysis of Land Use/Land Cover (LULC) data from 1992 and 2022 reveals a landscape that has remained largely stable over the past three decades, with only moderate fluctuations across specific classes. A total of twelve LULC categories were evaluated, covering an area of approximately 3,760 km². Minor spatial transitions indicate that land-use pressures and natural processes have been balanced, resulting in a relatively steady land cover configuration.</w:t>
      </w:r>
    </w:p>
    <w:p w14:paraId="37A1AFC0" w14:textId="77777777" w:rsidR="00970DBB" w:rsidRPr="00970DBB" w:rsidRDefault="00970DBB" w:rsidP="00970DBB">
      <w:pPr>
        <w:spacing w:before="0" w:line="240" w:lineRule="auto"/>
        <w:rPr>
          <w:b/>
        </w:rPr>
      </w:pPr>
      <w:r w:rsidRPr="00970DBB">
        <w:rPr>
          <w:b/>
        </w:rPr>
        <w:t>Agricultural Land Dynamics</w:t>
      </w:r>
    </w:p>
    <w:p w14:paraId="50E03CB4" w14:textId="47097123" w:rsidR="00970DBB" w:rsidRPr="00970DBB" w:rsidRDefault="00970DBB" w:rsidP="00970DBB">
      <w:pPr>
        <w:spacing w:before="0" w:line="240" w:lineRule="auto"/>
      </w:pPr>
      <w:r w:rsidRPr="00970DBB">
        <w:t>The analysis indicates a marginal contraction in rainfed cropland, which decreased from 251.4 km² in 1992 to 249.8 km² in 2022 (−0.64%). This minor reduction may reflect a gradual shift in cultivation practices, abandonment of marginal agricultural land, or conversion to other vegetation forms. Conversely, irrigated or post-flooding cropland increased slightly by 0.7 km² (+6.6%), suggesting localized improvements in irrigation infrastructure and water availability</w:t>
      </w:r>
      <w:r w:rsidR="00F625B3">
        <w:t>, especially increased paddy cultivation under submerged condition</w:t>
      </w:r>
      <w:r w:rsidRPr="00970DBB">
        <w:t xml:space="preserve">. These changes, though </w:t>
      </w:r>
      <w:r w:rsidR="00D0288B">
        <w:t xml:space="preserve">very </w:t>
      </w:r>
      <w:r w:rsidRPr="00970DBB">
        <w:t xml:space="preserve">modest, </w:t>
      </w:r>
      <w:r w:rsidRPr="00970DBB">
        <w:lastRenderedPageBreak/>
        <w:t>imply a slow transition toward more controlled agricultural systems or adaptation to climatic variability.</w:t>
      </w:r>
    </w:p>
    <w:p w14:paraId="4585AB11" w14:textId="77777777" w:rsidR="00970DBB" w:rsidRPr="00970DBB" w:rsidRDefault="00970DBB" w:rsidP="00970DBB">
      <w:pPr>
        <w:spacing w:before="0" w:line="240" w:lineRule="auto"/>
        <w:rPr>
          <w:b/>
        </w:rPr>
      </w:pPr>
      <w:r w:rsidRPr="00970DBB">
        <w:rPr>
          <w:b/>
        </w:rPr>
        <w:t>Tree and Vegetation Cover Transitions</w:t>
      </w:r>
    </w:p>
    <w:p w14:paraId="340097AC" w14:textId="77777777" w:rsidR="00970DBB" w:rsidRPr="00970DBB" w:rsidRDefault="00970DBB" w:rsidP="00970DBB">
      <w:pPr>
        <w:spacing w:before="0" w:line="240" w:lineRule="auto"/>
      </w:pPr>
      <w:r w:rsidRPr="00970DBB">
        <w:t>Vegetation-related classes show differentiated patterns. Herbaceous cover recorded a notable gain of 21.2 km² (+6.63%), indicative of either natural regeneration or expansion of grass-dominated communities in previously disturbed or cleared areas. Broadleaved deciduous tree cover declined from 332.5 km² to 327.4 km²</w:t>
      </w:r>
      <w:r w:rsidRPr="00970DBB">
        <w:rPr>
          <w:rFonts w:eastAsia="Gungsuh"/>
        </w:rPr>
        <w:t xml:space="preserve"> (−1.53%), likely reflecting selective clearing or minor canopy degradation. </w:t>
      </w:r>
      <w:r w:rsidRPr="00970DBB">
        <w:t>Broadleaved evergreen forests remained effectively stable, with a negligible decline of 0.7 km²</w:t>
      </w:r>
      <w:r w:rsidRPr="00970DBB">
        <w:rPr>
          <w:rFonts w:eastAsia="Gungsuh"/>
        </w:rPr>
        <w:t xml:space="preserve"> (−0.06%), demonstrating ecological resilience and stability within these forest systems.</w:t>
      </w:r>
    </w:p>
    <w:p w14:paraId="15C77BED" w14:textId="77777777" w:rsidR="00970DBB" w:rsidRPr="00970DBB" w:rsidRDefault="00970DBB" w:rsidP="00970DBB">
      <w:pPr>
        <w:spacing w:before="0" w:line="240" w:lineRule="auto"/>
      </w:pPr>
      <w:r w:rsidRPr="00970DBB">
        <w:t>The mosaic natural vegetation category exhibited a reduction of 17.6 km²</w:t>
      </w:r>
      <w:r w:rsidRPr="00970DBB">
        <w:rPr>
          <w:rFonts w:eastAsia="Gungsuh"/>
        </w:rPr>
        <w:t xml:space="preserve"> (−7.32%), possibly associated with simplification of vegetation structures or conversion to homogeneous grassland or cropland. This pattern suggests gradual landscape homogenization, possibly under moderate anthropogenic influence.</w:t>
      </w:r>
    </w:p>
    <w:p w14:paraId="20E9EFCB" w14:textId="77777777" w:rsidR="00970DBB" w:rsidRPr="00970DBB" w:rsidRDefault="00970DBB" w:rsidP="00970DBB">
      <w:pPr>
        <w:spacing w:before="0" w:line="240" w:lineRule="auto"/>
        <w:rPr>
          <w:b/>
        </w:rPr>
      </w:pPr>
      <w:r w:rsidRPr="00970DBB">
        <w:rPr>
          <w:b/>
        </w:rPr>
        <w:t>Grassland and Shrubland Dynamics</w:t>
      </w:r>
    </w:p>
    <w:p w14:paraId="49A0F72B" w14:textId="77777777" w:rsidR="00970DBB" w:rsidRPr="00970DBB" w:rsidRDefault="00970DBB" w:rsidP="00970DBB">
      <w:pPr>
        <w:spacing w:before="0" w:line="240" w:lineRule="auto"/>
      </w:pPr>
      <w:r w:rsidRPr="00970DBB">
        <w:t>Open vegetation categories remained generally stable. Grassland expanded slightly by 2.1 km² (+0.19%), while shrubland experienced a minor reduction of 0.8 km²</w:t>
      </w:r>
      <w:r w:rsidRPr="00970DBB">
        <w:rPr>
          <w:rFonts w:eastAsia="Gungsuh"/>
        </w:rPr>
        <w:t xml:space="preserve"> (−7.69%). These trends may indicate a subtle successional shift from shrub-dominated to grass-dominated systems, potentially influenced by grazing pressure, fire regimes, or climatic variability.</w:t>
      </w:r>
    </w:p>
    <w:p w14:paraId="398D35BB" w14:textId="77777777" w:rsidR="00D0288B" w:rsidRDefault="00970DBB" w:rsidP="00970DBB">
      <w:pPr>
        <w:spacing w:before="0" w:line="240" w:lineRule="auto"/>
        <w:rPr>
          <w:b/>
        </w:rPr>
      </w:pPr>
      <w:r w:rsidRPr="00970DBB">
        <w:rPr>
          <w:b/>
        </w:rPr>
        <w:t>Built-up</w:t>
      </w:r>
      <w:r w:rsidR="00D0288B">
        <w:rPr>
          <w:b/>
        </w:rPr>
        <w:t xml:space="preserve"> area</w:t>
      </w:r>
    </w:p>
    <w:p w14:paraId="4DCEAF4F" w14:textId="1783E24C" w:rsidR="00D0288B" w:rsidRDefault="00970DBB" w:rsidP="00970DBB">
      <w:pPr>
        <w:spacing w:before="0" w:line="240" w:lineRule="auto"/>
        <w:rPr>
          <w:b/>
        </w:rPr>
      </w:pPr>
      <w:r w:rsidRPr="00970DBB">
        <w:t>The urban area class remained negligible at 0.1 km², suggesting minimal built-up expansion over the 30-year period. Bare areas increased moderately by 2.2 km² (+4.09%), possibly reflecting localized soil exposure, erosion, or vegetation loss in sparsely vegetated zones.</w:t>
      </w:r>
      <w:r w:rsidRPr="00970DBB">
        <w:br/>
      </w:r>
    </w:p>
    <w:sectPr w:rsidR="00D028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C0"/>
    <w:rsid w:val="000A341D"/>
    <w:rsid w:val="000E3C1B"/>
    <w:rsid w:val="00217DC4"/>
    <w:rsid w:val="00254436"/>
    <w:rsid w:val="002B3D6A"/>
    <w:rsid w:val="00330B76"/>
    <w:rsid w:val="00364A95"/>
    <w:rsid w:val="003E0D98"/>
    <w:rsid w:val="003E56A7"/>
    <w:rsid w:val="00524894"/>
    <w:rsid w:val="005809EF"/>
    <w:rsid w:val="00584FDF"/>
    <w:rsid w:val="0059010D"/>
    <w:rsid w:val="006122F0"/>
    <w:rsid w:val="00635A6B"/>
    <w:rsid w:val="006C5996"/>
    <w:rsid w:val="006D155A"/>
    <w:rsid w:val="006D36B8"/>
    <w:rsid w:val="006E3F20"/>
    <w:rsid w:val="00720E4E"/>
    <w:rsid w:val="007868C0"/>
    <w:rsid w:val="00842C58"/>
    <w:rsid w:val="00910C62"/>
    <w:rsid w:val="00970DBB"/>
    <w:rsid w:val="0099148E"/>
    <w:rsid w:val="00A17CE8"/>
    <w:rsid w:val="00B333E7"/>
    <w:rsid w:val="00C4318F"/>
    <w:rsid w:val="00C65ADA"/>
    <w:rsid w:val="00CA57B5"/>
    <w:rsid w:val="00CC58E3"/>
    <w:rsid w:val="00D00F4A"/>
    <w:rsid w:val="00D0288B"/>
    <w:rsid w:val="00D04745"/>
    <w:rsid w:val="00E0136D"/>
    <w:rsid w:val="00E37BBC"/>
    <w:rsid w:val="00EA0664"/>
    <w:rsid w:val="00F625B3"/>
    <w:rsid w:val="00FF1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F9AB21"/>
  <w15:chartTrackingRefBased/>
  <w15:docId w15:val="{E09EE747-A3CB-4748-855C-9C289DE4A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8C0"/>
    <w:pPr>
      <w:spacing w:before="240" w:line="259" w:lineRule="auto"/>
    </w:pPr>
    <w:rPr>
      <w:rFonts w:ascii="Times New Roman" w:hAnsi="Times New Roman" w:cs="Times New Roman"/>
      <w:kern w:val="0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E0D98"/>
    <w:pPr>
      <w:keepNext/>
      <w:keepLines/>
      <w:jc w:val="left"/>
      <w:outlineLvl w:val="0"/>
    </w:pPr>
    <w:rPr>
      <w:rFonts w:eastAsiaTheme="majorEastAsia" w:cstheme="majorBidi"/>
      <w:b/>
      <w:color w:val="E8E8E8" w:themeColor="background2"/>
      <w:kern w:val="2"/>
      <w:szCs w:val="40"/>
      <w:lang w:val="en-US" w:eastAsia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E0D98"/>
    <w:pPr>
      <w:keepNext/>
      <w:keepLines/>
      <w:jc w:val="left"/>
      <w:outlineLvl w:val="1"/>
    </w:pPr>
    <w:rPr>
      <w:rFonts w:eastAsiaTheme="majorEastAsia" w:cstheme="majorBidi"/>
      <w:i/>
      <w:color w:val="000000" w:themeColor="text1"/>
      <w:kern w:val="2"/>
      <w:szCs w:val="32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010D"/>
    <w:pPr>
      <w:keepNext/>
      <w:keepLines/>
      <w:spacing w:before="40" w:after="0"/>
      <w:outlineLvl w:val="2"/>
    </w:pPr>
    <w:rPr>
      <w:rFonts w:eastAsiaTheme="majorEastAsia" w:cstheme="majorBidi"/>
      <w:i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8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8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8C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8C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8C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8C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0D98"/>
    <w:rPr>
      <w:rFonts w:ascii="Times New Roman" w:eastAsiaTheme="majorEastAsia" w:hAnsi="Times New Roman" w:cstheme="majorBidi"/>
      <w:b/>
      <w:color w:val="E8E8E8" w:themeColor="background2"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E0D98"/>
    <w:rPr>
      <w:rFonts w:ascii="Times New Roman" w:eastAsiaTheme="majorEastAsia" w:hAnsi="Times New Roman" w:cstheme="majorBidi"/>
      <w:i/>
      <w:color w:val="000000" w:themeColor="text1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9010D"/>
    <w:rPr>
      <w:rFonts w:ascii="Times New Roman" w:eastAsiaTheme="majorEastAsia" w:hAnsi="Times New Roman" w:cstheme="majorBidi"/>
      <w:i/>
      <w:kern w:val="3"/>
      <w:sz w:val="24"/>
      <w:szCs w:val="24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8C0"/>
    <w:rPr>
      <w:rFonts w:eastAsiaTheme="majorEastAsia" w:cstheme="majorBidi"/>
      <w:i/>
      <w:iCs/>
      <w:color w:val="0F4761" w:themeColor="accent1" w:themeShade="BF"/>
      <w:kern w:val="3"/>
      <w:sz w:val="24"/>
      <w:szCs w:val="20"/>
      <w:lang w:val="en-GB"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8C0"/>
    <w:rPr>
      <w:rFonts w:eastAsiaTheme="majorEastAsia" w:cstheme="majorBidi"/>
      <w:color w:val="0F4761" w:themeColor="accent1" w:themeShade="BF"/>
      <w:kern w:val="3"/>
      <w:sz w:val="24"/>
      <w:szCs w:val="20"/>
      <w:lang w:val="en-GB"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8C0"/>
    <w:rPr>
      <w:rFonts w:eastAsiaTheme="majorEastAsia" w:cstheme="majorBidi"/>
      <w:i/>
      <w:iCs/>
      <w:color w:val="595959" w:themeColor="text1" w:themeTint="A6"/>
      <w:kern w:val="3"/>
      <w:sz w:val="24"/>
      <w:szCs w:val="20"/>
      <w:lang w:val="en-GB"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8C0"/>
    <w:rPr>
      <w:rFonts w:eastAsiaTheme="majorEastAsia" w:cstheme="majorBidi"/>
      <w:color w:val="595959" w:themeColor="text1" w:themeTint="A6"/>
      <w:kern w:val="3"/>
      <w:sz w:val="24"/>
      <w:szCs w:val="20"/>
      <w:lang w:val="en-GB"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8C0"/>
    <w:rPr>
      <w:rFonts w:eastAsiaTheme="majorEastAsia" w:cstheme="majorBidi"/>
      <w:i/>
      <w:iCs/>
      <w:color w:val="272727" w:themeColor="text1" w:themeTint="D8"/>
      <w:kern w:val="3"/>
      <w:sz w:val="24"/>
      <w:szCs w:val="20"/>
      <w:lang w:val="en-GB"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8C0"/>
    <w:rPr>
      <w:rFonts w:eastAsiaTheme="majorEastAsia" w:cstheme="majorBidi"/>
      <w:color w:val="272727" w:themeColor="text1" w:themeTint="D8"/>
      <w:kern w:val="3"/>
      <w:sz w:val="24"/>
      <w:szCs w:val="20"/>
      <w:lang w:val="en-GB"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7868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68C0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8C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68C0"/>
    <w:rPr>
      <w:rFonts w:eastAsiaTheme="majorEastAsia" w:cstheme="majorBidi"/>
      <w:color w:val="595959" w:themeColor="text1" w:themeTint="A6"/>
      <w:spacing w:val="15"/>
      <w:kern w:val="3"/>
      <w:sz w:val="28"/>
      <w:szCs w:val="28"/>
      <w:lang w:val="en-GB"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868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68C0"/>
    <w:rPr>
      <w:rFonts w:ascii="Times New Roman" w:hAnsi="Times New Roman" w:cs="Times New Roman"/>
      <w:i/>
      <w:iCs/>
      <w:color w:val="404040" w:themeColor="text1" w:themeTint="BF"/>
      <w:kern w:val="3"/>
      <w:sz w:val="24"/>
      <w:szCs w:val="20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7868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68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8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8C0"/>
    <w:rPr>
      <w:rFonts w:ascii="Times New Roman" w:hAnsi="Times New Roman" w:cs="Times New Roman"/>
      <w:i/>
      <w:iCs/>
      <w:color w:val="0F4761" w:themeColor="accent1" w:themeShade="BF"/>
      <w:kern w:val="3"/>
      <w:sz w:val="24"/>
      <w:szCs w:val="20"/>
      <w:lang w:val="en-GB"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868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1163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Anindita Sarkar</dc:creator>
  <cp:keywords/>
  <dc:description/>
  <cp:lastModifiedBy>Anindita Sarkar</cp:lastModifiedBy>
  <cp:revision>6</cp:revision>
  <dcterms:created xsi:type="dcterms:W3CDTF">2025-10-10T14:24:00Z</dcterms:created>
  <dcterms:modified xsi:type="dcterms:W3CDTF">2026-01-22T16:05:00Z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4675a812-34b7-4d43-8a0e-b6075df978f4</vt:lpwstr>
  </property>
</Properties>
</file>