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440" w:rsidRPr="001116D7" w:rsidRDefault="00513440" w:rsidP="00513440">
      <w:pPr>
        <w:pStyle w:val="Geenafstand"/>
        <w:spacing w:line="480" w:lineRule="auto"/>
        <w:rPr>
          <w:rFonts w:cs="Arial"/>
          <w:b/>
          <w:sz w:val="24"/>
          <w:lang w:val="en-US"/>
        </w:rPr>
      </w:pPr>
      <w:r>
        <w:rPr>
          <w:rFonts w:cs="Arial"/>
          <w:b/>
          <w:sz w:val="24"/>
          <w:lang w:val="en-US"/>
        </w:rPr>
        <w:t xml:space="preserve">Supplementary </w:t>
      </w:r>
      <w:r w:rsidRPr="00E54AC1">
        <w:rPr>
          <w:rFonts w:cs="Arial"/>
          <w:b/>
          <w:sz w:val="24"/>
          <w:lang w:val="en-US"/>
        </w:rPr>
        <w:t xml:space="preserve">Table </w:t>
      </w:r>
      <w:r>
        <w:rPr>
          <w:rFonts w:cs="Arial"/>
          <w:b/>
          <w:sz w:val="24"/>
          <w:lang w:val="en-US"/>
        </w:rPr>
        <w:t>1.</w:t>
      </w:r>
      <w:r w:rsidRPr="00E54AC1">
        <w:rPr>
          <w:rFonts w:cs="Arial"/>
          <w:b/>
          <w:sz w:val="24"/>
          <w:lang w:val="en-US"/>
        </w:rPr>
        <w:t xml:space="preserve"> Baseline characteristics </w:t>
      </w:r>
      <w:r>
        <w:rPr>
          <w:rFonts w:cs="Arial"/>
          <w:b/>
          <w:sz w:val="24"/>
          <w:lang w:val="en-US"/>
        </w:rPr>
        <w:t>of patients in whom HER2 was tested (n=1524)</w:t>
      </w:r>
    </w:p>
    <w:tbl>
      <w:tblPr>
        <w:tblW w:w="10430" w:type="dxa"/>
        <w:tblInd w:w="-142" w:type="dxa"/>
        <w:tblLook w:val="04A0" w:firstRow="1" w:lastRow="0" w:firstColumn="1" w:lastColumn="0" w:noHBand="0" w:noVBand="1"/>
      </w:tblPr>
      <w:tblGrid>
        <w:gridCol w:w="3118"/>
        <w:gridCol w:w="2494"/>
        <w:gridCol w:w="2324"/>
        <w:gridCol w:w="2494"/>
      </w:tblGrid>
      <w:tr w:rsidR="00513440" w:rsidRPr="00751E13" w:rsidTr="00C5221D">
        <w:trPr>
          <w:trHeight w:val="518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noWrap/>
            <w:vAlign w:val="bottom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noWrap/>
            <w:vAlign w:val="center"/>
            <w:hideMark/>
          </w:tcPr>
          <w:p w:rsidR="00513440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HER2 negative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 xml:space="preserve"> (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=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1035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 xml:space="preserve">) </w:t>
            </w:r>
          </w:p>
          <w:p w:rsidR="00513440" w:rsidRPr="00751E13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o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.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 xml:space="preserve"> (%)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513440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 xml:space="preserve">HER2 positive 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(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=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285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)</w:t>
            </w:r>
          </w:p>
          <w:p w:rsidR="00513440" w:rsidRPr="00751E13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>o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.</w:t>
            </w:r>
            <w:r w:rsidRPr="00AA3690">
              <w:rPr>
                <w:rFonts w:cs="Arial"/>
                <w:b/>
                <w:color w:val="FFFFFF" w:themeColor="background1"/>
                <w:lang w:val="en-US"/>
              </w:rPr>
              <w:t xml:space="preserve"> (%)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513440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HER2 unknown (n=204)</w:t>
            </w:r>
          </w:p>
          <w:p w:rsidR="00513440" w:rsidRPr="00751E13" w:rsidRDefault="00513440" w:rsidP="00C5221D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No. (%)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>ale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748 (72.3%)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225 (78.9%)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156 (76.5%)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 xml:space="preserve">Age (years) </w:t>
            </w:r>
            <w:r w:rsidRPr="00751E13">
              <w:rPr>
                <w:rFonts w:cs="Arial"/>
                <w:lang w:val="en-US"/>
              </w:rPr>
              <w:t>- median (IQR)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63.0 (55.0, 69.0)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63.0 (55.0, 69.0)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63.0 (55.5, 70.0)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 xml:space="preserve">&lt;50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398 (38.5%)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107 (37.5%)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75 (36.8%)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50-64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381 (36.8%)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113 (39.6%)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75 (36.8%)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65-79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238 (23.0%)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61 (21.4%)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50 (24.5%)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≥80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18 (1.7%)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 (2.0%)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 xml:space="preserve">Comorbidities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301 (29.1%)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77 (27.0%)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76 (37.3%)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209 (20.2%)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67 (23.5%)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34 (16.7%)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≥2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238 (23.0%)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76 (26.7%)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37 (18.1%)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Unknown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287 (27.7%)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65 (22.8%)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57 (27.9%)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>Tumor location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Esophageal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339 (32.8%)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159 (55.8%)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72 (35.3%)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Gastroesophageal junction/cardia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228 (22.0%)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53 (18.6%)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45 (22.1%)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Stomach (non-cardia)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468 (45.2%)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73 (25.6%)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87 (42.6%)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>Tumor histology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Adenocarcinoma NOS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rPr>
                <w:rFonts w:eastAsia="Times New Roman" w:cs="Arial"/>
                <w:color w:val="000000"/>
                <w:sz w:val="18"/>
                <w:szCs w:val="18"/>
                <w:lang w:eastAsia="nl-NL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131 (12.7%)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43 (15.1%)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 (13.7%)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Intestinal type adenocarcinoma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rPr>
                <w:rFonts w:eastAsia="Times New Roman" w:cs="Arial"/>
                <w:color w:val="000000"/>
                <w:sz w:val="18"/>
                <w:szCs w:val="18"/>
                <w:lang w:eastAsia="nl-NL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493 (47.6%)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194 (68.1%)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109 (53.4%)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 xml:space="preserve">Diffuse type adenocarcinoma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rPr>
                <w:rFonts w:eastAsia="Times New Roman" w:cs="Arial"/>
                <w:color w:val="000000"/>
                <w:sz w:val="18"/>
                <w:szCs w:val="18"/>
                <w:lang w:eastAsia="nl-NL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351 (33.9%)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35 (12.3%)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59 (28.9%)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Indeterminate type adenocarcinoma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rPr>
                <w:rFonts w:eastAsia="Times New Roman" w:cs="Arial"/>
                <w:color w:val="000000"/>
                <w:sz w:val="18"/>
                <w:szCs w:val="18"/>
                <w:lang w:eastAsia="nl-NL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60 (5.8%)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 (4.6%)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 (3.9%)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 xml:space="preserve">Tumor differentiation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Well differentiated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 (1.2%)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 (2.1%)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 (2.0%)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Moderately differentiated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169 (16.3%)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73 (25.6%)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32 (15.7%)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Poorly differentiated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629 (60.8%)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108 (37.9%)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111 (54.4%)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Unknown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225 (21.7%)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98 (34.4%)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57 (27.9%)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b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>Metastatic sites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589 (56.9%)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132 (46.3%)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93 (45.6%)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≥2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446 (43.1%)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153 (53.7%)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111 (54.4%)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b/>
                <w:lang w:val="en-US"/>
              </w:rPr>
              <w:t>Year of diagnosis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51 (4.9%)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 (2.5%)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 (7.4%)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90 (8.7%)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 (5.3%)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 (7.8%)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123 (11.9%)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 (10.9%)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 (14.2%)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158 (15.3%)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44 (15.4%)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36 (17.6%)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199 (19.2%)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67 (23.5%)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 (14.2%)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242 (23.4%)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47 (16.5%)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47 (23.0%)</w:t>
            </w:r>
          </w:p>
        </w:tc>
      </w:tr>
      <w:tr w:rsidR="00513440" w:rsidRPr="00751E13" w:rsidTr="00C5221D">
        <w:trPr>
          <w:trHeight w:val="298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 w:rsidRPr="00751E13">
              <w:rPr>
                <w:rFonts w:cs="Arial"/>
                <w:lang w:val="en-US"/>
              </w:rPr>
              <w:t>2016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172 (16.6%)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74 (26.0%)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13440" w:rsidRPr="00751E13" w:rsidRDefault="00513440" w:rsidP="00C5221D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32 (15.7%)</w:t>
            </w:r>
          </w:p>
        </w:tc>
      </w:tr>
    </w:tbl>
    <w:p w:rsidR="00513440" w:rsidRPr="009709BD" w:rsidRDefault="00513440" w:rsidP="00513440">
      <w:pPr>
        <w:pStyle w:val="Geenafstand"/>
        <w:spacing w:line="480" w:lineRule="auto"/>
        <w:rPr>
          <w:rFonts w:cs="Arial"/>
          <w:i/>
          <w:lang w:val="en-US"/>
        </w:rPr>
        <w:sectPr w:rsidR="00513440" w:rsidRPr="009709BD" w:rsidSect="00B22780">
          <w:footerReference w:type="default" r:id="rId6"/>
          <w:pgSz w:w="11899" w:h="16838"/>
          <w:pgMar w:top="1440" w:right="1077" w:bottom="1440" w:left="1077" w:header="794" w:footer="794" w:gutter="0"/>
          <w:pgNumType w:start="0"/>
          <w:cols w:space="720"/>
          <w:titlePg/>
          <w:docGrid w:linePitch="326"/>
        </w:sectPr>
      </w:pPr>
      <w:r w:rsidRPr="00BC1325">
        <w:rPr>
          <w:rFonts w:cs="Arial"/>
          <w:i/>
          <w:lang w:val="en-US"/>
        </w:rPr>
        <w:t>Tumor histology and differentiation are based on the primary tumor.</w:t>
      </w:r>
      <w:r>
        <w:rPr>
          <w:rFonts w:cs="Arial"/>
          <w:i/>
          <w:lang w:val="en-US"/>
        </w:rPr>
        <w:t xml:space="preserve"> </w:t>
      </w:r>
      <w:r w:rsidRPr="004E696D">
        <w:rPr>
          <w:rFonts w:cs="Arial"/>
          <w:i/>
          <w:lang w:val="en-US"/>
        </w:rPr>
        <w:t>Diffuse type tumors were classified as poorly differentiated.</w:t>
      </w:r>
      <w:r>
        <w:rPr>
          <w:rFonts w:cs="Arial"/>
          <w:i/>
          <w:lang w:val="en-US"/>
        </w:rPr>
        <w:t xml:space="preserve"> </w:t>
      </w:r>
      <w:r>
        <w:rPr>
          <w:rFonts w:eastAsia="Calibri" w:cs="Arial"/>
          <w:i/>
          <w:szCs w:val="24"/>
          <w:lang w:val="en-US"/>
        </w:rPr>
        <w:t xml:space="preserve">Abbreviations: </w:t>
      </w:r>
      <w:r w:rsidRPr="00BC1325">
        <w:rPr>
          <w:rFonts w:eastAsia="Calibri" w:cs="Arial"/>
          <w:i/>
          <w:szCs w:val="24"/>
          <w:lang w:val="en-US"/>
        </w:rPr>
        <w:t>IQR</w:t>
      </w:r>
      <w:r>
        <w:rPr>
          <w:rFonts w:eastAsia="Calibri" w:cs="Arial"/>
          <w:i/>
          <w:szCs w:val="24"/>
          <w:lang w:val="en-US"/>
        </w:rPr>
        <w:t>,</w:t>
      </w:r>
      <w:r w:rsidRPr="00BC1325">
        <w:rPr>
          <w:rFonts w:eastAsia="Calibri" w:cs="Arial"/>
          <w:i/>
          <w:szCs w:val="24"/>
          <w:lang w:val="en-US"/>
        </w:rPr>
        <w:t xml:space="preserve"> interquartile range; NOS</w:t>
      </w:r>
      <w:r>
        <w:rPr>
          <w:rFonts w:eastAsia="Calibri" w:cs="Arial"/>
          <w:i/>
          <w:szCs w:val="24"/>
          <w:lang w:val="en-US"/>
        </w:rPr>
        <w:t xml:space="preserve">, </w:t>
      </w:r>
      <w:r w:rsidR="009C1695">
        <w:rPr>
          <w:rFonts w:eastAsia="Calibri" w:cs="Arial"/>
          <w:i/>
          <w:szCs w:val="24"/>
          <w:lang w:val="en-US"/>
        </w:rPr>
        <w:t>not otherwise specified.</w:t>
      </w:r>
    </w:p>
    <w:p w:rsidR="007A24B7" w:rsidRPr="001F4BE7" w:rsidRDefault="007A24B7" w:rsidP="007A24B7">
      <w:pPr>
        <w:pStyle w:val="Geenafstand"/>
        <w:spacing w:line="480" w:lineRule="auto"/>
        <w:rPr>
          <w:rFonts w:cs="Arial"/>
          <w:b/>
          <w:color w:val="FF0000"/>
          <w:sz w:val="24"/>
          <w:lang w:val="en-US"/>
        </w:rPr>
      </w:pPr>
      <w:bookmarkStart w:id="0" w:name="_Toc528348488"/>
      <w:r>
        <w:rPr>
          <w:rFonts w:cs="Arial"/>
          <w:b/>
          <w:sz w:val="24"/>
          <w:lang w:val="en-US"/>
        </w:rPr>
        <w:lastRenderedPageBreak/>
        <w:t>Supplementary Table</w:t>
      </w:r>
      <w:r w:rsidRPr="00EB46C6">
        <w:rPr>
          <w:rFonts w:cs="Arial"/>
          <w:b/>
          <w:sz w:val="24"/>
          <w:lang w:val="en-US"/>
        </w:rPr>
        <w:t xml:space="preserve"> </w:t>
      </w:r>
      <w:r>
        <w:rPr>
          <w:rFonts w:cs="Arial"/>
          <w:b/>
          <w:sz w:val="24"/>
          <w:lang w:val="en-US"/>
        </w:rPr>
        <w:t>2.</w:t>
      </w:r>
      <w:r w:rsidRPr="00EB46C6">
        <w:rPr>
          <w:rFonts w:cs="Arial"/>
          <w:b/>
          <w:sz w:val="24"/>
          <w:lang w:val="en-US"/>
        </w:rPr>
        <w:t xml:space="preserve"> HER2 testing methods and results</w:t>
      </w:r>
      <w:bookmarkEnd w:id="0"/>
      <w:r>
        <w:rPr>
          <w:rFonts w:cs="Arial"/>
          <w:b/>
          <w:sz w:val="24"/>
          <w:lang w:val="en-US"/>
        </w:rPr>
        <w:t xml:space="preserve"> </w:t>
      </w:r>
    </w:p>
    <w:p w:rsidR="007A24B7" w:rsidRPr="00EB46C6" w:rsidRDefault="007A24B7" w:rsidP="007A24B7">
      <w:pPr>
        <w:pStyle w:val="Geenafstand"/>
        <w:rPr>
          <w:rFonts w:cs="Arial"/>
          <w:lang w:val="en-US"/>
        </w:rPr>
      </w:pPr>
    </w:p>
    <w:tbl>
      <w:tblPr>
        <w:tblW w:w="109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1243"/>
        <w:gridCol w:w="1361"/>
        <w:gridCol w:w="1871"/>
        <w:gridCol w:w="1474"/>
        <w:gridCol w:w="1361"/>
        <w:gridCol w:w="2324"/>
      </w:tblGrid>
      <w:tr w:rsidR="007A24B7" w:rsidRPr="00AB7B67" w:rsidTr="00EA56C6">
        <w:trPr>
          <w:trHeight w:val="514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595959" w:themeFill="text1" w:themeFillTint="A6"/>
            <w:vAlign w:val="bottom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Reported IHC result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595959" w:themeFill="text1" w:themeFillTint="A6"/>
            <w:vAlign w:val="bottom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>
              <w:rPr>
                <w:rFonts w:cs="Arial"/>
                <w:b/>
                <w:color w:val="FFFFFF" w:themeColor="background1"/>
                <w:lang w:val="en-US"/>
              </w:rPr>
              <w:t>I</w:t>
            </w:r>
            <w:r w:rsidRPr="00AB7B67">
              <w:rPr>
                <w:rFonts w:cs="Arial"/>
                <w:b/>
                <w:color w:val="FFFFFF" w:themeColor="background1"/>
                <w:lang w:val="en-US"/>
              </w:rPr>
              <w:t xml:space="preserve">SH/MLPA 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performed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595959" w:themeFill="text1" w:themeFillTint="A6"/>
            <w:vAlign w:val="bottom"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 xml:space="preserve">Reported HER2 result </w:t>
            </w:r>
          </w:p>
        </w:tc>
        <w:tc>
          <w:tcPr>
            <w:tcW w:w="1871" w:type="dxa"/>
            <w:tcBorders>
              <w:top w:val="nil"/>
              <w:right w:val="nil"/>
            </w:tcBorders>
            <w:shd w:val="clear" w:color="auto" w:fill="595959" w:themeFill="text1" w:themeFillTint="A6"/>
            <w:vAlign w:val="bottom"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HER2 tests* (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B7B67">
              <w:rPr>
                <w:rFonts w:cs="Arial"/>
                <w:b/>
                <w:color w:val="FFFFFF" w:themeColor="background1"/>
                <w:lang w:val="en-US"/>
              </w:rPr>
              <w:t>=1764), No. (%)</w:t>
            </w:r>
          </w:p>
        </w:tc>
        <w:tc>
          <w:tcPr>
            <w:tcW w:w="1474" w:type="dxa"/>
            <w:tcBorders>
              <w:top w:val="nil"/>
              <w:right w:val="nil"/>
            </w:tcBorders>
            <w:shd w:val="clear" w:color="auto" w:fill="595959" w:themeFill="text1" w:themeFillTint="A6"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Clinically unnecessary ISH/MLPA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595959" w:themeFill="text1" w:themeFillTint="A6"/>
            <w:vAlign w:val="bottom"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Interpreted HER2 result</w:t>
            </w:r>
          </w:p>
        </w:tc>
        <w:tc>
          <w:tcPr>
            <w:tcW w:w="2324" w:type="dxa"/>
            <w:tcBorders>
              <w:top w:val="nil"/>
            </w:tcBorders>
            <w:shd w:val="clear" w:color="auto" w:fill="595959" w:themeFill="text1" w:themeFillTint="A6"/>
            <w:vAlign w:val="bottom"/>
          </w:tcPr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HER2 tested patients</w:t>
            </w:r>
            <w:r w:rsidRPr="00AB7B67">
              <w:rPr>
                <w:rFonts w:cs="Arial"/>
                <w:b/>
                <w:color w:val="FFFFFF" w:themeColor="background1"/>
                <w:vertAlign w:val="superscript"/>
                <w:lang w:val="en-US"/>
              </w:rPr>
              <w:t>#</w:t>
            </w:r>
            <w:r w:rsidRPr="00AB7B67">
              <w:rPr>
                <w:rFonts w:cs="Arial"/>
                <w:b/>
                <w:color w:val="FFFFFF" w:themeColor="background1"/>
                <w:lang w:val="en-US"/>
              </w:rPr>
              <w:t xml:space="preserve"> </w:t>
            </w:r>
          </w:p>
          <w:p w:rsidR="007A24B7" w:rsidRPr="00AB7B67" w:rsidRDefault="007A24B7" w:rsidP="00EA56C6">
            <w:pPr>
              <w:pStyle w:val="Geenafstand"/>
              <w:rPr>
                <w:rFonts w:cs="Arial"/>
                <w:b/>
                <w:color w:val="FFFFFF" w:themeColor="background1"/>
                <w:lang w:val="en-US"/>
              </w:rPr>
            </w:pPr>
            <w:r w:rsidRPr="00AB7B67">
              <w:rPr>
                <w:rFonts w:cs="Arial"/>
                <w:b/>
                <w:color w:val="FFFFFF" w:themeColor="background1"/>
                <w:lang w:val="en-US"/>
              </w:rPr>
              <w:t>(</w:t>
            </w:r>
            <w:r>
              <w:rPr>
                <w:rFonts w:cs="Arial"/>
                <w:b/>
                <w:color w:val="FFFFFF" w:themeColor="background1"/>
                <w:lang w:val="en-US"/>
              </w:rPr>
              <w:t>n</w:t>
            </w:r>
            <w:r w:rsidRPr="00AB7B67">
              <w:rPr>
                <w:rFonts w:cs="Arial"/>
                <w:b/>
                <w:color w:val="FFFFFF" w:themeColor="background1"/>
                <w:lang w:val="en-US"/>
              </w:rPr>
              <w:t>=1524), No. (%)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451 (25.6%)</w:t>
            </w:r>
          </w:p>
        </w:tc>
        <w:tc>
          <w:tcPr>
            <w:tcW w:w="147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2324" w:type="dxa"/>
            <w:vMerge w:val="restart"/>
            <w:tcBorders>
              <w:top w:val="nil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49</w:t>
            </w:r>
            <w:r>
              <w:rPr>
                <w:rFonts w:cs="Arial"/>
                <w:lang w:val="en-US"/>
              </w:rPr>
              <w:t>8</w:t>
            </w:r>
            <w:r w:rsidRPr="00AB7B67">
              <w:rPr>
                <w:rFonts w:cs="Arial"/>
                <w:lang w:val="en-US"/>
              </w:rPr>
              <w:t xml:space="preserve"> (32.</w:t>
            </w:r>
            <w:r>
              <w:rPr>
                <w:rFonts w:cs="Arial"/>
                <w:lang w:val="en-US"/>
              </w:rPr>
              <w:t>7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58"/>
        </w:trPr>
        <w:tc>
          <w:tcPr>
            <w:tcW w:w="1276" w:type="dxa"/>
            <w:vMerge/>
            <w:tcBorders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141 (8.0%)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X</w:t>
            </w: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119"/>
        </w:trPr>
        <w:tc>
          <w:tcPr>
            <w:tcW w:w="1276" w:type="dxa"/>
            <w:vMerge w:val="restart"/>
            <w:tcBorders>
              <w:top w:val="single" w:sz="4" w:space="0" w:color="A6A6A6" w:themeColor="background1" w:themeShade="A6"/>
              <w:lef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1+</w:t>
            </w: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21</w:t>
            </w:r>
            <w:r>
              <w:rPr>
                <w:rFonts w:cs="Arial"/>
                <w:lang w:val="en-US"/>
              </w:rPr>
              <w:t>4</w:t>
            </w:r>
            <w:r w:rsidRPr="00AB7B67">
              <w:rPr>
                <w:rFonts w:cs="Arial"/>
                <w:lang w:val="en-US"/>
              </w:rPr>
              <w:t xml:space="preserve"> (12.</w:t>
            </w:r>
            <w:r>
              <w:rPr>
                <w:rFonts w:cs="Arial"/>
                <w:lang w:val="en-US"/>
              </w:rPr>
              <w:t>1</w:t>
            </w:r>
            <w:r w:rsidRPr="00AB7B67">
              <w:rPr>
                <w:rFonts w:cs="Arial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2324" w:type="dxa"/>
            <w:vMerge w:val="restart"/>
            <w:tcBorders>
              <w:top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29</w:t>
            </w:r>
            <w:r>
              <w:rPr>
                <w:rFonts w:cs="Arial"/>
                <w:lang w:val="en-US"/>
              </w:rPr>
              <w:t>9</w:t>
            </w:r>
            <w:r w:rsidRPr="00AB7B67">
              <w:rPr>
                <w:rFonts w:cs="Arial"/>
                <w:lang w:val="en-US"/>
              </w:rPr>
              <w:t xml:space="preserve"> (19</w:t>
            </w:r>
            <w:r>
              <w:rPr>
                <w:rFonts w:cs="Arial"/>
                <w:lang w:val="en-US"/>
              </w:rPr>
              <w:t>.6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1</w:t>
            </w:r>
            <w:r>
              <w:rPr>
                <w:rFonts w:cs="Arial"/>
                <w:lang w:val="en-US"/>
              </w:rPr>
              <w:t>28</w:t>
            </w:r>
            <w:r w:rsidRPr="00AB7B67">
              <w:rPr>
                <w:rFonts w:cs="Arial"/>
                <w:lang w:val="en-US"/>
              </w:rPr>
              <w:t xml:space="preserve"> (7.3%)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X</w:t>
            </w: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(0.1%)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X</w:t>
            </w: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74"/>
        </w:trPr>
        <w:tc>
          <w:tcPr>
            <w:tcW w:w="1276" w:type="dxa"/>
            <w:vMerge w:val="restart"/>
            <w:tcBorders>
              <w:top w:val="single" w:sz="4" w:space="0" w:color="A6A6A6" w:themeColor="background1" w:themeShade="A6"/>
              <w:left w:val="nil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2+</w:t>
            </w: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269 (15.2%)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232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2</w:t>
            </w:r>
            <w:r>
              <w:rPr>
                <w:rFonts w:cs="Arial"/>
                <w:lang w:val="en-US"/>
              </w:rPr>
              <w:t>38</w:t>
            </w:r>
            <w:r w:rsidRPr="00AB7B67">
              <w:rPr>
                <w:rFonts w:cs="Arial"/>
                <w:lang w:val="en-US"/>
              </w:rPr>
              <w:t xml:space="preserve"> (</w:t>
            </w:r>
            <w:r>
              <w:rPr>
                <w:rFonts w:cs="Arial"/>
                <w:lang w:val="en-US"/>
              </w:rPr>
              <w:t>15.6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lang w:val="en-US"/>
              </w:rPr>
              <w:t xml:space="preserve">Yes 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80</w:t>
            </w:r>
            <w:r w:rsidRPr="00AB7B67">
              <w:rPr>
                <w:rFonts w:cs="Arial"/>
                <w:lang w:val="en-US"/>
              </w:rPr>
              <w:t xml:space="preserve"> (4.5%)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Positive</w:t>
            </w:r>
          </w:p>
        </w:tc>
        <w:tc>
          <w:tcPr>
            <w:tcW w:w="232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7</w:t>
            </w:r>
            <w:r>
              <w:rPr>
                <w:rFonts w:cs="Arial"/>
                <w:lang w:val="en-US"/>
              </w:rPr>
              <w:t>3</w:t>
            </w:r>
            <w:r w:rsidRPr="00AB7B67">
              <w:rPr>
                <w:rFonts w:cs="Arial"/>
                <w:lang w:val="en-US"/>
              </w:rPr>
              <w:t xml:space="preserve"> (4.</w:t>
            </w:r>
            <w:r>
              <w:rPr>
                <w:rFonts w:cs="Arial"/>
                <w:lang w:val="en-US"/>
              </w:rPr>
              <w:t>8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6 (0.</w:t>
            </w:r>
            <w:r>
              <w:rPr>
                <w:rFonts w:cs="Arial"/>
                <w:lang w:val="en-US"/>
              </w:rPr>
              <w:t>2</w:t>
            </w:r>
            <w:r w:rsidRPr="00AB7B67">
              <w:rPr>
                <w:rFonts w:cs="Arial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232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3 (0.2%)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2324" w:type="dxa"/>
            <w:vMerge w:val="restart"/>
            <w:tcBorders>
              <w:top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</w:t>
            </w:r>
            <w:r w:rsidRPr="00AB7B67">
              <w:rPr>
                <w:rFonts w:cs="Arial"/>
                <w:lang w:val="en-US"/>
              </w:rPr>
              <w:t xml:space="preserve"> (0.</w:t>
            </w:r>
            <w:r>
              <w:rPr>
                <w:rFonts w:cs="Arial"/>
                <w:lang w:val="en-US"/>
              </w:rPr>
              <w:t>3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(0.1%)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</w:t>
            </w:r>
            <w:r w:rsidRPr="00AB7B67">
              <w:rPr>
                <w:rFonts w:cs="Arial"/>
                <w:lang w:val="en-US"/>
              </w:rPr>
              <w:t xml:space="preserve"> (0.</w:t>
            </w:r>
            <w:r>
              <w:rPr>
                <w:rFonts w:cs="Arial"/>
                <w:lang w:val="en-US"/>
              </w:rPr>
              <w:t>3</w:t>
            </w:r>
            <w:r w:rsidRPr="00AB7B67">
              <w:rPr>
                <w:rFonts w:cs="Arial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 w:val="restart"/>
            <w:tcBorders>
              <w:top w:val="single" w:sz="4" w:space="0" w:color="A6A6A6" w:themeColor="background1" w:themeShade="A6"/>
              <w:lef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3+</w:t>
            </w: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1 (0.1%)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2324" w:type="dxa"/>
            <w:vMerge w:val="restart"/>
            <w:tcBorders>
              <w:top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21</w:t>
            </w:r>
            <w:r>
              <w:rPr>
                <w:rFonts w:cs="Arial"/>
                <w:lang w:val="en-US"/>
              </w:rPr>
              <w:t>2</w:t>
            </w:r>
            <w:r w:rsidRPr="00AB7B67">
              <w:rPr>
                <w:rFonts w:cs="Arial"/>
                <w:lang w:val="en-US"/>
              </w:rPr>
              <w:t xml:space="preserve"> (13.</w:t>
            </w:r>
            <w:r>
              <w:rPr>
                <w:rFonts w:cs="Arial"/>
                <w:lang w:val="en-US"/>
              </w:rPr>
              <w:t>9</w:t>
            </w:r>
            <w:r w:rsidRPr="00AB7B67">
              <w:rPr>
                <w:rFonts w:cs="Arial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107</w:t>
            </w:r>
            <w:r w:rsidRPr="00AB7B67">
              <w:rPr>
                <w:rFonts w:cs="Arial"/>
                <w:lang w:val="en-US"/>
              </w:rPr>
              <w:t xml:space="preserve"> (6.1%)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2 (0.1%)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X</w:t>
            </w: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125</w:t>
            </w:r>
            <w:r w:rsidRPr="00AB7B67">
              <w:rPr>
                <w:rFonts w:cs="Arial"/>
                <w:lang w:val="en-US"/>
              </w:rPr>
              <w:t xml:space="preserve"> (</w:t>
            </w:r>
            <w:r>
              <w:rPr>
                <w:rFonts w:cs="Arial"/>
                <w:lang w:val="en-US"/>
              </w:rPr>
              <w:t>7</w:t>
            </w:r>
            <w:r w:rsidRPr="00AB7B67">
              <w:rPr>
                <w:rFonts w:cs="Arial"/>
                <w:lang w:val="en-US"/>
              </w:rPr>
              <w:t>.</w:t>
            </w:r>
            <w:r>
              <w:rPr>
                <w:rFonts w:cs="Arial"/>
                <w:lang w:val="en-US"/>
              </w:rPr>
              <w:t>1</w:t>
            </w:r>
            <w:r w:rsidRPr="00AB7B67">
              <w:rPr>
                <w:rFonts w:cs="Arial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  <w:r w:rsidRPr="00AB7B67">
              <w:rPr>
                <w:rFonts w:cs="Arial"/>
                <w:lang w:val="en-US"/>
              </w:rPr>
              <w:t>X</w:t>
            </w: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 w:val="restart"/>
            <w:tcBorders>
              <w:top w:val="single" w:sz="4" w:space="0" w:color="A6A6A6" w:themeColor="background1" w:themeShade="A6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1</w:t>
            </w:r>
            <w:r>
              <w:rPr>
                <w:rFonts w:cs="Arial"/>
                <w:color w:val="000000"/>
                <w:lang w:val="en-US"/>
              </w:rPr>
              <w:t>07</w:t>
            </w:r>
            <w:r w:rsidRPr="00AB7B67">
              <w:rPr>
                <w:rFonts w:cs="Arial"/>
                <w:color w:val="000000"/>
                <w:lang w:val="en-US"/>
              </w:rPr>
              <w:t xml:space="preserve"> (6.</w:t>
            </w:r>
            <w:r>
              <w:rPr>
                <w:rFonts w:cs="Arial"/>
                <w:color w:val="000000"/>
                <w:lang w:val="en-US"/>
              </w:rPr>
              <w:t>1</w:t>
            </w:r>
            <w:r w:rsidRPr="00AB7B67">
              <w:rPr>
                <w:rFonts w:cs="Arial"/>
                <w:color w:val="000000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Unknown</w:t>
            </w:r>
          </w:p>
        </w:tc>
        <w:tc>
          <w:tcPr>
            <w:tcW w:w="2324" w:type="dxa"/>
            <w:vMerge w:val="restart"/>
            <w:tcBorders>
              <w:top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196</w:t>
            </w:r>
            <w:r w:rsidRPr="00AB7B67">
              <w:rPr>
                <w:rFonts w:cs="Arial"/>
                <w:color w:val="000000"/>
                <w:lang w:val="en-US"/>
              </w:rPr>
              <w:t xml:space="preserve"> (</w:t>
            </w:r>
            <w:r>
              <w:rPr>
                <w:rFonts w:cs="Arial"/>
                <w:color w:val="000000"/>
                <w:lang w:val="en-US"/>
              </w:rPr>
              <w:t>12.9</w:t>
            </w:r>
            <w:r w:rsidRPr="00AB7B67">
              <w:rPr>
                <w:rFonts w:cs="Arial"/>
                <w:color w:val="000000"/>
                <w:lang w:val="en-US"/>
              </w:rPr>
              <w:t>%)</w:t>
            </w: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23 (1.3%)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</w:tcBorders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324" w:type="dxa"/>
            <w:vMerge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</w:tr>
      <w:tr w:rsidR="007A24B7" w:rsidRPr="00AB7B67" w:rsidTr="00EA56C6">
        <w:trPr>
          <w:trHeight w:val="283"/>
        </w:trPr>
        <w:tc>
          <w:tcPr>
            <w:tcW w:w="1276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Negative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7</w:t>
            </w:r>
            <w:r>
              <w:rPr>
                <w:rFonts w:cs="Arial"/>
                <w:color w:val="000000"/>
                <w:lang w:val="en-US"/>
              </w:rPr>
              <w:t>4</w:t>
            </w:r>
            <w:r w:rsidRPr="00AB7B67">
              <w:rPr>
                <w:rFonts w:cs="Arial"/>
                <w:color w:val="000000"/>
                <w:lang w:val="en-US"/>
              </w:rPr>
              <w:t xml:space="preserve"> (4.</w:t>
            </w:r>
            <w:r>
              <w:rPr>
                <w:rFonts w:cs="Arial"/>
                <w:color w:val="000000"/>
                <w:lang w:val="en-US"/>
              </w:rPr>
              <w:t>2</w:t>
            </w:r>
            <w:r w:rsidRPr="00AB7B67">
              <w:rPr>
                <w:rFonts w:cs="Arial"/>
                <w:color w:val="000000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324" w:type="dxa"/>
            <w:vMerge/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</w:tr>
      <w:tr w:rsidR="007A24B7" w:rsidRPr="00AB7B67" w:rsidTr="00EA56C6">
        <w:trPr>
          <w:trHeight w:val="216"/>
        </w:trPr>
        <w:tc>
          <w:tcPr>
            <w:tcW w:w="1276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Positive</w:t>
            </w:r>
          </w:p>
        </w:tc>
        <w:tc>
          <w:tcPr>
            <w:tcW w:w="18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  <w:r w:rsidRPr="00AB7B67">
              <w:rPr>
                <w:rFonts w:cs="Arial"/>
                <w:color w:val="000000"/>
                <w:lang w:val="en-US"/>
              </w:rPr>
              <w:t>2</w:t>
            </w:r>
            <w:r>
              <w:rPr>
                <w:rFonts w:cs="Arial"/>
                <w:color w:val="000000"/>
                <w:lang w:val="en-US"/>
              </w:rPr>
              <w:t>3</w:t>
            </w:r>
            <w:r w:rsidRPr="00AB7B67">
              <w:rPr>
                <w:rFonts w:cs="Arial"/>
                <w:color w:val="000000"/>
                <w:lang w:val="en-US"/>
              </w:rPr>
              <w:t xml:space="preserve"> (1.</w:t>
            </w:r>
            <w:r>
              <w:rPr>
                <w:rFonts w:cs="Arial"/>
                <w:color w:val="000000"/>
                <w:lang w:val="en-US"/>
              </w:rPr>
              <w:t>3</w:t>
            </w:r>
            <w:r w:rsidRPr="00AB7B67">
              <w:rPr>
                <w:rFonts w:cs="Arial"/>
                <w:color w:val="000000"/>
                <w:lang w:val="en-US"/>
              </w:rPr>
              <w:t>%)</w:t>
            </w:r>
          </w:p>
        </w:tc>
        <w:tc>
          <w:tcPr>
            <w:tcW w:w="1474" w:type="dxa"/>
            <w:tcBorders>
              <w:top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6A6A6" w:themeColor="background1" w:themeShade="A6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24B7" w:rsidRPr="00AB7B67" w:rsidRDefault="007A24B7" w:rsidP="00EA56C6">
            <w:pPr>
              <w:pStyle w:val="Geenafstand"/>
              <w:rPr>
                <w:rFonts w:cs="Arial"/>
                <w:color w:val="000000"/>
                <w:lang w:val="en-US"/>
              </w:rPr>
            </w:pPr>
          </w:p>
        </w:tc>
      </w:tr>
    </w:tbl>
    <w:p w:rsidR="007A24B7" w:rsidRPr="001268F6" w:rsidRDefault="007A24B7" w:rsidP="007A24B7">
      <w:pPr>
        <w:pStyle w:val="Geenafstand"/>
        <w:spacing w:line="480" w:lineRule="auto"/>
        <w:rPr>
          <w:rFonts w:cs="Arial"/>
          <w:i/>
          <w:lang w:val="en-US"/>
        </w:rPr>
      </w:pPr>
    </w:p>
    <w:p w:rsidR="007A24B7" w:rsidRPr="001268F6" w:rsidRDefault="007A24B7" w:rsidP="007A24B7">
      <w:pPr>
        <w:pStyle w:val="Geenafstand"/>
        <w:spacing w:line="480" w:lineRule="auto"/>
        <w:rPr>
          <w:rFonts w:cs="Arial"/>
          <w:i/>
          <w:lang w:val="en-US"/>
        </w:rPr>
      </w:pPr>
      <w:r w:rsidRPr="001268F6">
        <w:rPr>
          <w:rFonts w:cs="Arial"/>
          <w:i/>
          <w:lang w:val="en-US"/>
        </w:rPr>
        <w:t>IHC results that were reported to be 0-1+ or 1+ were scored as 1+, and 0-2+, 1-2+, 2+, or 2-3+ as 2+.</w:t>
      </w:r>
    </w:p>
    <w:p w:rsidR="007A24B7" w:rsidRPr="001268F6" w:rsidRDefault="007A24B7" w:rsidP="007A24B7">
      <w:pPr>
        <w:pStyle w:val="Geenafstand"/>
        <w:spacing w:line="480" w:lineRule="auto"/>
        <w:rPr>
          <w:rFonts w:cs="Arial"/>
          <w:i/>
          <w:lang w:val="en-US"/>
        </w:rPr>
      </w:pPr>
      <w:r w:rsidRPr="001268F6">
        <w:rPr>
          <w:rFonts w:cs="Arial"/>
          <w:i/>
          <w:lang w:val="en-US"/>
        </w:rPr>
        <w:t>*All HER2 tests that were performed. HER2 assessments that were performed as part of a study were not included, since these often include both IHC and ISH, regardless of the IHC result.</w:t>
      </w:r>
      <w:r>
        <w:rPr>
          <w:rFonts w:cs="Arial"/>
          <w:i/>
          <w:lang w:val="en-US"/>
        </w:rPr>
        <w:t xml:space="preserve"> </w:t>
      </w:r>
    </w:p>
    <w:p w:rsidR="007A24B7" w:rsidRPr="001268F6" w:rsidRDefault="007A24B7" w:rsidP="007A24B7">
      <w:pPr>
        <w:pStyle w:val="Geenafstand"/>
        <w:spacing w:line="480" w:lineRule="auto"/>
        <w:rPr>
          <w:rFonts w:cs="Arial"/>
          <w:i/>
          <w:lang w:val="en-US"/>
        </w:rPr>
      </w:pPr>
      <w:r w:rsidRPr="001268F6">
        <w:rPr>
          <w:rFonts w:cs="Arial"/>
          <w:i/>
          <w:vertAlign w:val="superscript"/>
          <w:lang w:val="en-US"/>
        </w:rPr>
        <w:t>#</w:t>
      </w:r>
      <w:r w:rsidRPr="001268F6">
        <w:rPr>
          <w:rFonts w:cs="Arial"/>
          <w:i/>
          <w:lang w:val="en-US"/>
        </w:rPr>
        <w:t xml:space="preserve">If HER2 was tested multiple times, the last test result that was performed with a maximum of 31 days after start of systemic treatment is displayed. </w:t>
      </w:r>
      <w:r w:rsidRPr="001268F6">
        <w:rPr>
          <w:rFonts w:eastAsia="Calibri" w:cs="Arial"/>
          <w:i/>
          <w:lang w:val="en-US"/>
        </w:rPr>
        <w:t>Abbreviations: IHC, immunohistochemistry; ISH, in situ hybridization; MLPA, multiplex ligation-dependent probe amplification.</w:t>
      </w:r>
      <w:r w:rsidRPr="001268F6">
        <w:rPr>
          <w:rFonts w:cs="Arial"/>
          <w:i/>
          <w:lang w:val="en-US"/>
        </w:rPr>
        <w:t xml:space="preserve"> </w:t>
      </w:r>
    </w:p>
    <w:p w:rsidR="007A24B7" w:rsidRPr="00AF37B2" w:rsidRDefault="007A24B7" w:rsidP="007A24B7">
      <w:pPr>
        <w:rPr>
          <w:lang w:val="en-US"/>
        </w:rPr>
      </w:pPr>
    </w:p>
    <w:p w:rsidR="00370785" w:rsidRPr="009C1695" w:rsidRDefault="00370785" w:rsidP="009C1695">
      <w:pPr>
        <w:jc w:val="center"/>
        <w:rPr>
          <w:lang w:val="en-US"/>
        </w:rPr>
      </w:pPr>
      <w:bookmarkStart w:id="1" w:name="_GoBack"/>
      <w:bookmarkEnd w:id="1"/>
    </w:p>
    <w:sectPr w:rsidR="00370785" w:rsidRPr="009C1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A24B7">
      <w:pPr>
        <w:spacing w:after="0"/>
      </w:pPr>
      <w:r>
        <w:separator/>
      </w:r>
    </w:p>
  </w:endnote>
  <w:endnote w:type="continuationSeparator" w:id="0">
    <w:p w:rsidR="00000000" w:rsidRDefault="007A24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C30" w:rsidRPr="00722819" w:rsidRDefault="009C1695" w:rsidP="00B22780">
    <w:pPr>
      <w:pStyle w:val="Voettekst"/>
      <w:tabs>
        <w:tab w:val="center" w:pos="4962"/>
        <w:tab w:val="right" w:pos="9923"/>
      </w:tabs>
      <w:rPr>
        <w:sz w:val="20"/>
      </w:rPr>
    </w:pPr>
    <w:r>
      <w:tab/>
    </w:r>
    <w:r w:rsidRPr="00722819">
      <w:rPr>
        <w:sz w:val="20"/>
      </w:rPr>
      <w:t xml:space="preserve">– </w:t>
    </w:r>
    <w:r w:rsidRPr="00722819">
      <w:rPr>
        <w:rStyle w:val="Paginanummer"/>
        <w:sz w:val="20"/>
      </w:rPr>
      <w:fldChar w:fldCharType="begin"/>
    </w:r>
    <w:r w:rsidRPr="00722819">
      <w:rPr>
        <w:rStyle w:val="Paginanummer"/>
        <w:sz w:val="20"/>
      </w:rPr>
      <w:instrText xml:space="preserve"> PAGE </w:instrText>
    </w:r>
    <w:r w:rsidRPr="00722819">
      <w:rPr>
        <w:rStyle w:val="Paginanummer"/>
        <w:sz w:val="20"/>
      </w:rPr>
      <w:fldChar w:fldCharType="separate"/>
    </w:r>
    <w:r w:rsidR="007A24B7">
      <w:rPr>
        <w:rStyle w:val="Paginanummer"/>
        <w:noProof/>
        <w:sz w:val="20"/>
      </w:rPr>
      <w:t>1</w:t>
    </w:r>
    <w:r w:rsidRPr="00722819">
      <w:rPr>
        <w:rStyle w:val="Paginanummer"/>
        <w:sz w:val="20"/>
      </w:rPr>
      <w:fldChar w:fldCharType="end"/>
    </w:r>
    <w:r w:rsidRPr="00722819">
      <w:rPr>
        <w:rStyle w:val="Paginanummer"/>
        <w:sz w:val="20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A24B7">
      <w:pPr>
        <w:spacing w:after="0"/>
      </w:pPr>
      <w:r>
        <w:separator/>
      </w:r>
    </w:p>
  </w:footnote>
  <w:footnote w:type="continuationSeparator" w:id="0">
    <w:p w:rsidR="00000000" w:rsidRDefault="007A24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40"/>
    <w:rsid w:val="00031730"/>
    <w:rsid w:val="00370785"/>
    <w:rsid w:val="00513440"/>
    <w:rsid w:val="006938D2"/>
    <w:rsid w:val="007A24B7"/>
    <w:rsid w:val="009C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97DC8-DB87-4C3E-A530-5A0ADE5D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3440"/>
    <w:pPr>
      <w:spacing w:after="200"/>
    </w:pPr>
    <w:rPr>
      <w:rFonts w:ascii="Arial" w:hAnsi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513440"/>
    <w:pPr>
      <w:spacing w:after="0"/>
    </w:pPr>
    <w:rPr>
      <w:rFonts w:eastAsiaTheme="minorEastAsia" w:cstheme="minorBidi"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13440"/>
    <w:rPr>
      <w:rFonts w:ascii="Arial" w:eastAsiaTheme="minorEastAsia" w:hAnsi="Arial" w:cstheme="minorBidi"/>
    </w:rPr>
  </w:style>
  <w:style w:type="paragraph" w:styleId="Voettekst">
    <w:name w:val="footer"/>
    <w:basedOn w:val="Standaard"/>
    <w:link w:val="VoettekstChar"/>
    <w:unhideWhenUsed/>
    <w:rsid w:val="00513440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513440"/>
    <w:rPr>
      <w:rFonts w:ascii="Arial" w:hAnsi="Arial"/>
      <w:sz w:val="22"/>
      <w:szCs w:val="22"/>
    </w:rPr>
  </w:style>
  <w:style w:type="character" w:styleId="Paginanummer">
    <w:name w:val="page number"/>
    <w:basedOn w:val="Standaardalinea-lettertype"/>
    <w:unhideWhenUsed/>
    <w:rsid w:val="00513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Dijksterhuis, W.P.M. (Willemieke)</dc:creator>
  <cp:keywords/>
  <dc:description/>
  <cp:lastModifiedBy>Dijksterhuis, W.P.M. (Willemieke)</cp:lastModifiedBy>
  <cp:revision>3</cp:revision>
  <dcterms:created xsi:type="dcterms:W3CDTF">2019-07-29T06:42:00Z</dcterms:created>
  <dcterms:modified xsi:type="dcterms:W3CDTF">2019-07-31T12:13:00Z</dcterms:modified>
</cp:coreProperties>
</file>