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05AD9A" w14:textId="33834088" w:rsidR="00610E4C" w:rsidRPr="004015D3" w:rsidRDefault="00464715" w:rsidP="003B72EF">
      <w:pPr>
        <w:spacing w:after="0" w:line="240" w:lineRule="auto"/>
        <w:ind w:right="-709"/>
        <w:rPr>
          <w:rFonts w:cs="Arial"/>
          <w:b/>
          <w:sz w:val="22"/>
          <w:szCs w:val="22"/>
          <w:lang w:val="en-US"/>
        </w:rPr>
      </w:pPr>
      <w:r w:rsidRPr="004015D3">
        <w:rPr>
          <w:rFonts w:cs="Arial"/>
          <w:b/>
          <w:sz w:val="22"/>
          <w:szCs w:val="22"/>
          <w:lang w:val="en-US"/>
        </w:rPr>
        <w:t xml:space="preserve">Annex </w:t>
      </w:r>
      <w:r w:rsidR="0032066D" w:rsidRPr="004015D3">
        <w:rPr>
          <w:rFonts w:cs="Arial"/>
          <w:b/>
          <w:sz w:val="22"/>
          <w:szCs w:val="22"/>
          <w:lang w:val="en-US"/>
        </w:rPr>
        <w:t xml:space="preserve">Table </w:t>
      </w:r>
      <w:r w:rsidR="009105DC" w:rsidRPr="004015D3">
        <w:rPr>
          <w:rFonts w:cs="Arial"/>
          <w:b/>
          <w:sz w:val="22"/>
          <w:szCs w:val="22"/>
          <w:lang w:val="en-US"/>
        </w:rPr>
        <w:t>3</w:t>
      </w:r>
      <w:r w:rsidR="0032066D" w:rsidRPr="004015D3">
        <w:rPr>
          <w:rFonts w:cs="Arial"/>
          <w:b/>
          <w:sz w:val="22"/>
          <w:szCs w:val="22"/>
          <w:lang w:val="en-US"/>
        </w:rPr>
        <w:t xml:space="preserve"> </w:t>
      </w:r>
      <w:r w:rsidR="009511BA" w:rsidRPr="004015D3">
        <w:rPr>
          <w:rFonts w:cs="Arial"/>
          <w:bCs/>
          <w:sz w:val="22"/>
          <w:szCs w:val="22"/>
          <w:lang w:val="en-US"/>
        </w:rPr>
        <w:t>Evaluation of potentially age-dependent effect-modifying factors</w:t>
      </w:r>
      <w:r w:rsidRPr="004015D3">
        <w:rPr>
          <w:rFonts w:cs="Arial"/>
          <w:bCs/>
          <w:sz w:val="22"/>
          <w:szCs w:val="22"/>
          <w:lang w:val="en-US"/>
        </w:rPr>
        <w:t xml:space="preserve"> (under weakly informative priors)</w:t>
      </w:r>
    </w:p>
    <w:tbl>
      <w:tblPr>
        <w:tblStyle w:val="Tablaconcuadrculaclara"/>
        <w:tblpPr w:leftFromText="141" w:rightFromText="141" w:vertAnchor="page" w:horzAnchor="margin" w:tblpXSpec="center" w:tblpY="2694"/>
        <w:tblW w:w="9825" w:type="dxa"/>
        <w:tblLook w:val="04A0" w:firstRow="1" w:lastRow="0" w:firstColumn="1" w:lastColumn="0" w:noHBand="0" w:noVBand="1"/>
      </w:tblPr>
      <w:tblGrid>
        <w:gridCol w:w="2557"/>
        <w:gridCol w:w="2120"/>
        <w:gridCol w:w="1614"/>
        <w:gridCol w:w="1842"/>
        <w:gridCol w:w="1692"/>
      </w:tblGrid>
      <w:tr w:rsidR="009511BA" w:rsidRPr="00C36D43" w14:paraId="0705ADA1" w14:textId="77777777" w:rsidTr="009B4339">
        <w:trPr>
          <w:trHeight w:val="566"/>
        </w:trPr>
        <w:tc>
          <w:tcPr>
            <w:tcW w:w="2557" w:type="dxa"/>
          </w:tcPr>
          <w:p w14:paraId="678D3C29" w14:textId="77777777" w:rsidR="009511BA" w:rsidRDefault="009511BA" w:rsidP="0032066D">
            <w:pPr>
              <w:rPr>
                <w:rFonts w:cs="Arial"/>
                <w:b/>
                <w:bCs/>
                <w:sz w:val="22"/>
                <w:szCs w:val="22"/>
                <w:lang w:val="en-GB"/>
              </w:rPr>
            </w:pPr>
          </w:p>
          <w:p w14:paraId="0705AD9B" w14:textId="170FDFF8" w:rsidR="00951333" w:rsidRPr="004015D3" w:rsidRDefault="00951333" w:rsidP="0032066D">
            <w:pPr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en-GB"/>
              </w:rPr>
              <w:t>Variables</w:t>
            </w:r>
          </w:p>
        </w:tc>
        <w:tc>
          <w:tcPr>
            <w:tcW w:w="2120" w:type="dxa"/>
          </w:tcPr>
          <w:p w14:paraId="0705AD9C" w14:textId="77777777" w:rsidR="009511BA" w:rsidRPr="004015D3" w:rsidRDefault="009511BA" w:rsidP="0032066D">
            <w:pPr>
              <w:jc w:val="center"/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b/>
                <w:bCs/>
                <w:sz w:val="22"/>
                <w:szCs w:val="22"/>
                <w:lang w:val="en-GB"/>
              </w:rPr>
              <w:t>Time ratio</w:t>
            </w:r>
          </w:p>
          <w:p w14:paraId="0705AD9D" w14:textId="77777777" w:rsidR="009511BA" w:rsidRPr="004015D3" w:rsidRDefault="009511BA" w:rsidP="0032066D">
            <w:pPr>
              <w:jc w:val="center"/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b/>
                <w:bCs/>
                <w:sz w:val="22"/>
                <w:szCs w:val="22"/>
                <w:lang w:val="en-GB"/>
              </w:rPr>
              <w:t xml:space="preserve">(95%, </w:t>
            </w:r>
            <w:proofErr w:type="spellStart"/>
            <w:r w:rsidRPr="004015D3">
              <w:rPr>
                <w:rFonts w:cs="Arial"/>
                <w:b/>
                <w:bCs/>
                <w:sz w:val="22"/>
                <w:szCs w:val="22"/>
                <w:lang w:val="en-GB"/>
              </w:rPr>
              <w:t>CrI</w:t>
            </w:r>
            <w:proofErr w:type="spellEnd"/>
            <w:r w:rsidRPr="004015D3">
              <w:rPr>
                <w:rFonts w:cs="Arial"/>
                <w:b/>
                <w:bCs/>
                <w:sz w:val="22"/>
                <w:szCs w:val="22"/>
                <w:lang w:val="en-GB"/>
              </w:rPr>
              <w:t>)</w:t>
            </w:r>
          </w:p>
        </w:tc>
        <w:tc>
          <w:tcPr>
            <w:tcW w:w="1614" w:type="dxa"/>
          </w:tcPr>
          <w:p w14:paraId="35EADB51" w14:textId="77777777" w:rsidR="00527D75" w:rsidRDefault="00527D75" w:rsidP="00527D75">
            <w:pPr>
              <w:jc w:val="center"/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2433BC">
              <w:rPr>
                <w:rFonts w:cs="Arial"/>
                <w:b/>
                <w:bCs/>
                <w:sz w:val="22"/>
                <w:szCs w:val="22"/>
                <w:lang w:val="en-GB"/>
              </w:rPr>
              <w:t xml:space="preserve">Posterior probability </w:t>
            </w:r>
            <w:r>
              <w:rPr>
                <w:rFonts w:cs="Arial"/>
                <w:b/>
                <w:bCs/>
                <w:sz w:val="22"/>
                <w:szCs w:val="22"/>
                <w:lang w:val="en-GB"/>
              </w:rPr>
              <w:t>of effect size &gt;15%</w:t>
            </w:r>
          </w:p>
          <w:p w14:paraId="0705AD9E" w14:textId="0DEC9064" w:rsidR="009511BA" w:rsidRPr="004015D3" w:rsidRDefault="00527D75" w:rsidP="00527D75">
            <w:pPr>
              <w:jc w:val="center"/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en-GB"/>
              </w:rPr>
              <w:t xml:space="preserve"> (</w:t>
            </w:r>
            <w:r w:rsidRPr="002433BC">
              <w:rPr>
                <w:rFonts w:cs="Arial"/>
                <w:b/>
                <w:bCs/>
                <w:sz w:val="22"/>
                <w:szCs w:val="22"/>
                <w:lang w:val="en-GB"/>
              </w:rPr>
              <w:t>TR &gt;</w:t>
            </w:r>
            <w:r>
              <w:rPr>
                <w:rFonts w:cs="Arial"/>
                <w:b/>
                <w:bCs/>
                <w:sz w:val="22"/>
                <w:szCs w:val="22"/>
                <w:lang w:val="en-GB"/>
              </w:rPr>
              <w:t>1.</w:t>
            </w:r>
            <w:r w:rsidRPr="002433BC">
              <w:rPr>
                <w:rFonts w:cs="Arial"/>
                <w:b/>
                <w:bCs/>
                <w:sz w:val="22"/>
                <w:szCs w:val="22"/>
                <w:lang w:val="en-GB"/>
              </w:rPr>
              <w:t>1</w:t>
            </w:r>
            <w:r>
              <w:rPr>
                <w:rFonts w:cs="Arial"/>
                <w:b/>
                <w:bCs/>
                <w:sz w:val="22"/>
                <w:szCs w:val="22"/>
                <w:lang w:val="en-GB"/>
              </w:rPr>
              <w:t>5)</w:t>
            </w:r>
          </w:p>
        </w:tc>
        <w:tc>
          <w:tcPr>
            <w:tcW w:w="1842" w:type="dxa"/>
          </w:tcPr>
          <w:p w14:paraId="008BA58A" w14:textId="77777777" w:rsidR="00527D75" w:rsidRDefault="00527D75" w:rsidP="00527D75">
            <w:pPr>
              <w:jc w:val="center"/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2433BC">
              <w:rPr>
                <w:rFonts w:cs="Arial"/>
                <w:b/>
                <w:bCs/>
                <w:sz w:val="22"/>
                <w:szCs w:val="22"/>
                <w:lang w:val="en-GB"/>
              </w:rPr>
              <w:t xml:space="preserve">Posterior probability </w:t>
            </w:r>
            <w:r>
              <w:rPr>
                <w:rFonts w:cs="Arial"/>
                <w:b/>
                <w:bCs/>
                <w:sz w:val="22"/>
                <w:szCs w:val="22"/>
                <w:lang w:val="en-GB"/>
              </w:rPr>
              <w:t>of effect size &gt;30%</w:t>
            </w:r>
          </w:p>
          <w:p w14:paraId="0705AD9F" w14:textId="085A5A7B" w:rsidR="009511BA" w:rsidRPr="004015D3" w:rsidRDefault="00527D75" w:rsidP="00527D75">
            <w:pPr>
              <w:jc w:val="center"/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en-GB"/>
              </w:rPr>
              <w:t xml:space="preserve"> (</w:t>
            </w:r>
            <w:r w:rsidRPr="002433BC">
              <w:rPr>
                <w:rFonts w:cs="Arial"/>
                <w:b/>
                <w:bCs/>
                <w:sz w:val="22"/>
                <w:szCs w:val="22"/>
                <w:lang w:val="en-GB"/>
              </w:rPr>
              <w:t>TR &gt;</w:t>
            </w:r>
            <w:r>
              <w:rPr>
                <w:rFonts w:cs="Arial"/>
                <w:b/>
                <w:bCs/>
                <w:sz w:val="22"/>
                <w:szCs w:val="22"/>
                <w:lang w:val="en-GB"/>
              </w:rPr>
              <w:t>1.30)</w:t>
            </w:r>
          </w:p>
        </w:tc>
        <w:tc>
          <w:tcPr>
            <w:tcW w:w="1692" w:type="dxa"/>
          </w:tcPr>
          <w:p w14:paraId="0705ADA0" w14:textId="77777777" w:rsidR="009511BA" w:rsidRPr="004015D3" w:rsidRDefault="009511BA" w:rsidP="0032066D">
            <w:pPr>
              <w:jc w:val="center"/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b/>
                <w:bCs/>
                <w:sz w:val="22"/>
                <w:szCs w:val="22"/>
                <w:lang w:val="en-GB"/>
              </w:rPr>
              <w:t>Probability of interaction outside ROPE</w:t>
            </w:r>
          </w:p>
        </w:tc>
      </w:tr>
      <w:tr w:rsidR="009511BA" w:rsidRPr="004015D3" w14:paraId="0705ADA7" w14:textId="77777777" w:rsidTr="009B4339">
        <w:trPr>
          <w:trHeight w:val="232"/>
        </w:trPr>
        <w:tc>
          <w:tcPr>
            <w:tcW w:w="2557" w:type="dxa"/>
          </w:tcPr>
          <w:p w14:paraId="0705ADA2" w14:textId="77777777" w:rsidR="009511BA" w:rsidRPr="004015D3" w:rsidRDefault="009511BA" w:rsidP="0032066D">
            <w:pPr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b/>
                <w:bCs/>
                <w:sz w:val="22"/>
                <w:szCs w:val="22"/>
                <w:lang w:val="en-GB"/>
              </w:rPr>
              <w:t>Organs involved, 4</w:t>
            </w:r>
          </w:p>
        </w:tc>
        <w:tc>
          <w:tcPr>
            <w:tcW w:w="2120" w:type="dxa"/>
          </w:tcPr>
          <w:p w14:paraId="0705ADA3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1.22 (1.04-1.43)</w:t>
            </w:r>
          </w:p>
        </w:tc>
        <w:tc>
          <w:tcPr>
            <w:tcW w:w="1614" w:type="dxa"/>
          </w:tcPr>
          <w:p w14:paraId="0705ADA4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73%</w:t>
            </w:r>
          </w:p>
        </w:tc>
        <w:tc>
          <w:tcPr>
            <w:tcW w:w="1842" w:type="dxa"/>
          </w:tcPr>
          <w:p w14:paraId="0705ADA5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26%</w:t>
            </w:r>
          </w:p>
        </w:tc>
        <w:tc>
          <w:tcPr>
            <w:tcW w:w="1692" w:type="dxa"/>
          </w:tcPr>
          <w:p w14:paraId="0705ADA6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24%</w:t>
            </w:r>
          </w:p>
        </w:tc>
      </w:tr>
      <w:tr w:rsidR="009511BA" w:rsidRPr="004015D3" w14:paraId="0705ADAD" w14:textId="77777777" w:rsidTr="009B4339">
        <w:trPr>
          <w:trHeight w:val="218"/>
        </w:trPr>
        <w:tc>
          <w:tcPr>
            <w:tcW w:w="2557" w:type="dxa"/>
          </w:tcPr>
          <w:p w14:paraId="0705ADA8" w14:textId="77777777" w:rsidR="009511BA" w:rsidRPr="004015D3" w:rsidRDefault="009511BA" w:rsidP="0032066D">
            <w:pPr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b/>
                <w:bCs/>
                <w:sz w:val="22"/>
                <w:szCs w:val="22"/>
                <w:lang w:val="en-GB"/>
              </w:rPr>
              <w:t>Organs involved, 3</w:t>
            </w:r>
          </w:p>
        </w:tc>
        <w:tc>
          <w:tcPr>
            <w:tcW w:w="2120" w:type="dxa"/>
          </w:tcPr>
          <w:p w14:paraId="0705ADA9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1.18 (1.02-1.39)</w:t>
            </w:r>
          </w:p>
        </w:tc>
        <w:tc>
          <w:tcPr>
            <w:tcW w:w="1614" w:type="dxa"/>
          </w:tcPr>
          <w:p w14:paraId="0705ADAA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65%</w:t>
            </w:r>
          </w:p>
        </w:tc>
        <w:tc>
          <w:tcPr>
            <w:tcW w:w="1842" w:type="dxa"/>
          </w:tcPr>
          <w:p w14:paraId="0705ADAB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17%</w:t>
            </w:r>
          </w:p>
        </w:tc>
        <w:tc>
          <w:tcPr>
            <w:tcW w:w="1692" w:type="dxa"/>
          </w:tcPr>
          <w:p w14:paraId="0705ADAC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17%</w:t>
            </w:r>
          </w:p>
        </w:tc>
      </w:tr>
      <w:tr w:rsidR="009511BA" w:rsidRPr="004015D3" w14:paraId="0705ADB3" w14:textId="77777777" w:rsidTr="009B4339">
        <w:trPr>
          <w:trHeight w:val="232"/>
        </w:trPr>
        <w:tc>
          <w:tcPr>
            <w:tcW w:w="2557" w:type="dxa"/>
          </w:tcPr>
          <w:p w14:paraId="0705ADAE" w14:textId="77777777" w:rsidR="009511BA" w:rsidRPr="004015D3" w:rsidRDefault="009511BA" w:rsidP="0032066D">
            <w:pPr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b/>
                <w:bCs/>
                <w:sz w:val="22"/>
                <w:szCs w:val="22"/>
                <w:lang w:val="en-GB"/>
              </w:rPr>
              <w:t>Organs involved, 2</w:t>
            </w:r>
          </w:p>
        </w:tc>
        <w:tc>
          <w:tcPr>
            <w:tcW w:w="2120" w:type="dxa"/>
          </w:tcPr>
          <w:p w14:paraId="0705ADAF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1.27 (1.10-1.44)</w:t>
            </w:r>
          </w:p>
        </w:tc>
        <w:tc>
          <w:tcPr>
            <w:tcW w:w="1614" w:type="dxa"/>
          </w:tcPr>
          <w:p w14:paraId="0705ADB0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88%</w:t>
            </w:r>
          </w:p>
        </w:tc>
        <w:tc>
          <w:tcPr>
            <w:tcW w:w="1842" w:type="dxa"/>
          </w:tcPr>
          <w:p w14:paraId="0705ADB1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37%</w:t>
            </w:r>
          </w:p>
        </w:tc>
        <w:tc>
          <w:tcPr>
            <w:tcW w:w="1692" w:type="dxa"/>
          </w:tcPr>
          <w:p w14:paraId="0705ADB2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37%</w:t>
            </w:r>
          </w:p>
        </w:tc>
      </w:tr>
      <w:tr w:rsidR="009511BA" w:rsidRPr="004015D3" w14:paraId="0705ADB9" w14:textId="77777777" w:rsidTr="009B4339">
        <w:trPr>
          <w:trHeight w:val="232"/>
        </w:trPr>
        <w:tc>
          <w:tcPr>
            <w:tcW w:w="2557" w:type="dxa"/>
          </w:tcPr>
          <w:p w14:paraId="0705ADB4" w14:textId="77777777" w:rsidR="009511BA" w:rsidRPr="004015D3" w:rsidRDefault="009511BA" w:rsidP="0032066D">
            <w:pPr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b/>
                <w:bCs/>
                <w:sz w:val="22"/>
                <w:szCs w:val="22"/>
                <w:lang w:val="en-GB"/>
              </w:rPr>
              <w:t>Organs involved, 1</w:t>
            </w:r>
          </w:p>
        </w:tc>
        <w:tc>
          <w:tcPr>
            <w:tcW w:w="2120" w:type="dxa"/>
          </w:tcPr>
          <w:p w14:paraId="0705ADB5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1.17 (1.09-1.24)</w:t>
            </w:r>
          </w:p>
        </w:tc>
        <w:tc>
          <w:tcPr>
            <w:tcW w:w="1614" w:type="dxa"/>
          </w:tcPr>
          <w:p w14:paraId="0705ADB6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67%</w:t>
            </w:r>
          </w:p>
        </w:tc>
        <w:tc>
          <w:tcPr>
            <w:tcW w:w="1842" w:type="dxa"/>
          </w:tcPr>
          <w:p w14:paraId="0705ADB7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1692" w:type="dxa"/>
          </w:tcPr>
          <w:p w14:paraId="0705ADB8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-</w:t>
            </w:r>
          </w:p>
        </w:tc>
      </w:tr>
      <w:tr w:rsidR="009511BA" w:rsidRPr="004015D3" w14:paraId="0705ADBF" w14:textId="77777777" w:rsidTr="009B4339">
        <w:trPr>
          <w:trHeight w:val="218"/>
        </w:trPr>
        <w:tc>
          <w:tcPr>
            <w:tcW w:w="2557" w:type="dxa"/>
          </w:tcPr>
          <w:p w14:paraId="0705ADBA" w14:textId="77777777" w:rsidR="009511BA" w:rsidRPr="004015D3" w:rsidRDefault="009511BA" w:rsidP="0032066D">
            <w:pPr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b/>
                <w:bCs/>
                <w:sz w:val="22"/>
                <w:szCs w:val="22"/>
                <w:lang w:val="en-GB"/>
              </w:rPr>
              <w:t>Intestinal subtype</w:t>
            </w:r>
          </w:p>
        </w:tc>
        <w:tc>
          <w:tcPr>
            <w:tcW w:w="2120" w:type="dxa"/>
          </w:tcPr>
          <w:p w14:paraId="0705ADBB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1.27 (1.08-1.11)</w:t>
            </w:r>
          </w:p>
        </w:tc>
        <w:tc>
          <w:tcPr>
            <w:tcW w:w="1614" w:type="dxa"/>
          </w:tcPr>
          <w:p w14:paraId="0705ADBC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90%</w:t>
            </w:r>
          </w:p>
        </w:tc>
        <w:tc>
          <w:tcPr>
            <w:tcW w:w="1842" w:type="dxa"/>
          </w:tcPr>
          <w:p w14:paraId="0705ADBD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40%</w:t>
            </w:r>
          </w:p>
        </w:tc>
        <w:tc>
          <w:tcPr>
            <w:tcW w:w="1692" w:type="dxa"/>
          </w:tcPr>
          <w:p w14:paraId="0705ADBE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41%</w:t>
            </w:r>
          </w:p>
        </w:tc>
      </w:tr>
      <w:tr w:rsidR="009511BA" w:rsidRPr="004015D3" w14:paraId="0705ADC5" w14:textId="77777777" w:rsidTr="009B4339">
        <w:trPr>
          <w:trHeight w:val="232"/>
        </w:trPr>
        <w:tc>
          <w:tcPr>
            <w:tcW w:w="2557" w:type="dxa"/>
          </w:tcPr>
          <w:p w14:paraId="0705ADC0" w14:textId="77777777" w:rsidR="009511BA" w:rsidRPr="004015D3" w:rsidRDefault="009511BA" w:rsidP="0032066D">
            <w:pPr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b/>
                <w:bCs/>
                <w:sz w:val="22"/>
                <w:szCs w:val="22"/>
                <w:lang w:val="en-GB"/>
              </w:rPr>
              <w:t>Diffuse subtype</w:t>
            </w:r>
          </w:p>
        </w:tc>
        <w:tc>
          <w:tcPr>
            <w:tcW w:w="2120" w:type="dxa"/>
          </w:tcPr>
          <w:p w14:paraId="0705ADC1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1.17 (1.09-1.24)</w:t>
            </w:r>
          </w:p>
        </w:tc>
        <w:tc>
          <w:tcPr>
            <w:tcW w:w="1614" w:type="dxa"/>
          </w:tcPr>
          <w:p w14:paraId="0705ADC2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67%</w:t>
            </w:r>
          </w:p>
        </w:tc>
        <w:tc>
          <w:tcPr>
            <w:tcW w:w="1842" w:type="dxa"/>
          </w:tcPr>
          <w:p w14:paraId="0705ADC3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1692" w:type="dxa"/>
          </w:tcPr>
          <w:p w14:paraId="0705ADC4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-</w:t>
            </w:r>
          </w:p>
        </w:tc>
      </w:tr>
      <w:tr w:rsidR="009511BA" w:rsidRPr="004015D3" w14:paraId="0705ADCB" w14:textId="77777777" w:rsidTr="009B4339">
        <w:trPr>
          <w:trHeight w:val="218"/>
        </w:trPr>
        <w:tc>
          <w:tcPr>
            <w:tcW w:w="2557" w:type="dxa"/>
          </w:tcPr>
          <w:p w14:paraId="0705ADC6" w14:textId="77777777" w:rsidR="009511BA" w:rsidRPr="004015D3" w:rsidRDefault="009511BA" w:rsidP="0032066D">
            <w:pPr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b/>
                <w:bCs/>
                <w:sz w:val="22"/>
                <w:szCs w:val="22"/>
                <w:lang w:val="en-GB"/>
              </w:rPr>
              <w:t>Grade 3</w:t>
            </w:r>
          </w:p>
        </w:tc>
        <w:tc>
          <w:tcPr>
            <w:tcW w:w="2120" w:type="dxa"/>
          </w:tcPr>
          <w:p w14:paraId="0705ADC7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1.19 (1.06-1.36)</w:t>
            </w:r>
          </w:p>
        </w:tc>
        <w:tc>
          <w:tcPr>
            <w:tcW w:w="1614" w:type="dxa"/>
          </w:tcPr>
          <w:p w14:paraId="0705ADC8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72%</w:t>
            </w:r>
          </w:p>
        </w:tc>
        <w:tc>
          <w:tcPr>
            <w:tcW w:w="1842" w:type="dxa"/>
          </w:tcPr>
          <w:p w14:paraId="0705ADC9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14%</w:t>
            </w:r>
          </w:p>
        </w:tc>
        <w:tc>
          <w:tcPr>
            <w:tcW w:w="1692" w:type="dxa"/>
          </w:tcPr>
          <w:p w14:paraId="0705ADCA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10%</w:t>
            </w:r>
          </w:p>
        </w:tc>
      </w:tr>
      <w:tr w:rsidR="009511BA" w:rsidRPr="004015D3" w14:paraId="0705ADD1" w14:textId="77777777" w:rsidTr="009B4339">
        <w:trPr>
          <w:trHeight w:val="232"/>
        </w:trPr>
        <w:tc>
          <w:tcPr>
            <w:tcW w:w="2557" w:type="dxa"/>
          </w:tcPr>
          <w:p w14:paraId="0705ADCC" w14:textId="77777777" w:rsidR="009511BA" w:rsidRPr="004015D3" w:rsidRDefault="009511BA" w:rsidP="0032066D">
            <w:pPr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b/>
                <w:bCs/>
                <w:sz w:val="22"/>
                <w:szCs w:val="22"/>
                <w:lang w:val="en-GB"/>
              </w:rPr>
              <w:t>Grade 2</w:t>
            </w:r>
          </w:p>
        </w:tc>
        <w:tc>
          <w:tcPr>
            <w:tcW w:w="2120" w:type="dxa"/>
          </w:tcPr>
          <w:p w14:paraId="0705ADCD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1.20 (1.05-1.40)</w:t>
            </w:r>
          </w:p>
        </w:tc>
        <w:tc>
          <w:tcPr>
            <w:tcW w:w="1614" w:type="dxa"/>
          </w:tcPr>
          <w:p w14:paraId="0705ADCE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73%</w:t>
            </w:r>
          </w:p>
        </w:tc>
        <w:tc>
          <w:tcPr>
            <w:tcW w:w="1842" w:type="dxa"/>
          </w:tcPr>
          <w:p w14:paraId="0705ADCF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22%</w:t>
            </w:r>
          </w:p>
        </w:tc>
        <w:tc>
          <w:tcPr>
            <w:tcW w:w="1692" w:type="dxa"/>
          </w:tcPr>
          <w:p w14:paraId="0705ADD0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18%</w:t>
            </w:r>
          </w:p>
        </w:tc>
      </w:tr>
      <w:tr w:rsidR="009511BA" w:rsidRPr="004015D3" w14:paraId="0705ADD7" w14:textId="77777777" w:rsidTr="009B4339">
        <w:trPr>
          <w:trHeight w:val="232"/>
        </w:trPr>
        <w:tc>
          <w:tcPr>
            <w:tcW w:w="2557" w:type="dxa"/>
          </w:tcPr>
          <w:p w14:paraId="0705ADD2" w14:textId="77777777" w:rsidR="009511BA" w:rsidRPr="004015D3" w:rsidRDefault="009511BA" w:rsidP="0032066D">
            <w:pPr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b/>
                <w:bCs/>
                <w:sz w:val="22"/>
                <w:szCs w:val="22"/>
                <w:lang w:val="en-GB"/>
              </w:rPr>
              <w:t>Grade 1</w:t>
            </w:r>
          </w:p>
        </w:tc>
        <w:tc>
          <w:tcPr>
            <w:tcW w:w="2120" w:type="dxa"/>
          </w:tcPr>
          <w:p w14:paraId="0705ADD3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1.17 (1.09-1.25)</w:t>
            </w:r>
          </w:p>
        </w:tc>
        <w:tc>
          <w:tcPr>
            <w:tcW w:w="1614" w:type="dxa"/>
          </w:tcPr>
          <w:p w14:paraId="0705ADD4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69%</w:t>
            </w:r>
          </w:p>
        </w:tc>
        <w:tc>
          <w:tcPr>
            <w:tcW w:w="1842" w:type="dxa"/>
          </w:tcPr>
          <w:p w14:paraId="0705ADD5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1%</w:t>
            </w:r>
          </w:p>
        </w:tc>
        <w:tc>
          <w:tcPr>
            <w:tcW w:w="1692" w:type="dxa"/>
          </w:tcPr>
          <w:p w14:paraId="0705ADD6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-</w:t>
            </w:r>
          </w:p>
        </w:tc>
      </w:tr>
      <w:tr w:rsidR="009511BA" w:rsidRPr="004015D3" w14:paraId="0705ADDD" w14:textId="77777777" w:rsidTr="009B4339">
        <w:trPr>
          <w:trHeight w:val="218"/>
        </w:trPr>
        <w:tc>
          <w:tcPr>
            <w:tcW w:w="2557" w:type="dxa"/>
          </w:tcPr>
          <w:p w14:paraId="0705ADD8" w14:textId="77777777" w:rsidR="009511BA" w:rsidRPr="004015D3" w:rsidRDefault="009511BA" w:rsidP="0032066D">
            <w:pPr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b/>
                <w:bCs/>
                <w:sz w:val="22"/>
                <w:szCs w:val="22"/>
                <w:lang w:val="en-GB"/>
              </w:rPr>
              <w:t>ECOG PS ≥2</w:t>
            </w:r>
          </w:p>
        </w:tc>
        <w:tc>
          <w:tcPr>
            <w:tcW w:w="2120" w:type="dxa"/>
          </w:tcPr>
          <w:p w14:paraId="0705ADD9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1.16 (0.99-1.36)</w:t>
            </w:r>
          </w:p>
        </w:tc>
        <w:tc>
          <w:tcPr>
            <w:tcW w:w="1614" w:type="dxa"/>
          </w:tcPr>
          <w:p w14:paraId="0705ADDA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54%</w:t>
            </w:r>
          </w:p>
        </w:tc>
        <w:tc>
          <w:tcPr>
            <w:tcW w:w="1842" w:type="dxa"/>
          </w:tcPr>
          <w:p w14:paraId="0705ADDB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1%</w:t>
            </w:r>
          </w:p>
        </w:tc>
        <w:tc>
          <w:tcPr>
            <w:tcW w:w="1692" w:type="dxa"/>
          </w:tcPr>
          <w:p w14:paraId="0705ADDC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20%</w:t>
            </w:r>
          </w:p>
        </w:tc>
      </w:tr>
      <w:tr w:rsidR="009511BA" w:rsidRPr="004015D3" w14:paraId="0705ADE3" w14:textId="77777777" w:rsidTr="009B4339">
        <w:trPr>
          <w:trHeight w:val="232"/>
        </w:trPr>
        <w:tc>
          <w:tcPr>
            <w:tcW w:w="2557" w:type="dxa"/>
          </w:tcPr>
          <w:p w14:paraId="0705ADDE" w14:textId="77777777" w:rsidR="009511BA" w:rsidRPr="004015D3" w:rsidRDefault="009511BA" w:rsidP="0032066D">
            <w:pPr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b/>
                <w:bCs/>
                <w:sz w:val="22"/>
                <w:szCs w:val="22"/>
                <w:lang w:val="en-GB"/>
              </w:rPr>
              <w:t>ECOG PS 0-1</w:t>
            </w:r>
          </w:p>
        </w:tc>
        <w:tc>
          <w:tcPr>
            <w:tcW w:w="2120" w:type="dxa"/>
          </w:tcPr>
          <w:p w14:paraId="0705ADDF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1.18 (1.10-1.25)</w:t>
            </w:r>
          </w:p>
        </w:tc>
        <w:tc>
          <w:tcPr>
            <w:tcW w:w="1614" w:type="dxa"/>
          </w:tcPr>
          <w:p w14:paraId="0705ADE0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75%</w:t>
            </w:r>
          </w:p>
        </w:tc>
        <w:tc>
          <w:tcPr>
            <w:tcW w:w="1842" w:type="dxa"/>
          </w:tcPr>
          <w:p w14:paraId="0705ADE1" w14:textId="77777777" w:rsidR="009511BA" w:rsidRPr="004015D3" w:rsidRDefault="009511BA" w:rsidP="00916A29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15%</w:t>
            </w:r>
          </w:p>
        </w:tc>
        <w:tc>
          <w:tcPr>
            <w:tcW w:w="1692" w:type="dxa"/>
          </w:tcPr>
          <w:p w14:paraId="0705ADE2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-</w:t>
            </w:r>
          </w:p>
        </w:tc>
      </w:tr>
      <w:tr w:rsidR="009511BA" w:rsidRPr="004015D3" w14:paraId="0705ADE9" w14:textId="77777777" w:rsidTr="009B4339">
        <w:trPr>
          <w:trHeight w:val="218"/>
        </w:trPr>
        <w:tc>
          <w:tcPr>
            <w:tcW w:w="2557" w:type="dxa"/>
          </w:tcPr>
          <w:p w14:paraId="0705ADE4" w14:textId="77777777" w:rsidR="009511BA" w:rsidRPr="004015D3" w:rsidRDefault="009511BA" w:rsidP="0032066D">
            <w:pPr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b/>
                <w:bCs/>
                <w:sz w:val="22"/>
                <w:szCs w:val="22"/>
                <w:lang w:val="en-GB"/>
              </w:rPr>
              <w:t>Burden of liver disease &gt;75%</w:t>
            </w:r>
          </w:p>
        </w:tc>
        <w:tc>
          <w:tcPr>
            <w:tcW w:w="2120" w:type="dxa"/>
          </w:tcPr>
          <w:p w14:paraId="0705ADE5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1.16 (0.98-1.37)</w:t>
            </w:r>
          </w:p>
        </w:tc>
        <w:tc>
          <w:tcPr>
            <w:tcW w:w="1614" w:type="dxa"/>
          </w:tcPr>
          <w:p w14:paraId="0705ADE6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53%</w:t>
            </w:r>
          </w:p>
        </w:tc>
        <w:tc>
          <w:tcPr>
            <w:tcW w:w="1842" w:type="dxa"/>
          </w:tcPr>
          <w:p w14:paraId="0705ADE7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13%</w:t>
            </w:r>
          </w:p>
        </w:tc>
        <w:tc>
          <w:tcPr>
            <w:tcW w:w="1692" w:type="dxa"/>
          </w:tcPr>
          <w:p w14:paraId="0705ADE8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21%</w:t>
            </w:r>
          </w:p>
        </w:tc>
      </w:tr>
      <w:tr w:rsidR="009511BA" w:rsidRPr="004015D3" w14:paraId="0705ADEF" w14:textId="77777777" w:rsidTr="009B4339">
        <w:trPr>
          <w:trHeight w:val="232"/>
        </w:trPr>
        <w:tc>
          <w:tcPr>
            <w:tcW w:w="2557" w:type="dxa"/>
          </w:tcPr>
          <w:p w14:paraId="0705ADEA" w14:textId="77777777" w:rsidR="009511BA" w:rsidRPr="004015D3" w:rsidRDefault="009511BA" w:rsidP="0032066D">
            <w:pPr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b/>
                <w:bCs/>
                <w:sz w:val="22"/>
                <w:szCs w:val="22"/>
                <w:lang w:val="en-GB"/>
              </w:rPr>
              <w:t>Burden of liver disease 51-75%</w:t>
            </w:r>
          </w:p>
        </w:tc>
        <w:tc>
          <w:tcPr>
            <w:tcW w:w="2120" w:type="dxa"/>
          </w:tcPr>
          <w:p w14:paraId="0705ADEB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1.19 (1.02-1.40)</w:t>
            </w:r>
          </w:p>
        </w:tc>
        <w:tc>
          <w:tcPr>
            <w:tcW w:w="1614" w:type="dxa"/>
          </w:tcPr>
          <w:p w14:paraId="0705ADEC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66%</w:t>
            </w:r>
          </w:p>
        </w:tc>
        <w:tc>
          <w:tcPr>
            <w:tcW w:w="1842" w:type="dxa"/>
          </w:tcPr>
          <w:p w14:paraId="0705ADED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20%</w:t>
            </w:r>
          </w:p>
        </w:tc>
        <w:tc>
          <w:tcPr>
            <w:tcW w:w="1692" w:type="dxa"/>
          </w:tcPr>
          <w:p w14:paraId="0705ADEE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20%</w:t>
            </w:r>
          </w:p>
        </w:tc>
      </w:tr>
      <w:tr w:rsidR="009511BA" w:rsidRPr="004015D3" w14:paraId="0705ADF5" w14:textId="77777777" w:rsidTr="009B4339">
        <w:trPr>
          <w:trHeight w:val="218"/>
        </w:trPr>
        <w:tc>
          <w:tcPr>
            <w:tcW w:w="2557" w:type="dxa"/>
          </w:tcPr>
          <w:p w14:paraId="0705ADF0" w14:textId="77777777" w:rsidR="009511BA" w:rsidRPr="004015D3" w:rsidRDefault="009511BA" w:rsidP="0032066D">
            <w:pPr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b/>
                <w:bCs/>
                <w:sz w:val="22"/>
                <w:szCs w:val="22"/>
                <w:lang w:val="en-GB"/>
              </w:rPr>
              <w:t>Burden of liver disease 25-50%</w:t>
            </w:r>
          </w:p>
        </w:tc>
        <w:tc>
          <w:tcPr>
            <w:tcW w:w="2120" w:type="dxa"/>
          </w:tcPr>
          <w:p w14:paraId="0705ADF1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1.16 (0.99-1.36)</w:t>
            </w:r>
          </w:p>
        </w:tc>
        <w:tc>
          <w:tcPr>
            <w:tcW w:w="1614" w:type="dxa"/>
          </w:tcPr>
          <w:p w14:paraId="0705ADF2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54%</w:t>
            </w:r>
          </w:p>
        </w:tc>
        <w:tc>
          <w:tcPr>
            <w:tcW w:w="1842" w:type="dxa"/>
          </w:tcPr>
          <w:p w14:paraId="0705ADF3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12%</w:t>
            </w:r>
          </w:p>
        </w:tc>
        <w:tc>
          <w:tcPr>
            <w:tcW w:w="1692" w:type="dxa"/>
          </w:tcPr>
          <w:p w14:paraId="0705ADF4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19%</w:t>
            </w:r>
          </w:p>
        </w:tc>
      </w:tr>
      <w:tr w:rsidR="009511BA" w:rsidRPr="004015D3" w14:paraId="0705ADFB" w14:textId="77777777" w:rsidTr="009B4339">
        <w:trPr>
          <w:trHeight w:val="218"/>
        </w:trPr>
        <w:tc>
          <w:tcPr>
            <w:tcW w:w="2557" w:type="dxa"/>
          </w:tcPr>
          <w:p w14:paraId="0705ADF6" w14:textId="77777777" w:rsidR="009511BA" w:rsidRPr="004015D3" w:rsidRDefault="009511BA" w:rsidP="0032066D">
            <w:pPr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b/>
                <w:bCs/>
                <w:sz w:val="22"/>
                <w:szCs w:val="22"/>
                <w:lang w:val="en-GB"/>
              </w:rPr>
              <w:t>Burden of liver disease &lt;25%</w:t>
            </w:r>
          </w:p>
        </w:tc>
        <w:tc>
          <w:tcPr>
            <w:tcW w:w="2120" w:type="dxa"/>
          </w:tcPr>
          <w:p w14:paraId="0705ADF7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1.18 (1.10-1.25)</w:t>
            </w:r>
          </w:p>
        </w:tc>
        <w:tc>
          <w:tcPr>
            <w:tcW w:w="1614" w:type="dxa"/>
          </w:tcPr>
          <w:p w14:paraId="0705ADF8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74%</w:t>
            </w:r>
          </w:p>
        </w:tc>
        <w:tc>
          <w:tcPr>
            <w:tcW w:w="1842" w:type="dxa"/>
          </w:tcPr>
          <w:p w14:paraId="0705ADF9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1%</w:t>
            </w:r>
          </w:p>
        </w:tc>
        <w:tc>
          <w:tcPr>
            <w:tcW w:w="1692" w:type="dxa"/>
          </w:tcPr>
          <w:p w14:paraId="0705ADFA" w14:textId="77777777" w:rsidR="009511BA" w:rsidRPr="004015D3" w:rsidRDefault="009511BA" w:rsidP="0032066D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015D3">
              <w:rPr>
                <w:rFonts w:cs="Arial"/>
                <w:sz w:val="22"/>
                <w:szCs w:val="22"/>
                <w:lang w:val="en-GB"/>
              </w:rPr>
              <w:t>-</w:t>
            </w:r>
          </w:p>
        </w:tc>
      </w:tr>
    </w:tbl>
    <w:p w14:paraId="6A54FD1D" w14:textId="77777777" w:rsidR="00DE6898" w:rsidRPr="004015D3" w:rsidRDefault="00DE6898" w:rsidP="00DE6898">
      <w:pPr>
        <w:spacing w:after="0" w:line="240" w:lineRule="auto"/>
        <w:rPr>
          <w:rFonts w:cs="Arial"/>
          <w:bCs/>
          <w:sz w:val="22"/>
          <w:szCs w:val="22"/>
          <w:lang w:val="en-US"/>
        </w:rPr>
      </w:pPr>
    </w:p>
    <w:p w14:paraId="6E73CBCA" w14:textId="77777777" w:rsidR="00DE6898" w:rsidRPr="004015D3" w:rsidRDefault="00DE6898" w:rsidP="00DE6898">
      <w:pPr>
        <w:spacing w:after="0" w:line="240" w:lineRule="auto"/>
        <w:rPr>
          <w:rFonts w:cs="Arial"/>
          <w:bCs/>
          <w:sz w:val="22"/>
          <w:szCs w:val="22"/>
          <w:lang w:val="en-US"/>
        </w:rPr>
      </w:pPr>
    </w:p>
    <w:p w14:paraId="1152DB46" w14:textId="77777777" w:rsidR="00DE6898" w:rsidRPr="004015D3" w:rsidRDefault="00DE6898" w:rsidP="00DE6898">
      <w:pPr>
        <w:spacing w:after="0" w:line="240" w:lineRule="auto"/>
        <w:rPr>
          <w:rFonts w:cs="Arial"/>
          <w:bCs/>
          <w:sz w:val="22"/>
          <w:szCs w:val="22"/>
          <w:lang w:val="en-US"/>
        </w:rPr>
      </w:pPr>
    </w:p>
    <w:p w14:paraId="0F6A6E18" w14:textId="77777777" w:rsidR="00DE6898" w:rsidRPr="004015D3" w:rsidRDefault="00DE6898" w:rsidP="00DE6898">
      <w:pPr>
        <w:spacing w:after="0" w:line="240" w:lineRule="auto"/>
        <w:rPr>
          <w:rFonts w:cs="Arial"/>
          <w:bCs/>
          <w:sz w:val="22"/>
          <w:szCs w:val="22"/>
          <w:lang w:val="en-US"/>
        </w:rPr>
      </w:pPr>
    </w:p>
    <w:p w14:paraId="1ADA8C2B" w14:textId="77777777" w:rsidR="00DE6898" w:rsidRPr="004015D3" w:rsidRDefault="00DE6898" w:rsidP="00DE6898">
      <w:pPr>
        <w:spacing w:after="0" w:line="240" w:lineRule="auto"/>
        <w:rPr>
          <w:rFonts w:cs="Arial"/>
          <w:bCs/>
          <w:sz w:val="22"/>
          <w:szCs w:val="22"/>
          <w:lang w:val="en-US"/>
        </w:rPr>
      </w:pPr>
    </w:p>
    <w:p w14:paraId="089AB642" w14:textId="2D4DA9DC" w:rsidR="00DE6898" w:rsidRPr="004015D3" w:rsidRDefault="00DE6898" w:rsidP="004015D3">
      <w:pPr>
        <w:spacing w:after="0" w:line="240" w:lineRule="auto"/>
        <w:jc w:val="both"/>
        <w:rPr>
          <w:rFonts w:cs="Arial"/>
          <w:bCs/>
          <w:sz w:val="22"/>
          <w:szCs w:val="22"/>
          <w:lang w:val="en-US"/>
        </w:rPr>
      </w:pPr>
      <w:r w:rsidRPr="004015D3">
        <w:rPr>
          <w:rFonts w:cs="Arial"/>
          <w:bCs/>
          <w:sz w:val="22"/>
          <w:szCs w:val="22"/>
          <w:lang w:val="en-US"/>
        </w:rPr>
        <w:t xml:space="preserve">Abbreviations: </w:t>
      </w:r>
      <w:proofErr w:type="spellStart"/>
      <w:r w:rsidR="0029191C" w:rsidRPr="004015D3">
        <w:rPr>
          <w:rFonts w:cs="Arial"/>
          <w:bCs/>
          <w:sz w:val="22"/>
          <w:szCs w:val="22"/>
          <w:lang w:val="en-US"/>
        </w:rPr>
        <w:t>CrI</w:t>
      </w:r>
      <w:proofErr w:type="spellEnd"/>
      <w:r w:rsidR="0029191C" w:rsidRPr="004015D3">
        <w:rPr>
          <w:rFonts w:cs="Arial"/>
          <w:bCs/>
          <w:sz w:val="22"/>
          <w:szCs w:val="22"/>
          <w:lang w:val="en-US"/>
        </w:rPr>
        <w:t xml:space="preserve">, credible interval; </w:t>
      </w:r>
      <w:r w:rsidRPr="004015D3">
        <w:rPr>
          <w:rFonts w:cs="Arial"/>
          <w:bCs/>
          <w:sz w:val="22"/>
          <w:szCs w:val="22"/>
          <w:lang w:val="en-US"/>
        </w:rPr>
        <w:t>ECOG-PS, Eastern Cooperative Group Performance Status: TR, adjusted time ratios.</w:t>
      </w:r>
    </w:p>
    <w:p w14:paraId="177A3411" w14:textId="70A0D377" w:rsidR="004015D3" w:rsidRDefault="004015D3" w:rsidP="004015D3">
      <w:pPr>
        <w:spacing w:after="0" w:line="240" w:lineRule="auto"/>
        <w:jc w:val="both"/>
        <w:rPr>
          <w:rFonts w:cs="Arial"/>
          <w:sz w:val="22"/>
          <w:szCs w:val="22"/>
          <w:lang w:val="en-US"/>
        </w:rPr>
      </w:pPr>
      <w:r w:rsidRPr="004015D3">
        <w:rPr>
          <w:rFonts w:cs="Arial"/>
          <w:bCs/>
          <w:sz w:val="22"/>
          <w:szCs w:val="22"/>
          <w:lang w:val="en-US"/>
        </w:rPr>
        <w:t xml:space="preserve">Note: </w:t>
      </w:r>
      <w:r w:rsidRPr="004015D3">
        <w:rPr>
          <w:rFonts w:cs="Arial"/>
          <w:sz w:val="22"/>
          <w:szCs w:val="22"/>
          <w:lang w:val="en-US"/>
        </w:rPr>
        <w:t>A time ratio of more than 1 for the covariate implies that this slows or prolongs the time to event, whereas a time ratio of less than 1 indicates that an event is more likely to occur earlier. Thus, a time ratio equal to 2 would mean that the median of time to event is doubled in patients treated with DPF.</w:t>
      </w:r>
    </w:p>
    <w:p w14:paraId="0705ADFC" w14:textId="782ABC35" w:rsidR="0032066D" w:rsidRPr="00DE6898" w:rsidRDefault="000900A8" w:rsidP="00C36D43">
      <w:pPr>
        <w:spacing w:after="0" w:line="240" w:lineRule="auto"/>
        <w:jc w:val="both"/>
        <w:rPr>
          <w:lang w:val="en-US"/>
        </w:rPr>
      </w:pPr>
      <w:r w:rsidRPr="000900A8">
        <w:rPr>
          <w:rFonts w:cs="Arial"/>
          <w:bCs/>
          <w:sz w:val="22"/>
          <w:szCs w:val="22"/>
          <w:lang w:val="en-US"/>
        </w:rPr>
        <w:t>The posterior probability of effect sizes &gt;15% or 30% (TR &gt;1.15 or 1.30) denotes the actual probability of achieving a benefit of that magnitude (15 or 30%) or greater.</w:t>
      </w:r>
    </w:p>
    <w:sectPr w:rsidR="0032066D" w:rsidRPr="00DE6898" w:rsidSect="009511BA">
      <w:pgSz w:w="11907" w:h="13041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ECD"/>
    <w:rsid w:val="000900A8"/>
    <w:rsid w:val="00212A5B"/>
    <w:rsid w:val="0029191C"/>
    <w:rsid w:val="0032066D"/>
    <w:rsid w:val="00385CB9"/>
    <w:rsid w:val="003B72EF"/>
    <w:rsid w:val="003D76F7"/>
    <w:rsid w:val="004015D3"/>
    <w:rsid w:val="00402D3A"/>
    <w:rsid w:val="00427DA4"/>
    <w:rsid w:val="00464715"/>
    <w:rsid w:val="004F2F4D"/>
    <w:rsid w:val="00527D75"/>
    <w:rsid w:val="00556041"/>
    <w:rsid w:val="00610E4C"/>
    <w:rsid w:val="00783E11"/>
    <w:rsid w:val="007D0B82"/>
    <w:rsid w:val="008B04E8"/>
    <w:rsid w:val="009105DC"/>
    <w:rsid w:val="00916A29"/>
    <w:rsid w:val="009511BA"/>
    <w:rsid w:val="00951333"/>
    <w:rsid w:val="0099161A"/>
    <w:rsid w:val="009B4339"/>
    <w:rsid w:val="00B2652B"/>
    <w:rsid w:val="00B57233"/>
    <w:rsid w:val="00C30278"/>
    <w:rsid w:val="00C36D43"/>
    <w:rsid w:val="00C65C3D"/>
    <w:rsid w:val="00CB5094"/>
    <w:rsid w:val="00CD5ADF"/>
    <w:rsid w:val="00D330B4"/>
    <w:rsid w:val="00D36D92"/>
    <w:rsid w:val="00DE6898"/>
    <w:rsid w:val="00E46ECD"/>
    <w:rsid w:val="00EB6A86"/>
    <w:rsid w:val="00EC47CC"/>
    <w:rsid w:val="00F701A7"/>
    <w:rsid w:val="00F8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5AD9A"/>
  <w15:chartTrackingRefBased/>
  <w15:docId w15:val="{E7899EF7-849E-494F-A3E2-99903CD4D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Times New Roman"/>
        <w:sz w:val="24"/>
        <w:szCs w:val="24"/>
        <w:lang w:val="es-ES" w:eastAsia="en-US" w:bidi="ar-SA"/>
      </w:rPr>
    </w:rPrDefault>
    <w:pPrDefault>
      <w:pPr>
        <w:spacing w:after="12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7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EC47CC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EC47CC"/>
    <w:rPr>
      <w:rFonts w:ascii="Calibri Light" w:eastAsia="Times New Roman" w:hAnsi="Calibri Light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EC47CC"/>
    <w:pPr>
      <w:ind w:left="720"/>
      <w:contextualSpacing/>
    </w:pPr>
  </w:style>
  <w:style w:type="character" w:styleId="nfasissutil">
    <w:name w:val="Subtle Emphasis"/>
    <w:uiPriority w:val="19"/>
    <w:qFormat/>
    <w:rsid w:val="00EC47CC"/>
    <w:rPr>
      <w:i/>
      <w:iCs/>
      <w:color w:val="404040"/>
    </w:rPr>
  </w:style>
  <w:style w:type="table" w:styleId="Tablaconcuadrcula">
    <w:name w:val="Table Grid"/>
    <w:basedOn w:val="Tablanormal"/>
    <w:uiPriority w:val="39"/>
    <w:rsid w:val="00C30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rsid w:val="00C3027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5oscura-nfasis1">
    <w:name w:val="Grid Table 5 Dark Accent 1"/>
    <w:basedOn w:val="Tablanormal"/>
    <w:uiPriority w:val="50"/>
    <w:rsid w:val="004F2F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DE6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8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Carmona Bayonas</dc:creator>
  <cp:keywords/>
  <dc:description/>
  <cp:lastModifiedBy>Paula Jimenez-Fonseca</cp:lastModifiedBy>
  <cp:revision>12</cp:revision>
  <dcterms:created xsi:type="dcterms:W3CDTF">2020-06-03T10:39:00Z</dcterms:created>
  <dcterms:modified xsi:type="dcterms:W3CDTF">2020-06-06T19:15:00Z</dcterms:modified>
</cp:coreProperties>
</file>